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jc w:val="center"/></w:pPr><w:r><w:rPr><w:b/><w:bCs/></w:rPr><w:t xml:space="preserve">Massachusetts Employment Laws</w:t></w:r></w:p><w:p><w:pPr><w:jc w:val="center"/></w:pPr><w:r><w:rPr><w:sz w:val="28"/><w:szCs w:val="28"/></w:rPr><w:t xml:space="preserve">Legal Compliance Guide for Offer Letters</w:t></w:r></w:p><w:p/><w:p><w:r><w:rPr><w:i/><w:iCs/></w:rPr><w:t xml:space="preserve">Document Date: January 13, 2026</w:t></w:r></w:p><w:p/><w:p><w:pPr><w:pStyle w:val="Heading2"/></w:pPr><w:r><w:t xml:space="preserve">Introduction</w:t></w:r></w:p><w:p><w:r><w:t xml:space="preserve">This document provides a comprehensive overview of Massachusetts employment laws that affect offer letters. Each section includes the topic, summary, exact statute citation, requirements, effective date, and confidence level for legal compliance purposes.</w:t></w:r></w:p><w:p/><w:p><w:pPr><w:pStyle w:val="Heading2"/></w:pPr><w:r><w:t xml:space="preserve">1. Non-Compete Agreements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Non-Compete Agreements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restricts non-compete agreements through the Massachusetts Noncompetition Agreement Act (MNAA). Valid non-competes must be in writing, provided at or before the formal offer (or 10 business days before employment starts), supported by independent consideration, limited to 12 months maximum (for most employees), reasonable in scope, and include garden leave compensation (50% of highest annual salary) or other mutually agreed upon consideration. Certain workers are prohibited from being subject to non-competes, including non-exempt employees, undergraduate/graduate students, employees 18 or younger, and employees terminated without cause or laid off.</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149, § 24L (Massachusetts Noncompetition Agreement Act)</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October 1, 2018</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This is well-established Massachusetts law with specific statutory requirements</w:t></w:r></w:p></w:tc></w:tr></w:tbl><w:p/><w:p><w:pPr><w:pStyle w:val="Heading2"/></w:pPr><w:r><w:t xml:space="preserve">2. Salary History Ban</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Salary History Inquiry Prohibition</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prohibits employers from seeking or requiring salary history information from job applicants until after making an offer of employment with compensation. Employers cannot ask applicants about their wage or salary history (including benefits) or require that an applicant&apos;s salary history meet certain criteria. However, employers may ask about salary expectations or requirements. If an applicant voluntarily discloses salary history, employers may confirm it after making an offer with stated compensation.</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149, §§ 105A-105D (Massachusetts Equal Pay Act)</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July 1, 2018</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Clear statutory prohibition with specific exceptions</w:t></w:r></w:p></w:tc></w:tr></w:tbl><w:p/><w:p><w:pPr><w:pStyle w:val="Heading2"/></w:pPr><w:r><w:t xml:space="preserve">3. Pay Transparency (Salary Range Disclosure)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Pay Range Transparency Requirements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The Frances Perkins Workplace Equity Act requires employers with 25 or more employees in Massachusetts to disclose pay ranges in job postings and upon request. Employers must include the annual salary range or hourly wage range that they reasonably and in good faith expect to pay for the position. The law also requires disclosure of pay ranges to existing employees who receive promotions or transfers, and upon employee request for their current position.</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149, § 105F (An Act Relative to Salary Range Transparency, St. 2024, c. 141)</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October 29, 2025</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Recently enacted with clear requirements; enforcement begins October 29, 2025</w:t></w:r></w:p></w:tc></w:tr></w:tbl><w:p/><w:p><w:pPr><w:pStyle w:val="Heading2"/></w:pPr><w:r><w:t xml:space="preserve">4. Background Checks (Ban the Box)</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Criminal Background Check Restrictions (Ban the Box)</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&apos;Ban the Box&apos; law prohibits employers from asking about criminal history on initial written employment applications. Employers cannot inquire about arrests that did not result in conviction, first convictions for certain minor offenses (drunkenness, simple assault, speeding, minor traffic violations, affray, disturbance of peace), or misdemeanor convictions more than 3 years old (previously 5 years as of 2018 amendment). Employers must have a written CORI policy if they conduct five or more background checks annually.</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151B, § 4(9½) (Ban the Box); M.G.L. c. 6, § 172 (CORI regulations)</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November 4, 2010 (Ban the Box); May 4, 2012 (full CORI reform); 2018 amendments (reduced misdemeanor lookback from 5 to 3 years)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Well-established law with multiple court interpretations and regulatory guidance</w:t></w:r></w:p></w:tc></w:tr></w:tbl><w:p/><w:p><w:pPr><w:pStyle w:val="Heading2"/></w:pPr><w:r><w:t xml:space="preserve">5. Paid Family and Medical Leave (PFML)</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Paid Family and Medical Leave</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Paid Family and Medical Leave (PFML) provides job-protected paid leave for eligible employees. The program covers most Massachusetts employees who meet earnings requirements ($6,300 minimum in past 12 months for 2024-2025) and worked at least 16 weeks. Employees can take up to 20 weeks of medical leave for their own serious health condition, up to 12 weeks of family leave to care for a family member or bond with a child, or up to 26 weeks combined. Benefits are funded through employer and employee contributions.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175M (Paid Family and Medical Leave); 458 CMR (Department of Family and Medical Leave regulations)</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January 1, 2021 (medical leave and bonding leave); July 1, 2021 (family caregiver leave)</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Established state program with detailed regulations and enforcement mechanisms</w:t></w:r></w:p></w:tc></w:tr></w:tbl><w:p/><w:p><w:pPr><w:pStyle w:val="Heading2"/></w:pPr><w:r><w:t xml:space="preserve">6. Arbitration Agreements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Employment Arbitration Agreements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generally enforces arbitration agreements in employment contracts under the Federal Arbitration Act and state law (M.G.L. c. 251). However, Massachusetts has specific requirements for arbitrating statutory employment discrimination claims. Following Warfield v. Beth Israel Deaconess Medical Center (2009), arbitration agreements must explicitly and specifically state that statutory discrimination claims under M.G.L. c. 151B are covered by the arbitration clause. General or broad arbitration language is insufficient for discrimination claims. The Massachusetts Supreme Judicial Court has held that valid arbitration agreements can preclude employees from pursuing discrimination claims in court, but cannot prevent employees from filing complaints with the Massachusetts Commission Against Discrimination (MCAD).</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251 (Uniform Arbitration Act for Commercial Disputes); Federal Arbitration Act (FAA), 9 U.S.C. § 1 et seq.; Case law: Warfield v. Beth Israel Deaconess Medical Center, 454 Mass. 390 (2009); Joulé, Inc. v. Simmons, 459 Mass. 88 (2011)</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Ongoing common law (Warfield decided 2009; principles apply to all employment arbitration agreements)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Clear Massachusetts Supreme Judicial Court precedent establishing specific requirements for arbitrating discrimination claims</w:t></w:r></w:p></w:tc></w:tr></w:tbl><w:p/><w:p><w:pPr><w:pStyle w:val="Heading2"/></w:pPr><w:r><w:t xml:space="preserve">7. At-Will Employment</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At-Will Employment Doctrine and Disclaimers</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follows the employment-at-will doctrine, meaning employers can terminate employees at any time for any legal reason or no reason at all, and employees can resign at any time. However, there are significant exceptions to at-will employment, including: termination for discriminatory reasons (based on protected characteristics under M.G.L. c. 151B and federal law), retaliation for exercising legal rights, violation of public policy, breach of contract (express or implied through employee handbooks), and wrongful discharge for exercising statutory rights (e.g., filing a rebuttal under personnel records law).</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Common law doctrine (no specific statute codifies at-will employment); Exceptions under: M.G.L. c. 151B (discrimination); M.G.L. c. 149, § 52C (personnel records/right of rebuttal); M.G.L. c. 149, § 148 (wage payment); various retaliation statutes</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Ongoing common law doctrine; Personnel records exception established December 2021 (Meehan v. Medical Information Technology, Inc.)</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 - Well-established doctrine with clearly defined exceptions through statutes and case law</w:t></w:r></w:p></w:tc></w:tr></w:tbl><w:p/><w:p><w:pPr><w:pStyle w:val="Heading2"/></w:pPr><w:r><w:t xml:space="preserve">8. Drug Screening</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Topic</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Pre-Employment and Workplace Drug Testing</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Summary</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Massachusetts has no comprehensive workplace drug testing statute. Pre-employment drug testing is generally permitted under Massachusetts law, subject to privacy considerations under M.G.L. c. 214, § 1B. Case law requires balancing employee privacy rights against employer&apos;s legitimate business interests. Pre-employment testing is most defensible when: (1) applicant is notified of testing policy in job posting, (2) testing occurs only after conditional offer of employment, and (3) all applicants for the position are tested. Random drug testing of current employees should be limited to safety-sensitive positions. Massachusetts law provides some protections for medical marijuana users, but employers can maintain drug-free workplace policies and test for marijuana.</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Statute Citation</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M.G.L. c. 214, § 1B (right to privacy); Case law: Webster v. Motorola, 418 Mass. 425 (1994) (random testing); Barbuto v. Advantage Sales and Marketing, LLC, 477 Mass. 456 (2017) (medical marijuana); M.G.L. c. 94G, § 2(e) (recreational marijuana law - employer rights); M.G.L. c. 369 of Acts of 2012 (medical marijuana law)</w:t></w:r></w:p></w:tc></w:tr></w:tbl><w:p><w:pPr><w:pStyle w:val="Heading3"/></w:pPr><w:r><w:t xml:space="preserve">Requirements for Offer Letters</w:t></w:r></w:p><0/><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Effective Date</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Ongoing (based on case law and privacy statute); Medical marijuana protections since 2017 (Barbuto decision); Recreational marijuana law December 16, 2016</w:t></w:r></w:p></w:tc></w:tr></w:tbl><w:tbl><w:tblPr><w:tblW w:type="pct" w:w="100%"/><w:tblBorders><w:top w:val="single" w:color="auto" w:sz="4"/><w:left w:val="single" w:color="auto" w:sz="4"/><w:bottom w:val="single" w:color="auto" w:sz="4"/><w:right w:val="single" w:color="auto" w:sz="4"/><w:insideH w:val="single" w:color="auto" w:sz="4"/><w:insideV w:val="single" w:color="auto" w:sz="4"/></w:tblBorders></w:tblPr><w:tblGrid><w:gridCol w:w="2100"/><w:gridCol w:w="7260"/></w:tblGrid><w:tr><w:tc><w:tcPr><w:tcW w:type="dxa" w:w="2100"/><w:tcBorders><w:top w:val="single" w:color="CCCCCC" w:sz="1"/><w:left w:val="single" w:color="CCCCCC" w:sz="1"/><w:bottom w:val="single" w:color="CCCCCC" w:sz="1"/><w:right w:val="single" w:color="CCCCCC" w:sz="1"/></w:tcBorders><w:shd w:fill="E7E6E6" w:val="clear"/><w:tcMar><w:top w:type="dxa" w:w="80"/><w:left w:type="dxa" w:w="120"/><w:bottom w:type="dxa" w:w="80"/><w:right w:type="dxa" w:w="120"/></w:tcMar></w:tcPr><w:p><w:r><w:rPr><w:b/><w:bCs/></w:rPr><w:t xml:space="preserve">Confidence Level</w:t></w:r></w:p></w:tc><w:tc><w:tcPr><w:tcW w:type="dxa" w:w="726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Medium-High - No comprehensive statute, but well-established case law principles; some uncertainty regarding marijuana testing given recent legalization, but employer rights to maintain drug-free workplaces are well-supported</w:t></w:r></w:p></w:tc></w:tr></w:tbl><w:p/><w:p/><w:p><w:pPr><w:pStyle w:val="Heading2"/></w:pPr><w:r><w:t xml:space="preserve">Summary Table: Key Dates and Confidence Levels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800"/><w:gridCol w:w="2800"/><w:gridCol w:w="2800"/></w:tblGrid><w:tr><w:tc><w:tcPr><w:tcW w:type="dxa" w:w="2800"/><w:tcBorders><w:top w:val="single" w:color="CCCCCC" w:sz="1"/><w:left w:val="single" w:color="CCCCCC" w:sz="1"/><w:bottom w:val="single" w:color="CCCCCC" w:sz="1"/><w:right w:val="single" w:color="CCCCCC" w:sz="1"/></w:tcBorders><w:shd w:fill="4472C4" w:val="clear"/><w:tcMar><w:top w:type="dxa" w:w="80"/><w:left w:type="dxa" w:w="120"/><w:bottom w:type="dxa" w:w="80"/><w:right w:type="dxa" w:w="120"/></w:tcMar></w:tcPr><w:p><w:r><w:rPr><w:b/><w:bCs/><w:color w:val="FFFFFF"/></w:rPr><w:t xml:space="preserve">Topic</w:t></w:r></w:p></w:tc><w:tc><w:tcPr><w:tcW w:type="dxa" w:w="2800"/><w:tcBorders><w:top w:val="single" w:color="CCCCCC" w:sz="1"/><w:left w:val="single" w:color="CCCCCC" w:sz="1"/><w:bottom w:val="single" w:color="CCCCCC" w:sz="1"/><w:right w:val="single" w:color="CCCCCC" w:sz="1"/></w:tcBorders><w:shd w:fill="4472C4" w:val="clear"/><w:tcMar><w:top w:type="dxa" w:w="80"/><w:left w:type="dxa" w:w="120"/><w:bottom w:type="dxa" w:w="80"/><w:right w:type="dxa" w:w="120"/></w:tcMar></w:tcPr><w:p><w:r><w:rPr><w:b/><w:bCs/><w:color w:val="FFFFFF"/></w:rPr><w:t xml:space="preserve">Effective Date</w:t></w:r></w:p></w:tc><w:tc><w:tcPr><w:tcW w:type="dxa" w:w="2800"/><w:tcBorders><w:top w:val="single" w:color="CCCCCC" w:sz="1"/><w:left w:val="single" w:color="CCCCCC" w:sz="1"/><w:bottom w:val="single" w:color="CCCCCC" w:sz="1"/><w:right w:val="single" w:color="CCCCCC" w:sz="1"/></w:tcBorders><w:shd w:fill="4472C4" w:val="clear"/><w:tcMar><w:top w:type="dxa" w:w="80"/><w:left w:type="dxa" w:w="120"/><w:bottom w:type="dxa" w:w="80"/><w:right w:type="dxa" w:w="120"/></w:tcMar></w:tcPr><w:p><w:r><w:rPr><w:b/><w:bCs/><w:color w:val="FFFFFF"/></w:rPr><w:t xml:space="preserve">Confidence</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Non-Compete Agreements</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October 1, 2018</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Salary History Ban</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July 1, 2018</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Pay Transparency</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October 29, 2025</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Background Checks (Ban the Box)</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November 4, 2010 (initial); 2018 (amendments)</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Paid Family and Medical Leave</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January 1, 2021 (medical/bonding); July 1, 2021 (family care)</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Arbitration Agreements</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Ongoing (2009 Warfield decision)</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At-Will Employment</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Ongoing common law</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High</w:t></w:r></w:p></w:tc></w:tr><w:tr><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Drug Screening</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Ongoing (1994 Webster; 2017 Barbuto)</w:t></w:r></w:p></w:tc><w:tc><w:tcPr><w:tcW w:type="dxa" w:w="2800"/><w:tcBorders><w:top w:val="single" w:color="CCCCCC" w:sz="1"/><w:left w:val="single" w:color="CCCCCC" w:sz="1"/><w:bottom w:val="single" w:color="CCCCCC" w:sz="1"/><w:right w:val="single" w:color="CCCCCC" w:sz="1"/></w:tcBorders><w:tcMar><w:top w:type="dxa" w:w="80"/><w:left w:type="dxa" w:w="120"/><w:bottom w:type="dxa" w:w="80"/><w:right w:type="dxa" w:w="120"/></w:tcMar></w:tcPr><w:p><w:r><w:t xml:space="preserve">Medium-High</w:t></w:r></w:p></w:tc></w:tr></w:tbl><w:p/><w:p/><w:p><w:pPr><w:pStyle w:val="Heading2"/></w:pPr><w:r><w:t xml:space="preserve">Important Disclaimers</w:t></w:r></w:p><0/><w:p/><w:p><w:r><w:rPr><w:i/><w:iCs/></w:rPr><w:t xml:space="preserve">For the most current legal requirements, consult the Massachusetts Attorney General&apos;s website (mass.gov/ago), the Department of Family and Medical Leave (mass.gov/dfml), and qualified employment counsel.</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2026-01-13T05:41:39.663Z</dcterms:created>
  <dcterms:modified xsi:type="dcterms:W3CDTF">2026-01-13T05:41:39.664Z</dcterms:modified>
</cp:coreProperties>
</file>

<file path=docProps/custom.xml><?xml version="1.0" encoding="utf-8"?>
<Properties xmlns="http://schemas.openxmlformats.org/officeDocument/2006/custom-properties" xmlns:vt="http://schemas.openxmlformats.org/officeDocument/2006/docPropsVTypes"/>
</file>