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before="480" w:after="480" w:line="288" w:lineRule="auto"/>
        <w:ind w:left="0"/>
      </w:pPr>
      <w:r>
        <w:rPr>
          <w:rFonts w:eastAsia="等线" w:ascii="Arial" w:cs="Arial" w:hAnsi="Arial"/>
          <w:b w:val="true"/>
          <w:sz w:val="52"/>
        </w:rPr>
        <w:t>API任务模版优化</w:t>
      </w:r>
    </w:p>
    <w:p>
      <w:pPr>
        <w:pStyle w:val="1"/>
        <w:spacing w:before="380" w:after="140" w:line="288" w:lineRule="auto"/>
        <w:ind w:left="0"/>
        <w:jc w:val="left"/>
        <w:outlineLvl w:val="0"/>
      </w:pPr>
      <w:bookmarkStart w:name="heading_0" w:id="0"/>
      <w:r>
        <w:rPr>
          <w:rFonts w:eastAsia="等线" w:ascii="Arial" w:cs="Arial" w:hAnsi="Arial"/>
          <w:b w:val="true"/>
          <w:sz w:val="36"/>
        </w:rPr>
        <w:t>需求背景</w:t>
      </w:r>
      <w:bookmarkEnd w:id="0"/>
    </w:p>
    <w:p>
      <w:pPr>
        <w:spacing w:before="120" w:after="120" w:line="288" w:lineRule="auto"/>
        <w:ind w:left="0"/>
        <w:jc w:val="left"/>
      </w:pPr>
      <w:r>
        <w:rPr>
          <w:rFonts w:eastAsia="等线" w:ascii="Arial" w:cs="Arial" w:hAnsi="Arial"/>
          <w:sz w:val="22"/>
        </w:rPr>
        <w:t>现在API任务模版有3个主要的问题：</w:t>
      </w:r>
    </w:p>
    <w:p>
      <w:pPr>
        <w:numPr>
          <w:numId w:val="1"/>
        </w:numPr>
        <w:spacing w:before="120" w:after="120" w:line="288" w:lineRule="auto"/>
        <w:ind w:left="0"/>
        <w:jc w:val="left"/>
      </w:pPr>
      <w:r>
        <w:rPr>
          <w:rFonts w:eastAsia="等线" w:ascii="Arial" w:cs="Arial" w:hAnsi="Arial"/>
          <w:sz w:val="22"/>
        </w:rPr>
        <w:t>客户不知道什么情况下该使用API模版，需要增加一些场景介绍；</w:t>
      </w:r>
    </w:p>
    <w:p>
      <w:pPr>
        <w:numPr>
          <w:numId w:val="2"/>
        </w:numPr>
        <w:spacing w:before="120" w:after="120" w:line="288" w:lineRule="auto"/>
        <w:ind w:left="0"/>
        <w:jc w:val="left"/>
      </w:pPr>
      <w:r>
        <w:rPr>
          <w:rFonts w:eastAsia="等线" w:ascii="Arial" w:cs="Arial" w:hAnsi="Arial"/>
          <w:sz w:val="22"/>
        </w:rPr>
        <w:t>运营人员对API配置搞不清楚，需要界面更友好让他们能看懂；</w:t>
      </w:r>
    </w:p>
    <w:p>
      <w:pPr>
        <w:numPr>
          <w:numId w:val="3"/>
        </w:numPr>
        <w:spacing w:before="120" w:after="120" w:line="288" w:lineRule="auto"/>
        <w:ind w:left="0"/>
        <w:jc w:val="left"/>
      </w:pPr>
      <w:r>
        <w:rPr>
          <w:rFonts w:eastAsia="等线" w:ascii="Arial" w:cs="Arial" w:hAnsi="Arial"/>
          <w:sz w:val="22"/>
        </w:rPr>
        <w:t>API调试报错信息不清晰；</w:t>
      </w:r>
    </w:p>
    <w:p>
      <w:pPr>
        <w:pStyle w:val="1"/>
        <w:spacing w:before="380" w:after="140" w:line="288" w:lineRule="auto"/>
        <w:ind w:left="0"/>
        <w:jc w:val="left"/>
        <w:outlineLvl w:val="0"/>
      </w:pPr>
      <w:bookmarkStart w:name="heading_1" w:id="1"/>
      <w:r>
        <w:rPr>
          <w:rFonts w:eastAsia="等线" w:ascii="Arial" w:cs="Arial" w:hAnsi="Arial"/>
          <w:b w:val="true"/>
          <w:sz w:val="36"/>
        </w:rPr>
        <w:t>需求详情</w:t>
      </w:r>
      <w:bookmarkEnd w:id="1"/>
    </w:p>
    <w:p>
      <w:pPr>
        <w:pStyle w:val="3"/>
        <w:spacing w:before="300" w:after="120" w:line="288" w:lineRule="auto"/>
        <w:ind w:left="0"/>
        <w:jc w:val="left"/>
        <w:outlineLvl w:val="2"/>
      </w:pPr>
      <w:bookmarkStart w:name="heading_2" w:id="2"/>
      <w:r>
        <w:rPr>
          <w:rFonts w:eastAsia="等线" w:ascii="Arial" w:cs="Arial" w:hAnsi="Arial"/>
          <w:color w:val="3370ff"/>
          <w:sz w:val="30"/>
        </w:rPr>
        <w:t xml:space="preserve">1.1 </w:t>
      </w:r>
      <w:r>
        <w:rPr>
          <w:rFonts w:eastAsia="等线" w:ascii="Arial" w:cs="Arial" w:hAnsi="Arial"/>
          <w:b w:val="true"/>
          <w:sz w:val="30"/>
        </w:rPr>
        <w:t>第一步Set API URL</w:t>
      </w:r>
      <w:bookmarkEnd w:id="2"/>
    </w:p>
    <w:p>
      <w:pPr>
        <w:spacing w:before="120" w:after="120" w:line="288" w:lineRule="auto"/>
        <w:ind w:left="0"/>
        <w:jc w:val="center"/>
      </w:pPr>
      <w:r>
        <w:drawing>
          <wp:inline distT="0" distR="0" distB="0" distL="0">
            <wp:extent cx="5257800" cy="36195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5"/>
                    <a:stretch>
                      <a:fillRect/>
                    </a:stretch>
                  </pic:blipFill>
                  <pic:spPr>
                    <a:xfrm>
                      <a:off x="0" y="0"/>
                      <a:ext cx="5257800" cy="3619500"/>
                    </a:xfrm>
                    <a:prstGeom prst="rect">
                      <a:avLst/>
                    </a:prstGeom>
                  </pic:spPr>
                </pic:pic>
              </a:graphicData>
            </a:graphic>
          </wp:inline>
        </w:drawing>
      </w:r>
    </w:p>
    <w:p>
      <w:pPr>
        <w:numPr>
          <w:numId w:val="4"/>
        </w:numPr>
        <w:spacing w:before="120" w:after="120" w:line="288" w:lineRule="auto"/>
        <w:ind w:left="0"/>
        <w:jc w:val="left"/>
      </w:pPr>
      <w:r>
        <w:rPr>
          <w:rFonts w:eastAsia="等线" w:ascii="Arial" w:cs="Arial" w:hAnsi="Arial"/>
          <w:sz w:val="22"/>
        </w:rPr>
        <w:t>增加了四种API场景的介绍，介绍文案如下</w:t>
      </w:r>
    </w:p>
    <w:p>
      <w:pPr>
        <w:numPr>
          <w:numId w:val="5"/>
        </w:numPr>
        <w:spacing w:before="120" w:after="120" w:line="288" w:lineRule="auto"/>
        <w:ind w:left="453"/>
        <w:jc w:val="left"/>
      </w:pPr>
      <w:r>
        <w:rPr>
          <w:rFonts w:eastAsia="等线" w:ascii="Arial" w:cs="Arial" w:hAnsi="Arial"/>
          <w:sz w:val="22"/>
        </w:rPr>
        <w:t>Onchain Actions：If you want to verify a user's Onchain Actions but Taskon has not yet integrated this type of Action, you can develop your own API for verification. In this case, you will need to use the wallet address as a parameter to identify the user.</w:t>
      </w:r>
    </w:p>
    <w:p>
      <w:pPr>
        <w:numPr>
          <w:numId w:val="6"/>
        </w:numPr>
        <w:spacing w:before="120" w:after="120" w:line="288" w:lineRule="auto"/>
        <w:ind w:left="453"/>
        <w:jc w:val="left"/>
      </w:pPr>
      <w:r>
        <w:rPr>
          <w:rFonts w:eastAsia="等线" w:ascii="Arial" w:cs="Arial" w:hAnsi="Arial"/>
          <w:sz w:val="22"/>
        </w:rPr>
        <w:t>Dapp Registration：If you want to verify that a user has successfully registered on your dapp, you can develop your own API for verification. For example, if your dapp uses email for registration, you can select the email from social media as a parameter to identify the user.</w:t>
      </w:r>
    </w:p>
    <w:p>
      <w:pPr>
        <w:numPr>
          <w:numId w:val="7"/>
        </w:numPr>
        <w:spacing w:before="120" w:after="120" w:line="288" w:lineRule="auto"/>
        <w:ind w:left="453"/>
        <w:jc w:val="left"/>
      </w:pPr>
      <w:r>
        <w:rPr>
          <w:rFonts w:eastAsia="等线" w:ascii="Arial" w:cs="Arial" w:hAnsi="Arial"/>
          <w:sz w:val="22"/>
        </w:rPr>
        <w:t>Dapp Interaction：If you want users to complete specific interactions on your dapp, such as playing a game or booking a hotel, you can develop your own API for verification. If your users register with an email, you can use the email from social media as a parameter to identify them.</w:t>
      </w:r>
    </w:p>
    <w:p>
      <w:pPr>
        <w:numPr>
          <w:numId w:val="8"/>
        </w:numPr>
        <w:spacing w:before="120" w:after="120" w:line="288" w:lineRule="auto"/>
        <w:ind w:left="453"/>
        <w:jc w:val="left"/>
      </w:pPr>
      <w:r>
        <w:rPr>
          <w:rFonts w:eastAsia="等线" w:ascii="Arial" w:cs="Arial" w:hAnsi="Arial"/>
          <w:sz w:val="22"/>
        </w:rPr>
        <w:t>Other Scenarios：If you want to verify other types of parameters, you can use Customized Data. This field allows you to transmit any data you define, but you need to clearly explain its meaning to users in the description.</w:t>
      </w:r>
    </w:p>
    <w:p>
      <w:pPr>
        <w:numPr>
          <w:numId w:val="9"/>
        </w:numPr>
        <w:spacing w:before="120" w:after="120" w:line="288" w:lineRule="auto"/>
        <w:ind w:left="0"/>
        <w:jc w:val="left"/>
      </w:pPr>
      <w:r>
        <w:rPr>
          <w:rFonts w:eastAsia="等线" w:ascii="Arial" w:cs="Arial" w:hAnsi="Arial"/>
          <w:sz w:val="22"/>
        </w:rPr>
        <w:t>下面只是调整了排版，所有功能没有变化</w:t>
      </w:r>
    </w:p>
    <w:p>
      <w:pPr>
        <w:pStyle w:val="2"/>
        <w:spacing w:before="320" w:after="120" w:line="288" w:lineRule="auto"/>
        <w:ind w:left="0"/>
        <w:jc w:val="left"/>
        <w:outlineLvl w:val="1"/>
      </w:pPr>
      <w:bookmarkStart w:name="heading_3" w:id="3"/>
      <w:r>
        <w:rPr>
          <w:rFonts w:eastAsia="等线" w:ascii="Arial" w:cs="Arial" w:hAnsi="Arial"/>
          <w:color w:val="3370ff"/>
          <w:sz w:val="32"/>
        </w:rPr>
        <w:t xml:space="preserve">2. </w:t>
      </w:r>
      <w:r>
        <w:rPr>
          <w:rFonts w:eastAsia="等线" w:ascii="Arial" w:cs="Arial" w:hAnsi="Arial"/>
          <w:b w:val="true"/>
          <w:sz w:val="32"/>
        </w:rPr>
        <w:t>第二步Verify your API</w:t>
      </w:r>
      <w:bookmarkEnd w:id="3"/>
    </w:p>
    <w:p>
      <w:pPr>
        <w:pStyle w:val="3"/>
        <w:spacing w:before="300" w:after="120" w:line="288" w:lineRule="auto"/>
        <w:ind w:left="0"/>
        <w:jc w:val="left"/>
        <w:outlineLvl w:val="2"/>
      </w:pPr>
      <w:bookmarkStart w:name="heading_4" w:id="4"/>
      <w:r>
        <w:rPr>
          <w:rFonts w:eastAsia="等线" w:ascii="Arial" w:cs="Arial" w:hAnsi="Arial"/>
          <w:color w:val="3370ff"/>
          <w:sz w:val="30"/>
        </w:rPr>
        <w:t xml:space="preserve">2.1 </w:t>
      </w:r>
      <w:r>
        <w:rPr>
          <w:rFonts w:eastAsia="等线" w:ascii="Arial" w:cs="Arial" w:hAnsi="Arial"/>
          <w:b w:val="true"/>
          <w:sz w:val="30"/>
        </w:rPr>
        <w:t>Performance Based API</w:t>
      </w:r>
      <w:bookmarkEnd w:id="4"/>
    </w:p>
    <w:p>
      <w:pPr>
        <w:spacing w:before="120" w:after="120" w:line="288" w:lineRule="auto"/>
        <w:ind w:left="0"/>
        <w:jc w:val="center"/>
      </w:pPr>
      <w:r>
        <w:drawing>
          <wp:inline distT="0" distR="0" distB="0" distL="0">
            <wp:extent cx="5257800" cy="2981325"/>
            <wp:docPr id="1" name="Drawing 1" descr=""/>
            <a:graphic xmlns:a="http://schemas.openxmlformats.org/drawingml/2006/main">
              <a:graphicData uri="http://schemas.openxmlformats.org/drawingml/2006/picture">
                <pic:pic xmlns:pic="http://schemas.openxmlformats.org/drawingml/2006/picture">
                  <pic:nvPicPr>
                    <pic:cNvPr id="0" name="Picture 1" descr=""/>
                    <pic:cNvPicPr>
                      <a:picLocks noChangeAspect="true"/>
                    </pic:cNvPicPr>
                  </pic:nvPicPr>
                  <pic:blipFill>
                    <a:blip r:embed="rId6"/>
                    <a:stretch>
                      <a:fillRect/>
                    </a:stretch>
                  </pic:blipFill>
                  <pic:spPr>
                    <a:xfrm>
                      <a:off x="0" y="0"/>
                      <a:ext cx="5257800" cy="2981325"/>
                    </a:xfrm>
                    <a:prstGeom prst="rect">
                      <a:avLst/>
                    </a:prstGeom>
                  </pic:spPr>
                </pic:pic>
              </a:graphicData>
            </a:graphic>
          </wp:inline>
        </w:drawing>
      </w:r>
    </w:p>
    <w:p>
      <w:pPr>
        <w:numPr>
          <w:numId w:val="10"/>
        </w:numPr>
        <w:spacing w:before="120" w:after="120" w:line="288" w:lineRule="auto"/>
        <w:ind w:left="0"/>
        <w:jc w:val="left"/>
      </w:pPr>
      <w:r>
        <w:rPr>
          <w:rFonts w:eastAsia="等线" w:ascii="Arial" w:cs="Arial" w:hAnsi="Arial"/>
          <w:sz w:val="22"/>
        </w:rPr>
        <w:t>上一步骤选择了什么参数，这里就会要求用户填写什么参数，这部分逻辑没有变化；</w:t>
      </w:r>
    </w:p>
    <w:p>
      <w:pPr>
        <w:numPr>
          <w:numId w:val="11"/>
        </w:numPr>
        <w:spacing w:before="120" w:after="120" w:line="288" w:lineRule="auto"/>
        <w:ind w:left="453"/>
        <w:jc w:val="left"/>
      </w:pPr>
      <w:r>
        <w:rPr>
          <w:rFonts w:eastAsia="等线" w:ascii="Arial" w:cs="Arial" w:hAnsi="Arial"/>
          <w:sz w:val="22"/>
        </w:rPr>
        <w:t>点击Verify，则调用API接口，并且把调试结果展示在下面的Response区域</w:t>
      </w:r>
    </w:p>
    <w:p>
      <w:pPr>
        <w:numPr>
          <w:numId w:val="12"/>
        </w:numPr>
        <w:spacing w:before="120" w:after="120" w:line="288" w:lineRule="auto"/>
        <w:ind w:left="0"/>
        <w:jc w:val="left"/>
      </w:pPr>
      <w:r>
        <w:rPr>
          <w:rFonts w:eastAsia="等线" w:ascii="Arial" w:cs="Arial" w:hAnsi="Arial"/>
          <w:sz w:val="22"/>
        </w:rPr>
        <w:t>增加了Response区域</w:t>
      </w:r>
    </w:p>
    <w:p>
      <w:pPr>
        <w:numPr>
          <w:numId w:val="13"/>
        </w:numPr>
        <w:spacing w:before="120" w:after="120" w:line="288" w:lineRule="auto"/>
        <w:ind w:left="453"/>
        <w:jc w:val="left"/>
      </w:pPr>
      <w:r>
        <w:rPr>
          <w:rFonts w:eastAsia="等线" w:ascii="Arial" w:cs="Arial" w:hAnsi="Arial"/>
          <w:sz w:val="22"/>
        </w:rPr>
        <w:t>展示报错内容，这部分报错文案要调整成运营能读懂的</w:t>
      </w:r>
    </w:p>
    <w:p>
      <w:pPr>
        <w:numPr>
          <w:numId w:val="14"/>
        </w:numPr>
        <w:spacing w:before="120" w:after="120" w:line="288" w:lineRule="auto"/>
        <w:ind w:left="453"/>
        <w:jc w:val="left"/>
      </w:pPr>
      <w:r>
        <w:rPr>
          <w:rFonts w:eastAsia="等线" w:ascii="Arial" w:cs="Arial" w:hAnsi="Arial"/>
          <w:sz w:val="22"/>
        </w:rPr>
        <w:t>Your API Response，这里展示对方API完整的返回内容</w:t>
      </w:r>
    </w:p>
    <w:p>
      <w:pPr>
        <w:numPr>
          <w:numId w:val="15"/>
        </w:numPr>
        <w:spacing w:before="120" w:after="120" w:line="288" w:lineRule="auto"/>
        <w:ind w:left="453"/>
        <w:jc w:val="left"/>
      </w:pPr>
      <w:r>
        <w:rPr>
          <w:rFonts w:eastAsia="等线" w:ascii="Arial" w:cs="Arial" w:hAnsi="Arial"/>
          <w:sz w:val="22"/>
        </w:rPr>
        <w:t>Example，切换到Example，展示我们要求的API返回样例</w:t>
      </w:r>
    </w:p>
    <w:p>
      <w:pPr>
        <w:numPr>
          <w:numId w:val="16"/>
        </w:numPr>
        <w:spacing w:before="120" w:after="120" w:line="288" w:lineRule="auto"/>
        <w:ind w:left="453"/>
        <w:jc w:val="left"/>
      </w:pPr>
      <w:r>
        <w:rPr>
          <w:rFonts w:eastAsia="等线" w:ascii="Arial" w:cs="Arial" w:hAnsi="Arial"/>
          <w:sz w:val="22"/>
        </w:rPr>
        <w:t>点击API Standards Specification，跳转文档</w:t>
      </w:r>
    </w:p>
    <w:p>
      <w:pPr>
        <w:spacing w:before="120" w:after="120" w:line="288" w:lineRule="auto"/>
        <w:ind w:left="0"/>
        <w:jc w:val="center"/>
      </w:pPr>
      <w:r>
        <w:drawing>
          <wp:inline distT="0" distR="0" distB="0" distL="0">
            <wp:extent cx="5257800" cy="2962275"/>
            <wp:docPr id="2" name="Drawing 2" descr=""/>
            <a:graphic xmlns:a="http://schemas.openxmlformats.org/drawingml/2006/main">
              <a:graphicData uri="http://schemas.openxmlformats.org/drawingml/2006/picture">
                <pic:pic xmlns:pic="http://schemas.openxmlformats.org/drawingml/2006/picture">
                  <pic:nvPicPr>
                    <pic:cNvPr id="0" name="Picture 2" descr=""/>
                    <pic:cNvPicPr>
                      <a:picLocks noChangeAspect="true"/>
                    </pic:cNvPicPr>
                  </pic:nvPicPr>
                  <pic:blipFill>
                    <a:blip r:embed="rId7"/>
                    <a:stretch>
                      <a:fillRect/>
                    </a:stretch>
                  </pic:blipFill>
                  <pic:spPr>
                    <a:xfrm>
                      <a:off x="0" y="0"/>
                      <a:ext cx="5257800" cy="2962275"/>
                    </a:xfrm>
                    <a:prstGeom prst="rect">
                      <a:avLst/>
                    </a:prstGeom>
                  </pic:spPr>
                </pic:pic>
              </a:graphicData>
            </a:graphic>
          </wp:inline>
        </w:drawing>
      </w:r>
    </w:p>
    <w:p>
      <w:pPr>
        <w:numPr>
          <w:numId w:val="17"/>
        </w:numPr>
        <w:spacing w:before="120" w:after="120" w:line="288" w:lineRule="auto"/>
        <w:ind w:left="0"/>
        <w:jc w:val="left"/>
      </w:pPr>
      <w:r>
        <w:rPr>
          <w:rFonts w:eastAsia="等线" w:ascii="Arial" w:cs="Arial" w:hAnsi="Arial"/>
          <w:sz w:val="22"/>
        </w:rPr>
        <w:t>返回结果正确，才能点击Confirm，否则Confirm不能点击</w:t>
      </w:r>
    </w:p>
    <w:p>
      <w:pPr>
        <w:pStyle w:val="3"/>
        <w:spacing w:before="300" w:after="120" w:line="288" w:lineRule="auto"/>
        <w:ind w:left="0"/>
        <w:jc w:val="left"/>
        <w:outlineLvl w:val="2"/>
      </w:pPr>
      <w:bookmarkStart w:name="heading_5" w:id="5"/>
      <w:r>
        <w:rPr>
          <w:rFonts w:eastAsia="等线" w:ascii="Arial" w:cs="Arial" w:hAnsi="Arial"/>
          <w:color w:val="3370ff"/>
          <w:sz w:val="30"/>
        </w:rPr>
        <w:t xml:space="preserve">2.2 </w:t>
      </w:r>
      <w:r>
        <w:rPr>
          <w:rFonts w:eastAsia="等线" w:ascii="Arial" w:cs="Arial" w:hAnsi="Arial"/>
          <w:b w:val="true"/>
          <w:sz w:val="30"/>
        </w:rPr>
        <w:t>Completion Based API</w:t>
      </w:r>
      <w:bookmarkEnd w:id="5"/>
    </w:p>
    <w:p>
      <w:pPr>
        <w:spacing w:before="120" w:after="120" w:line="288" w:lineRule="auto"/>
        <w:ind w:left="0"/>
        <w:jc w:val="center"/>
      </w:pPr>
      <w:r>
        <w:drawing>
          <wp:inline distT="0" distR="0" distB="0" distL="0">
            <wp:extent cx="5257800" cy="3086100"/>
            <wp:docPr id="3" name="Drawing 3" descr=""/>
            <a:graphic xmlns:a="http://schemas.openxmlformats.org/drawingml/2006/main">
              <a:graphicData uri="http://schemas.openxmlformats.org/drawingml/2006/picture">
                <pic:pic xmlns:pic="http://schemas.openxmlformats.org/drawingml/2006/picture">
                  <pic:nvPicPr>
                    <pic:cNvPr id="0" name="Picture 3" descr=""/>
                    <pic:cNvPicPr>
                      <a:picLocks noChangeAspect="true"/>
                    </pic:cNvPicPr>
                  </pic:nvPicPr>
                  <pic:blipFill>
                    <a:blip r:embed="rId8"/>
                    <a:stretch>
                      <a:fillRect/>
                    </a:stretch>
                  </pic:blipFill>
                  <pic:spPr>
                    <a:xfrm>
                      <a:off x="0" y="0"/>
                      <a:ext cx="5257800" cy="3086100"/>
                    </a:xfrm>
                    <a:prstGeom prst="rect">
                      <a:avLst/>
                    </a:prstGeom>
                  </pic:spPr>
                </pic:pic>
              </a:graphicData>
            </a:graphic>
          </wp:inline>
        </w:drawing>
      </w:r>
    </w:p>
    <w:p>
      <w:pPr>
        <w:numPr>
          <w:numId w:val="18"/>
        </w:numPr>
        <w:spacing w:before="120" w:after="120" w:line="288" w:lineRule="auto"/>
        <w:ind w:left="0"/>
        <w:jc w:val="left"/>
      </w:pPr>
      <w:r>
        <w:rPr>
          <w:rFonts w:eastAsia="等线" w:ascii="Arial" w:cs="Arial" w:hAnsi="Arial"/>
          <w:sz w:val="22"/>
        </w:rPr>
        <w:t>需要测试Qulified User和Not Qualified User，但是这两类User可以分别测试，有两个Verify按钮</w:t>
      </w:r>
    </w:p>
    <w:p>
      <w:pPr>
        <w:numPr>
          <w:numId w:val="19"/>
        </w:numPr>
        <w:spacing w:before="120" w:after="120" w:line="288" w:lineRule="auto"/>
        <w:ind w:left="453"/>
        <w:jc w:val="left"/>
      </w:pPr>
      <w:r>
        <w:rPr>
          <w:rFonts w:eastAsia="等线" w:ascii="Arial" w:cs="Arial" w:hAnsi="Arial"/>
          <w:sz w:val="22"/>
        </w:rPr>
        <w:t>最开始Qualified和Not Qualified，都没有打勾</w:t>
      </w:r>
    </w:p>
    <w:p>
      <w:pPr>
        <w:numPr>
          <w:numId w:val="20"/>
        </w:numPr>
        <w:spacing w:before="120" w:after="120" w:line="288" w:lineRule="auto"/>
        <w:ind w:left="453"/>
        <w:jc w:val="left"/>
      </w:pPr>
      <w:r>
        <w:rPr>
          <w:rFonts w:eastAsia="等线" w:ascii="Arial" w:cs="Arial" w:hAnsi="Arial"/>
          <w:sz w:val="22"/>
        </w:rPr>
        <w:t>比如客户先填写了一个Qualified，点击Verify，下面Response区域展示返回结果</w:t>
      </w:r>
    </w:p>
    <w:p>
      <w:pPr>
        <w:numPr>
          <w:numId w:val="21"/>
        </w:numPr>
        <w:spacing w:before="120" w:after="120" w:line="288" w:lineRule="auto"/>
        <w:ind w:left="907"/>
        <w:jc w:val="left"/>
      </w:pPr>
      <w:r>
        <w:rPr>
          <w:rFonts w:eastAsia="等线" w:ascii="Arial" w:cs="Arial" w:hAnsi="Arial"/>
          <w:sz w:val="22"/>
        </w:rPr>
        <w:t>注意：该返回结果必须返回为合格，才算通过，这时候给Qualified前面打上勾</w:t>
      </w:r>
    </w:p>
    <w:p>
      <w:pPr>
        <w:numPr>
          <w:numId w:val="22"/>
        </w:numPr>
        <w:spacing w:before="120" w:after="120" w:line="288" w:lineRule="auto"/>
        <w:ind w:left="907"/>
        <w:jc w:val="left"/>
      </w:pPr>
      <w:r>
        <w:rPr>
          <w:rFonts w:eastAsia="等线" w:ascii="Arial" w:cs="Arial" w:hAnsi="Arial"/>
          <w:sz w:val="22"/>
        </w:rPr>
        <w:t>如果返回结果为不合格，需要在文案中清晰的告知是这种情况</w:t>
      </w:r>
    </w:p>
    <w:p>
      <w:pPr>
        <w:numPr>
          <w:numId w:val="23"/>
        </w:numPr>
        <w:spacing w:before="120" w:after="120" w:line="288" w:lineRule="auto"/>
        <w:ind w:left="453"/>
        <w:jc w:val="left"/>
      </w:pPr>
      <w:r>
        <w:rPr>
          <w:rFonts w:eastAsia="等线" w:ascii="Arial" w:cs="Arial" w:hAnsi="Arial"/>
          <w:sz w:val="22"/>
        </w:rPr>
        <w:t>再验证Not Qualified，返回结果必须为不合格，才算通过</w:t>
      </w:r>
    </w:p>
    <w:p>
      <w:pPr>
        <w:numPr>
          <w:numId w:val="24"/>
        </w:numPr>
        <w:spacing w:before="120" w:after="120" w:line="288" w:lineRule="auto"/>
        <w:ind w:left="0"/>
        <w:jc w:val="left"/>
      </w:pPr>
      <w:r>
        <w:rPr>
          <w:rFonts w:eastAsia="等线" w:ascii="Arial" w:cs="Arial" w:hAnsi="Arial"/>
          <w:sz w:val="22"/>
        </w:rPr>
        <w:t>Qualified和Not Qualified都打上勾，Confirm按钮才能点击</w:t>
      </w:r>
    </w:p>
    <w:sectPr>
      <w:footerReference w:type="default" r:id="rId3"/>
      <w:headerReference w:type="default" r:id="rId9"/>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74626">
    <w:lvl>
      <w:start w:val="1"/>
      <w:numFmt w:val="decimal"/>
      <w:suff w:val="tab"/>
      <w:lvlText w:val="%1."/>
      <w:rPr>
        <w:color w:val="3370ff"/>
      </w:rPr>
    </w:lvl>
  </w:abstractNum>
  <w:abstractNum w:abstractNumId="74627">
    <w:lvl>
      <w:start w:val="2"/>
      <w:numFmt w:val="decimal"/>
      <w:suff w:val="tab"/>
      <w:lvlText w:val="%1."/>
      <w:rPr>
        <w:color w:val="3370ff"/>
      </w:rPr>
    </w:lvl>
  </w:abstractNum>
  <w:abstractNum w:abstractNumId="74628">
    <w:lvl>
      <w:start w:val="3"/>
      <w:numFmt w:val="decimal"/>
      <w:suff w:val="tab"/>
      <w:lvlText w:val="%1."/>
      <w:rPr>
        <w:color w:val="3370ff"/>
      </w:rPr>
    </w:lvl>
  </w:abstractNum>
  <w:abstractNum w:abstractNumId="74629">
    <w:lvl>
      <w:start w:val="1"/>
      <w:numFmt w:val="decimal"/>
      <w:suff w:val="tab"/>
      <w:lvlText w:val="%1."/>
      <w:rPr>
        <w:color w:val="3370ff"/>
      </w:rPr>
    </w:lvl>
  </w:abstractNum>
  <w:abstractNum w:abstractNumId="74630">
    <w:lvl>
      <w:start w:val="1"/>
      <w:numFmt w:val="lowerLetter"/>
      <w:suff w:val="tab"/>
      <w:lvlText w:val="%1."/>
      <w:rPr>
        <w:color w:val="3370ff"/>
      </w:rPr>
    </w:lvl>
  </w:abstractNum>
  <w:abstractNum w:abstractNumId="74631">
    <w:lvl>
      <w:start w:val="2"/>
      <w:numFmt w:val="lowerLetter"/>
      <w:suff w:val="tab"/>
      <w:lvlText w:val="%1."/>
      <w:rPr>
        <w:color w:val="3370ff"/>
      </w:rPr>
    </w:lvl>
  </w:abstractNum>
  <w:abstractNum w:abstractNumId="74632">
    <w:lvl>
      <w:start w:val="3"/>
      <w:numFmt w:val="lowerLetter"/>
      <w:suff w:val="tab"/>
      <w:lvlText w:val="%1."/>
      <w:rPr>
        <w:color w:val="3370ff"/>
      </w:rPr>
    </w:lvl>
  </w:abstractNum>
  <w:abstractNum w:abstractNumId="74633">
    <w:lvl>
      <w:start w:val="4"/>
      <w:numFmt w:val="lowerLetter"/>
      <w:suff w:val="tab"/>
      <w:lvlText w:val="%1."/>
      <w:rPr>
        <w:color w:val="3370ff"/>
      </w:rPr>
    </w:lvl>
  </w:abstractNum>
  <w:abstractNum w:abstractNumId="74634">
    <w:lvl>
      <w:start w:val="2"/>
      <w:numFmt w:val="decimal"/>
      <w:suff w:val="tab"/>
      <w:lvlText w:val="%1."/>
      <w:rPr>
        <w:color w:val="3370ff"/>
      </w:rPr>
    </w:lvl>
  </w:abstractNum>
  <w:abstractNum w:abstractNumId="74635">
    <w:lvl>
      <w:start w:val="1"/>
      <w:numFmt w:val="decimal"/>
      <w:suff w:val="tab"/>
      <w:lvlText w:val="%1."/>
      <w:rPr>
        <w:color w:val="3370ff"/>
      </w:rPr>
    </w:lvl>
  </w:abstractNum>
  <w:abstractNum w:abstractNumId="74636">
    <w:lvl>
      <w:start w:val="1"/>
      <w:numFmt w:val="lowerLetter"/>
      <w:suff w:val="tab"/>
      <w:lvlText w:val="%1."/>
      <w:rPr>
        <w:color w:val="3370ff"/>
      </w:rPr>
    </w:lvl>
  </w:abstractNum>
  <w:abstractNum w:abstractNumId="74637">
    <w:lvl>
      <w:start w:val="2"/>
      <w:numFmt w:val="decimal"/>
      <w:suff w:val="tab"/>
      <w:lvlText w:val="%1."/>
      <w:rPr>
        <w:color w:val="3370ff"/>
      </w:rPr>
    </w:lvl>
  </w:abstractNum>
  <w:abstractNum w:abstractNumId="74638">
    <w:lvl>
      <w:start w:val="1"/>
      <w:numFmt w:val="lowerLetter"/>
      <w:suff w:val="tab"/>
      <w:lvlText w:val="%1."/>
      <w:rPr>
        <w:color w:val="3370ff"/>
      </w:rPr>
    </w:lvl>
  </w:abstractNum>
  <w:abstractNum w:abstractNumId="74639">
    <w:lvl>
      <w:start w:val="2"/>
      <w:numFmt w:val="lowerLetter"/>
      <w:suff w:val="tab"/>
      <w:lvlText w:val="%1."/>
      <w:rPr>
        <w:color w:val="3370ff"/>
      </w:rPr>
    </w:lvl>
  </w:abstractNum>
  <w:abstractNum w:abstractNumId="74640">
    <w:lvl>
      <w:start w:val="3"/>
      <w:numFmt w:val="lowerLetter"/>
      <w:suff w:val="tab"/>
      <w:lvlText w:val="%1."/>
      <w:rPr>
        <w:color w:val="3370ff"/>
      </w:rPr>
    </w:lvl>
  </w:abstractNum>
  <w:abstractNum w:abstractNumId="74641">
    <w:lvl>
      <w:start w:val="4"/>
      <w:numFmt w:val="lowerLetter"/>
      <w:suff w:val="tab"/>
      <w:lvlText w:val="%1."/>
      <w:rPr>
        <w:color w:val="3370ff"/>
      </w:rPr>
    </w:lvl>
  </w:abstractNum>
  <w:abstractNum w:abstractNumId="74642">
    <w:lvl>
      <w:start w:val="1"/>
      <w:numFmt w:val="decimal"/>
      <w:suff w:val="tab"/>
      <w:lvlText w:val="%1."/>
      <w:rPr>
        <w:color w:val="3370ff"/>
      </w:rPr>
    </w:lvl>
  </w:abstractNum>
  <w:abstractNum w:abstractNumId="74643">
    <w:lvl>
      <w:start w:val="1"/>
      <w:numFmt w:val="decimal"/>
      <w:suff w:val="tab"/>
      <w:lvlText w:val="%1."/>
      <w:rPr>
        <w:color w:val="3370ff"/>
      </w:rPr>
    </w:lvl>
  </w:abstractNum>
  <w:abstractNum w:abstractNumId="74644">
    <w:lvl>
      <w:start w:val="1"/>
      <w:numFmt w:val="lowerLetter"/>
      <w:suff w:val="tab"/>
      <w:lvlText w:val="%1."/>
      <w:rPr>
        <w:color w:val="3370ff"/>
      </w:rPr>
    </w:lvl>
  </w:abstractNum>
  <w:abstractNum w:abstractNumId="74645">
    <w:lvl>
      <w:start w:val="2"/>
      <w:numFmt w:val="lowerLetter"/>
      <w:suff w:val="tab"/>
      <w:lvlText w:val="%1."/>
      <w:rPr>
        <w:color w:val="3370ff"/>
      </w:rPr>
    </w:lvl>
  </w:abstractNum>
  <w:abstractNum w:abstractNumId="74646">
    <w:lvl>
      <w:start w:val="1"/>
      <w:numFmt w:val="lowerRoman"/>
      <w:suff w:val="tab"/>
      <w:lvlText w:val="%1."/>
      <w:rPr>
        <w:color w:val="3370ff"/>
      </w:rPr>
    </w:lvl>
  </w:abstractNum>
  <w:abstractNum w:abstractNumId="74647">
    <w:lvl>
      <w:start w:val="2"/>
      <w:numFmt w:val="lowerRoman"/>
      <w:suff w:val="tab"/>
      <w:lvlText w:val="%1."/>
      <w:rPr>
        <w:color w:val="3370ff"/>
      </w:rPr>
    </w:lvl>
  </w:abstractNum>
  <w:abstractNum w:abstractNumId="74648">
    <w:lvl>
      <w:start w:val="3"/>
      <w:numFmt w:val="lowerLetter"/>
      <w:suff w:val="tab"/>
      <w:lvlText w:val="%1."/>
      <w:rPr>
        <w:color w:val="3370ff"/>
      </w:rPr>
    </w:lvl>
  </w:abstractNum>
  <w:abstractNum w:abstractNumId="74649">
    <w:lvl>
      <w:start w:val="2"/>
      <w:numFmt w:val="decimal"/>
      <w:suff w:val="tab"/>
      <w:lvlText w:val="%1."/>
      <w:rPr>
        <w:color w:val="3370ff"/>
      </w:rPr>
    </w:lvl>
  </w:abstractNum>
  <w:num w:numId="1">
    <w:abstractNumId w:val="74626"/>
  </w:num>
  <w:num w:numId="2">
    <w:abstractNumId w:val="74627"/>
  </w:num>
  <w:num w:numId="3">
    <w:abstractNumId w:val="74628"/>
  </w:num>
  <w:num w:numId="4">
    <w:abstractNumId w:val="74629"/>
  </w:num>
  <w:num w:numId="5">
    <w:abstractNumId w:val="74630"/>
  </w:num>
  <w:num w:numId="6">
    <w:abstractNumId w:val="74631"/>
  </w:num>
  <w:num w:numId="7">
    <w:abstractNumId w:val="74632"/>
  </w:num>
  <w:num w:numId="8">
    <w:abstractNumId w:val="74633"/>
  </w:num>
  <w:num w:numId="9">
    <w:abstractNumId w:val="74634"/>
  </w:num>
  <w:num w:numId="10">
    <w:abstractNumId w:val="74635"/>
  </w:num>
  <w:num w:numId="11">
    <w:abstractNumId w:val="74636"/>
  </w:num>
  <w:num w:numId="12">
    <w:abstractNumId w:val="74637"/>
  </w:num>
  <w:num w:numId="13">
    <w:abstractNumId w:val="74638"/>
  </w:num>
  <w:num w:numId="14">
    <w:abstractNumId w:val="74639"/>
  </w:num>
  <w:num w:numId="15">
    <w:abstractNumId w:val="74640"/>
  </w:num>
  <w:num w:numId="16">
    <w:abstractNumId w:val="74641"/>
  </w:num>
  <w:num w:numId="17">
    <w:abstractNumId w:val="74642"/>
  </w:num>
  <w:num w:numId="18">
    <w:abstractNumId w:val="74643"/>
  </w:num>
  <w:num w:numId="19">
    <w:abstractNumId w:val="74644"/>
  </w:num>
  <w:num w:numId="20">
    <w:abstractNumId w:val="74645"/>
  </w:num>
  <w:num w:numId="21">
    <w:abstractNumId w:val="74646"/>
  </w:num>
  <w:num w:numId="22">
    <w:abstractNumId w:val="74647"/>
  </w:num>
  <w:num w:numId="23">
    <w:abstractNumId w:val="74648"/>
  </w:num>
  <w:num w:numId="24">
    <w:abstractNumId w:val="74649"/>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media/image4.png" Type="http://schemas.openxmlformats.org/officeDocument/2006/relationships/image"/><Relationship Id="rId9"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2025-08-12T01:58:43Z</dcterms:created>
  <dc:creator>Apache POI</dc:creator>
</cp:coreProperties>
</file>