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55" w:rsidRDefault="00342F2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031F55" w:rsidRDefault="00342F2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031F55" w:rsidRDefault="00031F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1F55">
        <w:tc>
          <w:tcPr>
            <w:tcW w:w="4508" w:type="dxa"/>
          </w:tcPr>
          <w:p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031F55" w:rsidTr="00342F2F">
        <w:trPr>
          <w:trHeight w:val="143"/>
        </w:trPr>
        <w:tc>
          <w:tcPr>
            <w:tcW w:w="4508" w:type="dxa"/>
          </w:tcPr>
          <w:p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31F55" w:rsidRDefault="00342F2F">
            <w:pPr>
              <w:rPr>
                <w:rFonts w:ascii="Calibri" w:eastAsia="Calibri" w:hAnsi="Calibri" w:cs="Calibri"/>
              </w:rPr>
            </w:pPr>
            <w:r>
              <w:t>LTVIP2025TMID38625</w:t>
            </w:r>
          </w:p>
        </w:tc>
      </w:tr>
      <w:tr w:rsidR="00031F55">
        <w:tc>
          <w:tcPr>
            <w:tcW w:w="4508" w:type="dxa"/>
          </w:tcPr>
          <w:p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031F55">
        <w:tc>
          <w:tcPr>
            <w:tcW w:w="4508" w:type="dxa"/>
          </w:tcPr>
          <w:p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31F55" w:rsidRDefault="00031F55">
            <w:pPr>
              <w:rPr>
                <w:rFonts w:ascii="Calibri" w:eastAsia="Calibri" w:hAnsi="Calibri" w:cs="Calibri"/>
              </w:rPr>
            </w:pPr>
          </w:p>
        </w:tc>
      </w:tr>
    </w:tbl>
    <w:p w:rsidR="00031F55" w:rsidRDefault="00031F55">
      <w:pPr>
        <w:spacing w:after="160" w:line="259" w:lineRule="auto"/>
        <w:rPr>
          <w:rFonts w:ascii="Calibri" w:eastAsia="Calibri" w:hAnsi="Calibri" w:cs="Calibri"/>
          <w:b/>
        </w:rPr>
      </w:pPr>
    </w:p>
    <w:p w:rsidR="00342F2F" w:rsidRPr="00342F2F" w:rsidRDefault="00342F2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342F2F">
        <w:rPr>
          <w:rFonts w:ascii="Segoe UI Symbol" w:hAnsi="Segoe UI Symbol" w:cs="Segoe UI Symbol"/>
          <w:sz w:val="36"/>
          <w:szCs w:val="36"/>
        </w:rPr>
        <w:t>📊</w:t>
      </w:r>
      <w:r w:rsidRPr="00342F2F">
        <w:rPr>
          <w:sz w:val="36"/>
          <w:szCs w:val="36"/>
        </w:rPr>
        <w:t xml:space="preserve"> </w:t>
      </w:r>
      <w:r w:rsidRPr="00342F2F">
        <w:rPr>
          <w:rStyle w:val="Strong"/>
          <w:sz w:val="36"/>
          <w:szCs w:val="36"/>
        </w:rPr>
        <w:t>Model Performance Testing – Liver Care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477"/>
      </w:tblGrid>
      <w:tr w:rsidR="00342F2F" w:rsidRPr="00342F2F" w:rsidTr="00342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Details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assess the accuracy, reliability, and clinical utility of AI/ML models in liver care applications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disease diagnosis (e.g., NAFLD, cirrhosis) - Risk prediction - Diet/treatment planning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enzyme levels (ALT, AST, Bilirubin) - Demographic data - Imaging (MRI, Ultrasound) - Lifestyle and medication history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Output/Goal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Disease classification (Yes/No) - Risk level prediction - Clinical decision support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Overall correctness of predictions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Correct positive predictions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Recall (Sensitivity)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Detection rate for actual cases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F1 Score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Balance between precision and recall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AUROC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Ability to distinguish disease vs non-disease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MSE/MAE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For regression tasks like predicting liver scores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Methods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Train/Test/Validation split - K-fold Cross-Validation - External Validation with unseen data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Bias &amp; Fairness Testing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Check for performance gaps across gender, age, ethnicity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Interpretability Tools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SHAP / LIME for feature importance and transparency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Thresholds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Minimum acceptable AUROC (e.g., &gt;0.85) - F1 Score (e.g., &gt;0.80 for high-risk detection)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Tools/Platforms Used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Python (</w:t>
            </w:r>
            <w:proofErr w:type="spellStart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scikit</w:t>
            </w:r>
            <w:proofErr w:type="spellEnd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TensorFlow</w:t>
            </w:r>
            <w:proofErr w:type="spellEnd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PyTorch</w:t>
            </w:r>
            <w:proofErr w:type="spellEnd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- R (caret, </w:t>
            </w:r>
            <w:proofErr w:type="spellStart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mlr</w:t>
            </w:r>
            <w:proofErr w:type="spellEnd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- </w:t>
            </w:r>
            <w:proofErr w:type="spellStart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Jupyter</w:t>
            </w:r>
            <w:proofErr w:type="spellEnd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Colab</w:t>
            </w:r>
            <w:proofErr w:type="spellEnd"/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Documentation Output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performance report - Confusion matrix - Interpretability &amp; bias audit</w:t>
            </w:r>
          </w:p>
        </w:tc>
      </w:tr>
      <w:tr w:rsidR="00342F2F" w:rsidRPr="00342F2F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Next Step Decision</w:t>
            </w:r>
          </w:p>
        </w:tc>
        <w:tc>
          <w:tcPr>
            <w:tcW w:w="0" w:type="auto"/>
            <w:vAlign w:val="center"/>
            <w:hideMark/>
          </w:tcPr>
          <w:p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Proceed to deployment - Retrain with more data - Review with clinical experts</w:t>
            </w:r>
          </w:p>
        </w:tc>
      </w:tr>
    </w:tbl>
    <w:p w:rsidR="00031F55" w:rsidRDefault="00031F55"/>
    <w:p w:rsidR="00031F55" w:rsidRDefault="00031F55"/>
    <w:sectPr w:rsidR="00031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9E8"/>
    <w:multiLevelType w:val="multilevel"/>
    <w:tmpl w:val="8A50B4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55"/>
    <w:rsid w:val="00031F55"/>
    <w:rsid w:val="003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DCE6"/>
  <w15:docId w15:val="{17EED087-9CE2-4634-9142-DA0AAB0B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342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Husnejaha</cp:lastModifiedBy>
  <cp:revision>2</cp:revision>
  <dcterms:created xsi:type="dcterms:W3CDTF">2025-06-27T06:26:00Z</dcterms:created>
  <dcterms:modified xsi:type="dcterms:W3CDTF">2025-06-27T06:26:00Z</dcterms:modified>
</cp:coreProperties>
</file>