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8059D00">
      <w:pPr>
        <w:pStyle w:val="style4106"/>
        <w:rPr/>
      </w:pPr>
      <w:r>
        <w:rPr>
          <w:rFonts w:ascii="Calibri" w:cs="Calibri" w:eastAsia="Calibri" w:hAnsi="Calibri"/>
        </w:rPr>
        <w:t>Feature selection tree</w:t>
      </w:r>
    </w:p>
    <w:p w14:paraId="36388138">
      <w:pPr>
        <w:pStyle w:val="style0"/>
        <w:spacing w:before="0" w:after="240"/>
        <w:rPr/>
      </w:pPr>
      <w:r>
        <w:rPr>
          <w:rFonts w:ascii="Calibri" w:cs="Calibri" w:eastAsia="Calibri" w:hAnsi="Calibri"/>
          <w:sz w:val="22"/>
          <w:szCs w:val="22"/>
        </w:rPr>
        <w:t>COVID-19 dataset (350,085 rows). Rule used in the code: keep a candidate column when its null percentage in the training set is below 60. Correlation with new_cases is shown for context only.</w:t>
      </w:r>
    </w:p>
    <w:p w14:paraId="11EC422B">
      <w:pPr>
        <w:pStyle w:val="style4107"/>
        <w:rPr/>
      </w:pPr>
      <w:r>
        <w:rPr>
          <w:rFonts w:ascii="Calibri" w:cs="Calibri" w:eastAsia="Calibri" w:hAnsi="Calibri"/>
        </w:rPr>
        <w:t>Decision tree</w:t>
      </w:r>
    </w:p>
    <w:tbl>
      <w:tblPr>
        <w:tblW w:w="4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400"/>
      </w:tblGrid>
      <w:tr w14:paraId="59356016">
        <w:trPr>
          <w:jc w:val="center"/>
        </w:trPr>
        <w:tc>
          <w:tcPr>
            <w:tcW w:w="44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F0CA880C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Candidate columns</w:t>
            </w:r>
          </w:p>
          <w:p w14:paraId="45DE3DB8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static + dynamic + history</w:t>
            </w:r>
          </w:p>
        </w:tc>
      </w:tr>
      <w:tr w14:paraId="B2008735">
        <w:tblPrEx/>
        <w:trPr>
          <w:jc w:val="center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67B33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sz w:val="28"/>
                <w:szCs w:val="28"/>
              </w:rPr>
              <w:t>↓</w:t>
            </w:r>
          </w:p>
        </w:tc>
      </w:tr>
      <w:tr w14:paraId="3889D2BB">
        <w:tblPrEx/>
        <w:trPr>
          <w:jc w:val="center"/>
        </w:trPr>
        <w:tc>
          <w:tcPr>
            <w:tcW w:w="44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2C2D4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Null % in train &lt; 60 ?</w:t>
            </w:r>
          </w:p>
        </w:tc>
      </w:tr>
    </w:tbl>
    <w:p w14:paraId="DE8D57C1">
      <w:pPr>
        <w:pStyle w:val="style0"/>
        <w:spacing w:before="0" w:after="0"/>
        <w:rPr/>
      </w:pPr>
    </w:p>
    <w:p w14:paraId="553E1FBF">
      <w:pPr>
        <w:pStyle w:val="style0"/>
        <w:spacing w:after="0"/>
        <w:jc w:val="center"/>
        <w:rPr/>
      </w:pPr>
      <w:r>
        <w:rPr>
          <w:rFonts w:ascii="Calibri" w:cs="Calibri" w:eastAsia="Calibri" w:hAnsi="Calibri"/>
          <w:sz w:val="28"/>
          <w:szCs w:val="28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  <w:gridCol w:w="3360"/>
      </w:tblGrid>
      <w:tr w14:paraId="01FC8E01">
        <w:trPr/>
        <w:tc>
          <w:tcPr>
            <w:tcW w:w="6000" w:type="dxa"/>
            <w:gridSpan w:val="3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d5ef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A5CC7E64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2"/>
                <w:szCs w:val="22"/>
              </w:rPr>
              <w:t>YES  →  Keep (feature_cols)</w:t>
            </w:r>
          </w:p>
        </w:tc>
        <w:tc>
          <w:tcPr>
            <w:tcW w:w="33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B259D376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8a3a1e"/>
                <w:sz w:val="22"/>
                <w:szCs w:val="22"/>
              </w:rPr>
              <w:t>NO  →  Drop (null ≥ 60%)</w:t>
            </w:r>
          </w:p>
        </w:tc>
      </w:tr>
      <w:tr w14:paraId="7949EB43">
        <w:tblPrEx/>
        <w:trPr/>
        <w:tc>
          <w:tcPr>
            <w:tcW w:w="20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d5ef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EA4AD0AE">
            <w:pPr>
              <w:pStyle w:val="style0"/>
              <w:spacing w:before="0" w:after="60"/>
              <w:rPr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Static</w:t>
            </w:r>
          </w:p>
          <w:p w14:paraId="50726BF7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11 columns</w:t>
            </w:r>
          </w:p>
          <w:p w14:paraId="A1FB3833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null 0–32%</w:t>
            </w:r>
          </w:p>
          <w:p w14:paraId="06BB4805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|r| 0.01–0.37</w:t>
            </w:r>
          </w:p>
          <w:p w14:paraId="9FD34A35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population is highest</w:t>
            </w:r>
          </w:p>
        </w:tc>
        <w:tc>
          <w:tcPr>
            <w:tcW w:w="20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d5ef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4AB0">
            <w:pPr>
              <w:pStyle w:val="style0"/>
              <w:spacing w:before="0" w:after="60"/>
              <w:rPr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Dynamic</w:t>
            </w:r>
          </w:p>
          <w:p w14:paraId="ADF9FF5B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stringency_index</w:t>
            </w:r>
          </w:p>
          <w:p w14:paraId="1DD5FFF5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+ smoothed vacc</w:t>
            </w:r>
          </w:p>
          <w:p w14:paraId="EF3B288D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null 41–48%</w:t>
            </w:r>
          </w:p>
          <w:p w14:paraId="F10C5022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|r| 0.04–0.34</w:t>
            </w:r>
          </w:p>
        </w:tc>
        <w:tc>
          <w:tcPr>
            <w:tcW w:w="20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d5ef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8223E">
            <w:pPr>
              <w:pStyle w:val="style0"/>
              <w:spacing w:before="0" w:after="60"/>
              <w:rPr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History</w:t>
            </w:r>
          </w:p>
          <w:p w14:paraId="AD23E165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8 columns</w:t>
            </w:r>
          </w:p>
          <w:p w14:paraId="36A9DCD4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lags, rolls, calendar</w:t>
            </w:r>
          </w:p>
          <w:p w14:paraId="BDB13C42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nulls only at series start</w:t>
            </w:r>
          </w:p>
          <w:p w14:paraId="1C0E12C4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r not in output</w:t>
            </w:r>
          </w:p>
        </w:tc>
        <w:tc>
          <w:tcPr>
            <w:tcW w:w="33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D9146">
            <w:pPr>
              <w:pStyle w:val="style0"/>
              <w:spacing w:before="0" w:after="60"/>
              <w:rPr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Vaccination columns</w:t>
            </w:r>
          </w:p>
          <w:p w14:paraId="C59A9904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total_boosters  86%  |  0.30</w:t>
            </w:r>
          </w:p>
          <w:p w14:paraId="9068EB63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new_vaccinations  81%  |  0.31</w:t>
            </w:r>
          </w:p>
          <w:p w14:paraId="0A5208E5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people_fully_vacc  79%  |  0.36</w:t>
            </w:r>
          </w:p>
          <w:p w14:paraId="30478358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people_vaccinated  78%  |  0.36</w:t>
            </w:r>
          </w:p>
          <w:p w14:paraId="9D45523F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sz w:val="20"/>
                <w:szCs w:val="20"/>
              </w:rPr>
              <w:t>total_vaccinations  77%  |  0.36</w:t>
            </w:r>
          </w:p>
          <w:p w14:paraId="86E38DE6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>format: null %  |  r</w:t>
            </w:r>
          </w:p>
        </w:tc>
      </w:tr>
    </w:tbl>
    <w:p w14:paraId="07D21F31">
      <w:pPr>
        <w:pStyle w:val="style4107"/>
        <w:rPr/>
      </w:pPr>
      <w:r>
        <w:rPr>
          <w:rFonts w:ascii="Calibri" w:cs="Calibri" w:eastAsia="Calibri" w:hAnsi="Calibri"/>
        </w:rPr>
        <w:t>Column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24"/>
        <w:gridCol w:w="1242"/>
        <w:gridCol w:w="1163"/>
        <w:gridCol w:w="1288"/>
        <w:gridCol w:w="2245"/>
      </w:tblGrid>
      <w:tr w14:paraId="481CC547">
        <w:trPr>
          <w:tblHeader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642B5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8D5A3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6D875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Null %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59DA9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|r| with new_cases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91BFD8CF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>Decision</w:t>
            </w:r>
          </w:p>
        </w:tc>
      </w:tr>
      <w:tr w14:paraId="1050B3C5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D4169B7A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population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A07A8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79DB1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B8F1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0.370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94C96D19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3D4C6FA4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9EB5487F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life_expectancy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51322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4D414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8.2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A089C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0.138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D58B8B9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74AC0304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8EB9017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cardiovasc_death_rate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B29A9BF0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E146C9BB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22.5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917BBAC8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0.059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980F207C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5F2DBDFF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F8B296E8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diabetes_prevalence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F7302F7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A837B5EF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18.5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9DB8535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0.047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AE7B14C5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9EC6AAE4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2729B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median_age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CB0F3DD6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AD1AB0B3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21.1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3B432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0.045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80E47578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DE0CF3CC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EB9D802D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human_development_index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C623B3EF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65A1C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24.8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AAD440AC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0.044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C919C2FD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B04D2676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F6E87A1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aged_70_older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804E872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E413F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21.8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53D75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0.018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2939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F29A7149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AE8E2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gdp_per_capita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C6029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4D960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22.6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AA1AEBE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0.018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EACC0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037B6839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B85A254F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aged_65_older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E14AB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91FA1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23.8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F19C5CE9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0.017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D0AA9E39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0A8DC197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191B1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hospital_beds_per_thousand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12F23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24E38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31.5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E41AE411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0.014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9E901109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7FA25875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1937C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population_density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4CD48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Static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9BE44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15.1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A065E0D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0.014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BF95FF1E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F6A481FD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F9E33860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stringency_index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F63C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Dynamic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B3BC01D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41.5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B9FD764D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0.041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2A00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D873F772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80A4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new_vaccinations_smoothed*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C135B66A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Dynamic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89A1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48.4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6C14F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0.336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A771120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6C8DE344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FEE94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new_people_vaccinated_smoothed*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C0DF5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Dynamic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B432D26E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48.4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BF04A81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0.248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92856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b5c47"/>
                <w:sz w:val="20"/>
                <w:szCs w:val="20"/>
              </w:rPr>
              <w:t>Keep</w:t>
            </w:r>
          </w:p>
        </w:tc>
      </w:tr>
      <w:tr w14:paraId="0D91C643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B2260760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people_vaccinated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D547BD6E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Dynamic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8B44B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78.3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EFD8A574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0.365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48539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8a3a1e"/>
                <w:sz w:val="20"/>
                <w:szCs w:val="20"/>
              </w:rPr>
              <w:t>Drop</w:t>
            </w:r>
          </w:p>
        </w:tc>
      </w:tr>
      <w:tr w14:paraId="6AC24D3F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D304F751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total_vaccinations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CD9A025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Dynamic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D01F6F56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77.3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367B6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0.365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FD1C1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8a3a1e"/>
                <w:sz w:val="20"/>
                <w:szCs w:val="20"/>
              </w:rPr>
              <w:t>Drop</w:t>
            </w:r>
          </w:p>
        </w:tc>
      </w:tr>
      <w:tr w14:paraId="845E3E0B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1B3BC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people_fully_vaccinated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93F5AA3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Dynamic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20250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79.3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1DEA4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0.356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20B5E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8a3a1e"/>
                <w:sz w:val="20"/>
                <w:szCs w:val="20"/>
              </w:rPr>
              <w:t>Drop</w:t>
            </w:r>
          </w:p>
        </w:tc>
      </w:tr>
      <w:tr w14:paraId="565B2DAF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43BD3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new_vaccinations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A0654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Dynamic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C119B0C5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81.3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DB38F188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0.312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EE23C5CF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8a3a1e"/>
                <w:sz w:val="20"/>
                <w:szCs w:val="20"/>
              </w:rPr>
              <w:t>Drop</w:t>
            </w:r>
          </w:p>
        </w:tc>
      </w:tr>
      <w:tr w14:paraId="D445FE43">
        <w:tblPrEx/>
        <w:trPr>
          <w:tblHeader w:val="false"/>
        </w:trPr>
        <w:tc>
          <w:tcPr>
            <w:tcW w:w="29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C97B3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total_boosters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BE5AA433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Dynamic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D8E7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86.4</w:t>
            </w:r>
          </w:p>
        </w:tc>
        <w:tc>
          <w:tcPr>
            <w:tcW w:w="130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7AB37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0.305</w:t>
            </w:r>
          </w:p>
        </w:tc>
        <w:tc>
          <w:tcPr>
            <w:tcW w:w="2560" w:type="dxa"/>
            <w:tcBorders>
              <w:top w:val="single" w:sz="4" w:space="0" w:color="9aa0a6"/>
              <w:left w:val="single" w:sz="4" w:space="0" w:color="9aa0a6"/>
              <w:bottom w:val="single" w:sz="4" w:space="0" w:color="9aa0a6"/>
              <w:right w:val="single" w:sz="4" w:space="0" w:color="9aa0a6"/>
            </w:tcBorders>
            <w:shd w:val="clear" w:color="auto" w:fill="fadd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D5C2D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8a3a1e"/>
                <w:sz w:val="20"/>
                <w:szCs w:val="20"/>
              </w:rPr>
              <w:t>Drop</w:t>
            </w:r>
          </w:p>
        </w:tc>
      </w:tr>
    </w:tbl>
    <w:p w14:paraId="A100B0F4">
      <w:pPr>
        <w:pStyle w:val="style0"/>
        <w:spacing w:before="80" w:after="200"/>
        <w:rPr/>
      </w:pPr>
      <w:r>
        <w:rPr>
          <w:rFonts w:ascii="Calibri" w:cs="Calibri" w:eastAsia="Calibri" w:hAnsi="Calibri"/>
          <w:sz w:val="18"/>
          <w:szCs w:val="18"/>
        </w:rPr>
        <w:t>* Assumed to be part of vacc_cols; the list was not visible in the screenshots. Values are read from the photos and rounded, so check them against your own output.</w:t>
      </w:r>
    </w:p>
    <w:p w14:paraId="EE413519">
      <w:pPr>
        <w:pStyle w:val="style4107"/>
        <w:rPr/>
      </w:pPr>
      <w:r>
        <w:rPr>
          <w:rFonts w:ascii="Calibri" w:cs="Calibri" w:eastAsia="Calibri" w:hAnsi="Calibri"/>
        </w:rPr>
        <w:t>Notes</w:t>
      </w:r>
    </w:p>
    <w:p w14:paraId="0AD59791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The dropped vaccination columns have some of the highest correlations (0.30–0.37) but are 77–86% empty, so they give the model little to learn from.</w:t>
      </w:r>
    </w:p>
    <w:p w14:paraId="A4B0E0A7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The smoothed vaccination columns are kept, but at about 48% null they sit close to the 60% cutoff.</w:t>
      </w:r>
    </w:p>
    <w:p w14:paraId="32B129CA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History columns (lags, rolling averages, calendar) only have nulls at the start of each location’s series, which the “drop incomplete rows” step removes.</w:t>
      </w:r>
    </w:p>
    <w:p w14:paraId="723E86C8">
      <w:pPr>
        <w:pStyle w:val="style179"/>
        <w:numPr>
          <w:ilvl w:val="0"/>
          <w:numId w:val="1"/>
        </w:numPr>
        <w:spacing w:after="80"/>
        <w:rPr/>
      </w:pPr>
      <w:r>
        <w:rPr>
          <w:rFonts w:ascii="Calibri" w:cs="Calibri" w:eastAsia="Calibri" w:hAnsi="Calibri"/>
          <w:sz w:val="22"/>
          <w:szCs w:val="22"/>
        </w:rPr>
        <w:t>Correlation is not used in the rule. If you want it to be, add a second split such as |r| above or below 0.1 on the kept columns.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6">
    <w:name w:val="Heading 1"/>
    <w:next w:val="style4106"/>
    <w:qFormat/>
    <w:pPr>
      <w:spacing w:before="0" w:after="12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customStyle="1" w:styleId="style4107">
    <w:name w:val="Heading 2"/>
    <w:next w:val="style4107"/>
    <w:qFormat/>
    <w:pPr>
      <w:spacing w:before="320" w:after="14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db20166f-ded7-4507-b02b-c412a57e98ff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353</Words>
  <Characters>1963</Characters>
  <Application>WPS Office</Application>
  <Paragraphs>165</Paragraphs>
  <CharactersWithSpaces>2198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2026-10-19T13:06:01Z</dcterms:created>
  <dc:creator>Un-named</dc:creator>
  <lastModifiedBy>M2101K7BG</lastModifiedBy>
  <dcterms:modified xsi:type="dcterms:W3CDTF">2026-10-19T13:06:01Z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7ec9d7737679442194112f1524f7bb9e_23</vt:lpwstr>
  </property>
</Properties>
</file>