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1565C0"/>
          <w:sz w:val="44"/>
        </w:rPr>
        <w:t>Capstone C evidence report</w:t>
      </w:r>
    </w:p>
    <w:p>
      <w:pPr>
        <w:spacing w:after="200"/>
      </w:pPr>
      <w:r>
        <w:rPr>
          <w:rFonts w:ascii="Calibri" w:hAnsi="Calibri" w:eastAsia="Calibri"/>
          <w:b w:val="0"/>
          <w:color w:val="37474F"/>
          <w:sz w:val="24"/>
        </w:rPr>
        <w:t>Political context and study-abroad continuation</w:t>
        <w:br/>
        <w:t>6,000 agency records, November 2023 to July 2026</w:t>
      </w:r>
    </w:p>
    <w:p>
      <w:pPr>
        <w:spacing w:after="160" w:before="0" w:line="259" w:lineRule="auto"/>
      </w:pPr>
      <w:r>
        <w:rPr>
          <w:rFonts w:ascii="Calibri" w:hAnsi="Calibri" w:eastAsia="Calibri"/>
          <w:b w:val="0"/>
          <w:sz w:val="22"/>
        </w:rPr>
        <w:t>Working title unchanged: A Data-Driven Model for Predicting Students' Intentions to Pursue Higher Studies Abroad. In this report, intention means the agency-recorded continuation decision: whether the student stays on the study-abroad pathway after intake.</w:t>
      </w:r>
    </w:p>
    <w:p>
      <w:pPr>
        <w:pStyle w:val="Heading1"/>
        <w:spacing w:before="280" w:after="120"/>
      </w:pPr>
      <w:r>
        <w:rPr>
          <w:rFonts w:ascii="Calibri" w:hAnsi="Calibri" w:eastAsia="Calibri"/>
          <w:b/>
          <w:color w:val="1565C0"/>
          <w:sz w:val="32"/>
        </w:rPr>
        <w:t>1. Question</w:t>
      </w:r>
    </w:p>
    <w:p>
      <w:pPr>
        <w:spacing w:after="160" w:before="0" w:line="259" w:lineRule="auto"/>
      </w:pPr>
      <w:r>
        <w:rPr>
          <w:rFonts w:ascii="Calibri" w:hAnsi="Calibri" w:eastAsia="Calibri"/>
          <w:b w:val="0"/>
          <w:sz w:val="22"/>
        </w:rPr>
        <w:t>Political instability in Bangladesh between 2023 and 2026 changed whether students follow through on studying abroad. This work measures how much, identifies which student factors matter under each political condition, and sets the cutoff for an explainable early-warning tool counselors can use.</w:t>
      </w:r>
    </w:p>
    <w:p>
      <w:pPr>
        <w:spacing w:after="160" w:before="0" w:line="259" w:lineRule="auto"/>
      </w:pPr>
      <w:r>
        <w:rPr>
          <w:rFonts w:ascii="Calibri" w:hAnsi="Calibri" w:eastAsia="Calibri"/>
          <w:b w:val="0"/>
          <w:sz w:val="22"/>
        </w:rPr>
        <w:t>The classifier is the instrument. The results are the phase effect, the gap between a random split and a later political window, the drivers inside each phase, and a calibrated risk tier. Scores from Carballo-Mendívil et al. (2025) and Niyogisubizo et al. (2022) are not a leaderboard. Those methods were re-implemented on this dataset. Their published numbers use other students and other labels.</w:t>
      </w:r>
    </w:p>
    <w:tbl>
      <w:tblPr>
        <w:tblStyle w:val="TableGrid"/>
        <w:tblW w:type="auto" w:w="0"/>
        <w:tblLook w:firstColumn="1" w:firstRow="1" w:lastColumn="0" w:lastRow="0" w:noHBand="0" w:noVBand="1" w:val="04A0"/>
      </w:tblPr>
      <w:tblGrid>
        <w:gridCol w:w="4824"/>
        <w:gridCol w:w="4824"/>
      </w:tblGrid>
      <w:tr>
        <w:tc>
          <w:tcPr>
            <w:tcW w:type="dxa" w:w="4824"/>
            <w:shd w:fill="E3F2FD" w:val="clear"/>
          </w:tcPr>
          <w:p>
            <w:r>
              <w:rPr>
                <w:rFonts w:ascii="Calibri" w:hAnsi="Calibri" w:eastAsia="Calibri"/>
                <w:b/>
                <w:sz w:val="20"/>
              </w:rPr>
            </w:r>
            <w:r>
              <w:rPr>
                <w:rFonts w:ascii="Calibri" w:hAnsi="Calibri" w:eastAsia="Calibri"/>
                <w:b/>
                <w:sz w:val="20"/>
              </w:rPr>
              <w:t>ID</w:t>
            </w:r>
          </w:p>
        </w:tc>
        <w:tc>
          <w:tcPr>
            <w:tcW w:type="dxa" w:w="4824"/>
            <w:shd w:fill="E3F2FD" w:val="clear"/>
          </w:tcPr>
          <w:p>
            <w:r>
              <w:rPr>
                <w:rFonts w:ascii="Calibri" w:hAnsi="Calibri" w:eastAsia="Calibri"/>
                <w:b/>
                <w:sz w:val="20"/>
              </w:rPr>
            </w:r>
            <w:r>
              <w:rPr>
                <w:rFonts w:ascii="Calibri" w:hAnsi="Calibri" w:eastAsia="Calibri"/>
                <w:b/>
                <w:sz w:val="20"/>
              </w:rPr>
              <w:t>Question</w:t>
            </w:r>
          </w:p>
        </w:tc>
      </w:tr>
      <w:tr>
        <w:tc>
          <w:tcPr>
            <w:tcW w:type="dxa" w:w="4824"/>
          </w:tcPr>
          <w:p>
            <w:r/>
            <w:r>
              <w:rPr>
                <w:rFonts w:ascii="Calibri" w:hAnsi="Calibri" w:eastAsia="Calibri"/>
                <w:b w:val="0"/>
                <w:sz w:val="20"/>
              </w:rPr>
              <w:t>RQ1</w:t>
            </w:r>
          </w:p>
        </w:tc>
        <w:tc>
          <w:tcPr>
            <w:tcW w:type="dxa" w:w="4824"/>
          </w:tcPr>
          <w:p>
            <w:r/>
            <w:r>
              <w:rPr>
                <w:rFonts w:ascii="Calibri" w:hAnsi="Calibri" w:eastAsia="Calibri"/>
                <w:b w:val="0"/>
                <w:sz w:val="20"/>
              </w:rPr>
              <w:t>Does political phase at intake change continuation after academic and financial controls?</w:t>
            </w:r>
          </w:p>
        </w:tc>
      </w:tr>
      <w:tr>
        <w:tc>
          <w:tcPr>
            <w:tcW w:type="dxa" w:w="4824"/>
          </w:tcPr>
          <w:p>
            <w:r/>
            <w:r>
              <w:rPr>
                <w:rFonts w:ascii="Calibri" w:hAnsi="Calibri" w:eastAsia="Calibri"/>
                <w:b w:val="0"/>
                <w:sz w:val="20"/>
              </w:rPr>
              <w:t>RQ2</w:t>
            </w:r>
          </w:p>
        </w:tc>
        <w:tc>
          <w:tcPr>
            <w:tcW w:type="dxa" w:w="4824"/>
          </w:tcPr>
          <w:p>
            <w:r/>
            <w:r>
              <w:rPr>
                <w:rFonts w:ascii="Calibri" w:hAnsi="Calibri" w:eastAsia="Calibri"/>
                <w:b w:val="0"/>
                <w:sz w:val="20"/>
              </w:rPr>
              <w:t>Which factors drive continuation, and do they shift across phases?</w:t>
            </w:r>
          </w:p>
        </w:tc>
      </w:tr>
      <w:tr>
        <w:tc>
          <w:tcPr>
            <w:tcW w:type="dxa" w:w="4824"/>
          </w:tcPr>
          <w:p>
            <w:r/>
            <w:r>
              <w:rPr>
                <w:rFonts w:ascii="Calibri" w:hAnsi="Calibri" w:eastAsia="Calibri"/>
                <w:b w:val="0"/>
                <w:sz w:val="20"/>
              </w:rPr>
              <w:t>RQ3</w:t>
            </w:r>
          </w:p>
        </w:tc>
        <w:tc>
          <w:tcPr>
            <w:tcW w:type="dxa" w:w="4824"/>
          </w:tcPr>
          <w:p>
            <w:r/>
            <w:r>
              <w:rPr>
                <w:rFonts w:ascii="Calibri" w:hAnsi="Calibri" w:eastAsia="Calibri"/>
                <w:b w:val="0"/>
                <w:sz w:val="20"/>
              </w:rPr>
              <w:t>How well does a model trained on past periods predict an unseen later period?</w:t>
            </w:r>
          </w:p>
        </w:tc>
      </w:tr>
      <w:tr>
        <w:tc>
          <w:tcPr>
            <w:tcW w:type="dxa" w:w="4824"/>
          </w:tcPr>
          <w:p>
            <w:r/>
            <w:r>
              <w:rPr>
                <w:rFonts w:ascii="Calibri" w:hAnsi="Calibri" w:eastAsia="Calibri"/>
                <w:b w:val="0"/>
                <w:sz w:val="20"/>
              </w:rPr>
              <w:t>RQ4</w:t>
            </w:r>
          </w:p>
        </w:tc>
        <w:tc>
          <w:tcPr>
            <w:tcW w:type="dxa" w:w="4824"/>
          </w:tcPr>
          <w:p>
            <w:r/>
            <w:r>
              <w:rPr>
                <w:rFonts w:ascii="Calibri" w:hAnsi="Calibri" w:eastAsia="Calibri"/>
                <w:b w:val="0"/>
                <w:sz w:val="20"/>
              </w:rPr>
              <w:t>Can a calibrated, explainable tool give counselors a usable risk tier?</w:t>
            </w:r>
          </w:p>
        </w:tc>
      </w:tr>
    </w:tbl>
    <w:p>
      <w:pPr>
        <w:spacing w:after="80"/>
      </w:pPr>
    </w:p>
    <w:p>
      <w:pPr>
        <w:spacing w:after="160" w:before="0" w:line="259" w:lineRule="auto"/>
      </w:pPr>
      <w:r>
        <w:rPr>
          <w:rFonts w:ascii="Calibri" w:hAnsi="Calibri" w:eastAsia="Calibri"/>
          <w:b w:val="0"/>
          <w:sz w:val="22"/>
        </w:rPr>
        <w:t>H1: continuation rates differ by phase. H2: due diligence has a positive monotonic association with continuation inside every phase. H3: a random split overstates performance relative to forward-in-time validation. A drop under H3 is a finding.</w:t>
      </w:r>
    </w:p>
    <w:p>
      <w:pPr>
        <w:spacing w:before="120" w:after="40"/>
        <w:jc w:val="center"/>
      </w:pPr>
      <w:r>
        <w:drawing>
          <wp:inline xmlns:a="http://schemas.openxmlformats.org/drawingml/2006/main" xmlns:pic="http://schemas.openxmlformats.org/drawingml/2006/picture">
            <wp:extent cx="5852160" cy="2198587"/>
            <wp:docPr id="1" name="Picture 1"/>
            <wp:cNvGraphicFramePr>
              <a:graphicFrameLocks noChangeAspect="1"/>
            </wp:cNvGraphicFramePr>
            <a:graphic>
              <a:graphicData uri="http://schemas.openxmlformats.org/drawingml/2006/picture">
                <pic:pic>
                  <pic:nvPicPr>
                    <pic:cNvPr id="0" name="research_design.png"/>
                    <pic:cNvPicPr/>
                  </pic:nvPicPr>
                  <pic:blipFill>
                    <a:blip r:embed="rId9"/>
                    <a:stretch>
                      <a:fillRect/>
                    </a:stretch>
                  </pic:blipFill>
                  <pic:spPr>
                    <a:xfrm>
                      <a:off x="0" y="0"/>
                      <a:ext cx="5852160" cy="2198587"/>
                    </a:xfrm>
                    <a:prstGeom prst="rect"/>
                  </pic:spPr>
                </pic:pic>
              </a:graphicData>
            </a:graphic>
          </wp:inline>
        </w:drawing>
      </w:r>
    </w:p>
    <w:p>
      <w:pPr>
        <w:spacing w:after="160"/>
        <w:jc w:val="center"/>
      </w:pPr>
      <w:r>
        <w:rPr>
          <w:rFonts w:ascii="Calibri" w:hAnsi="Calibri" w:eastAsia="Calibri"/>
          <w:b w:val="0"/>
          <w:color w:val="505050"/>
          <w:sz w:val="18"/>
        </w:rPr>
        <w:t>Figure 1. Research design. The audit feeds the phase test and the models. RQ4 is the only path into the tool.</w:t>
      </w:r>
    </w:p>
    <w:p>
      <w:pPr>
        <w:pStyle w:val="Heading1"/>
        <w:spacing w:before="280" w:after="120"/>
      </w:pPr>
      <w:r>
        <w:rPr>
          <w:rFonts w:ascii="Calibri" w:hAnsi="Calibri" w:eastAsia="Calibri"/>
          <w:b/>
          <w:color w:val="1565C0"/>
          <w:sz w:val="32"/>
        </w:rPr>
        <w:t>2. Data</w:t>
      </w:r>
    </w:p>
    <w:p>
      <w:pPr>
        <w:spacing w:after="160" w:before="0" w:line="259" w:lineRule="auto"/>
      </w:pPr>
      <w:r>
        <w:rPr>
          <w:rFonts w:ascii="Calibri" w:hAnsi="Calibri" w:eastAsia="Calibri"/>
          <w:b w:val="0"/>
          <w:sz w:val="22"/>
        </w:rPr>
        <w:t>Five workbooks, 1,200 rows each, concatenated to 6,000. The modeling phase is the file period. The cell inside the workbook is wrong in two files: Stable is stored as Transitional, and Newly Elected is stored as Unstable. No missing values in the engineered table. GPA ranges from 2.00 to 3.99 (mean 3.158). Overall continuation is 52.20% (3,132 Yes, 2,868 No).</w:t>
      </w:r>
    </w:p>
    <w:tbl>
      <w:tblPr>
        <w:tblStyle w:val="TableGrid"/>
        <w:tblW w:type="auto" w:w="0"/>
        <w:tblLook w:firstColumn="1" w:firstRow="1" w:lastColumn="0" w:lastRow="0" w:noHBand="0" w:noVBand="1" w:val="04A0"/>
      </w:tblPr>
      <w:tblGrid>
        <w:gridCol w:w="3216"/>
        <w:gridCol w:w="3216"/>
        <w:gridCol w:w="3216"/>
      </w:tblGrid>
      <w:tr>
        <w:tc>
          <w:tcPr>
            <w:tcW w:type="dxa" w:w="3216"/>
            <w:shd w:fill="E3F2FD" w:val="clear"/>
          </w:tcPr>
          <w:p>
            <w:r>
              <w:rPr>
                <w:rFonts w:ascii="Calibri" w:hAnsi="Calibri" w:eastAsia="Calibri"/>
                <w:b/>
                <w:sz w:val="20"/>
              </w:rPr>
            </w:r>
            <w:r>
              <w:rPr>
                <w:rFonts w:ascii="Calibri" w:hAnsi="Calibri" w:eastAsia="Calibri"/>
                <w:b/>
                <w:sz w:val="20"/>
              </w:rPr>
              <w:t>Phase</w:t>
            </w:r>
          </w:p>
        </w:tc>
        <w:tc>
          <w:tcPr>
            <w:tcW w:type="dxa" w:w="3216"/>
            <w:shd w:fill="E3F2FD" w:val="clear"/>
          </w:tcPr>
          <w:p>
            <w:r>
              <w:rPr>
                <w:rFonts w:ascii="Calibri" w:hAnsi="Calibri" w:eastAsia="Calibri"/>
                <w:b/>
                <w:sz w:val="20"/>
              </w:rPr>
            </w:r>
            <w:r>
              <w:rPr>
                <w:rFonts w:ascii="Calibri" w:hAnsi="Calibri" w:eastAsia="Calibri"/>
                <w:b/>
                <w:sz w:val="20"/>
              </w:rPr>
              <w:t>Window</w:t>
            </w:r>
          </w:p>
        </w:tc>
        <w:tc>
          <w:tcPr>
            <w:tcW w:type="dxa" w:w="3216"/>
            <w:shd w:fill="E3F2FD" w:val="clear"/>
          </w:tcPr>
          <w:p>
            <w:r>
              <w:rPr>
                <w:rFonts w:ascii="Calibri" w:hAnsi="Calibri" w:eastAsia="Calibri"/>
                <w:b/>
                <w:sz w:val="20"/>
              </w:rPr>
            </w:r>
            <w:r>
              <w:rPr>
                <w:rFonts w:ascii="Calibri" w:hAnsi="Calibri" w:eastAsia="Calibri"/>
                <w:b/>
                <w:sz w:val="20"/>
              </w:rPr>
              <w:t>Continuation</w:t>
            </w:r>
          </w:p>
        </w:tc>
      </w:tr>
      <w:tr>
        <w:tc>
          <w:tcPr>
            <w:tcW w:type="dxa" w:w="3216"/>
          </w:tcPr>
          <w:p>
            <w:r/>
            <w:r>
              <w:rPr>
                <w:rFonts w:ascii="Calibri" w:hAnsi="Calibri" w:eastAsia="Calibri"/>
                <w:b w:val="0"/>
                <w:sz w:val="20"/>
              </w:rPr>
              <w:t>Stable</w:t>
            </w:r>
          </w:p>
        </w:tc>
        <w:tc>
          <w:tcPr>
            <w:tcW w:type="dxa" w:w="3216"/>
          </w:tcPr>
          <w:p>
            <w:r/>
            <w:r>
              <w:rPr>
                <w:rFonts w:ascii="Calibri" w:hAnsi="Calibri" w:eastAsia="Calibri"/>
                <w:b w:val="0"/>
                <w:sz w:val="20"/>
              </w:rPr>
              <w:t>1 Nov 2023 to 31 Mar 2024</w:t>
            </w:r>
          </w:p>
        </w:tc>
        <w:tc>
          <w:tcPr>
            <w:tcW w:type="dxa" w:w="3216"/>
          </w:tcPr>
          <w:p>
            <w:r/>
            <w:r>
              <w:rPr>
                <w:rFonts w:ascii="Calibri" w:hAnsi="Calibri" w:eastAsia="Calibri"/>
                <w:b w:val="0"/>
                <w:sz w:val="20"/>
              </w:rPr>
              <w:t>63.75%</w:t>
            </w:r>
          </w:p>
        </w:tc>
      </w:tr>
      <w:tr>
        <w:tc>
          <w:tcPr>
            <w:tcW w:type="dxa" w:w="3216"/>
          </w:tcPr>
          <w:p>
            <w:r/>
            <w:r>
              <w:rPr>
                <w:rFonts w:ascii="Calibri" w:hAnsi="Calibri" w:eastAsia="Calibri"/>
                <w:b w:val="0"/>
                <w:sz w:val="20"/>
              </w:rPr>
              <w:t>Unstable</w:t>
            </w:r>
          </w:p>
        </w:tc>
        <w:tc>
          <w:tcPr>
            <w:tcW w:type="dxa" w:w="3216"/>
          </w:tcPr>
          <w:p>
            <w:r/>
            <w:r>
              <w:rPr>
                <w:rFonts w:ascii="Calibri" w:hAnsi="Calibri" w:eastAsia="Calibri"/>
                <w:b w:val="0"/>
                <w:sz w:val="20"/>
              </w:rPr>
              <w:t>1 Apr 2024 to 7 Aug 2024</w:t>
            </w:r>
          </w:p>
        </w:tc>
        <w:tc>
          <w:tcPr>
            <w:tcW w:type="dxa" w:w="3216"/>
          </w:tcPr>
          <w:p>
            <w:r/>
            <w:r>
              <w:rPr>
                <w:rFonts w:ascii="Calibri" w:hAnsi="Calibri" w:eastAsia="Calibri"/>
                <w:b w:val="0"/>
                <w:sz w:val="20"/>
              </w:rPr>
              <w:t>68.25%</w:t>
            </w:r>
          </w:p>
        </w:tc>
      </w:tr>
      <w:tr>
        <w:tc>
          <w:tcPr>
            <w:tcW w:type="dxa" w:w="3216"/>
          </w:tcPr>
          <w:p>
            <w:r/>
            <w:r>
              <w:rPr>
                <w:rFonts w:ascii="Calibri" w:hAnsi="Calibri" w:eastAsia="Calibri"/>
                <w:b w:val="0"/>
                <w:sz w:val="20"/>
              </w:rPr>
              <w:t>Transitional phase 1</w:t>
            </w:r>
          </w:p>
        </w:tc>
        <w:tc>
          <w:tcPr>
            <w:tcW w:type="dxa" w:w="3216"/>
          </w:tcPr>
          <w:p>
            <w:r/>
            <w:r>
              <w:rPr>
                <w:rFonts w:ascii="Calibri" w:hAnsi="Calibri" w:eastAsia="Calibri"/>
                <w:b w:val="0"/>
                <w:sz w:val="20"/>
              </w:rPr>
              <w:t>8 Aug 2024 to 30 Jun 2025</w:t>
            </w:r>
          </w:p>
        </w:tc>
        <w:tc>
          <w:tcPr>
            <w:tcW w:type="dxa" w:w="3216"/>
          </w:tcPr>
          <w:p>
            <w:r/>
            <w:r>
              <w:rPr>
                <w:rFonts w:ascii="Calibri" w:hAnsi="Calibri" w:eastAsia="Calibri"/>
                <w:b w:val="0"/>
                <w:sz w:val="20"/>
              </w:rPr>
              <w:t>18.58%</w:t>
            </w:r>
          </w:p>
        </w:tc>
      </w:tr>
      <w:tr>
        <w:tc>
          <w:tcPr>
            <w:tcW w:type="dxa" w:w="3216"/>
          </w:tcPr>
          <w:p>
            <w:r/>
            <w:r>
              <w:rPr>
                <w:rFonts w:ascii="Calibri" w:hAnsi="Calibri" w:eastAsia="Calibri"/>
                <w:b w:val="0"/>
                <w:sz w:val="20"/>
              </w:rPr>
              <w:t>Transitional phase 2</w:t>
            </w:r>
          </w:p>
        </w:tc>
        <w:tc>
          <w:tcPr>
            <w:tcW w:type="dxa" w:w="3216"/>
          </w:tcPr>
          <w:p>
            <w:r/>
            <w:r>
              <w:rPr>
                <w:rFonts w:ascii="Calibri" w:hAnsi="Calibri" w:eastAsia="Calibri"/>
                <w:b w:val="0"/>
                <w:sz w:val="20"/>
              </w:rPr>
              <w:t>1 Sep 2025 to 31 Jan 2026</w:t>
            </w:r>
          </w:p>
        </w:tc>
        <w:tc>
          <w:tcPr>
            <w:tcW w:type="dxa" w:w="3216"/>
          </w:tcPr>
          <w:p>
            <w:r/>
            <w:r>
              <w:rPr>
                <w:rFonts w:ascii="Calibri" w:hAnsi="Calibri" w:eastAsia="Calibri"/>
                <w:b w:val="0"/>
                <w:sz w:val="20"/>
              </w:rPr>
              <w:t>42.17%</w:t>
            </w:r>
          </w:p>
        </w:tc>
      </w:tr>
      <w:tr>
        <w:tc>
          <w:tcPr>
            <w:tcW w:type="dxa" w:w="3216"/>
          </w:tcPr>
          <w:p>
            <w:r/>
            <w:r>
              <w:rPr>
                <w:rFonts w:ascii="Calibri" w:hAnsi="Calibri" w:eastAsia="Calibri"/>
                <w:b w:val="0"/>
                <w:sz w:val="20"/>
              </w:rPr>
              <w:t>Newly Elected</w:t>
            </w:r>
          </w:p>
        </w:tc>
        <w:tc>
          <w:tcPr>
            <w:tcW w:type="dxa" w:w="3216"/>
          </w:tcPr>
          <w:p>
            <w:r/>
            <w:r>
              <w:rPr>
                <w:rFonts w:ascii="Calibri" w:hAnsi="Calibri" w:eastAsia="Calibri"/>
                <w:b w:val="0"/>
                <w:sz w:val="20"/>
              </w:rPr>
              <w:t>15 Feb 2026 to 15 Jul 2026</w:t>
            </w:r>
          </w:p>
        </w:tc>
        <w:tc>
          <w:tcPr>
            <w:tcW w:type="dxa" w:w="3216"/>
          </w:tcPr>
          <w:p>
            <w:r/>
            <w:r>
              <w:rPr>
                <w:rFonts w:ascii="Calibri" w:hAnsi="Calibri" w:eastAsia="Calibri"/>
                <w:b w:val="0"/>
                <w:sz w:val="20"/>
              </w:rPr>
              <w:t>68.25%</w:t>
            </w:r>
          </w:p>
        </w:tc>
      </w:tr>
    </w:tbl>
    <w:p>
      <w:pPr>
        <w:spacing w:after="80"/>
      </w:pPr>
    </w:p>
    <w:p>
      <w:pPr>
        <w:spacing w:after="160" w:before="0" w:line="259" w:lineRule="auto"/>
      </w:pPr>
      <w:r>
        <w:rPr>
          <w:rFonts w:ascii="Calibri" w:hAnsi="Calibri" w:eastAsia="Calibri"/>
          <w:b w:val="0"/>
          <w:sz w:val="22"/>
        </w:rPr>
        <w:t>Due diligence (column Researched) is graded. Continuation is 22.20% at No (n = 2,243), 52.53% at Yes Low (1,009), 66.27% at Yes Medium (1,260), and 85.28% at Yes High (1,488).</w:t>
      </w:r>
    </w:p>
    <w:p>
      <w:pPr>
        <w:spacing w:after="160" w:before="0" w:line="259" w:lineRule="auto"/>
      </w:pPr>
      <w:r>
        <w:rPr>
          <w:rFonts w:ascii="Calibri" w:hAnsi="Calibri" w:eastAsia="Calibri"/>
          <w:b w:val="0"/>
          <w:sz w:val="22"/>
        </w:rPr>
        <w:t>Exact duplicate rows: 0. A fingerprint of name, result, course, country, institution, budget, due diligence, academic level, and continuation is shared by 1,004 rows. The only cross-phase overlap is Unstable with Newly Elected: 502 fingerprints. Ignoring academic level raises that overlap to 568. Names ending in a space and a number: 2,400 of 6,000. Unique names: 3,976. The modeling file stays at 6,000 rows. Dropping the 502 later copies leaves 5,498 rows, used only as the sensitivity set.</w:t>
      </w:r>
    </w:p>
    <w:p>
      <w:pPr>
        <w:pStyle w:val="Heading1"/>
        <w:spacing w:before="280" w:after="120"/>
      </w:pPr>
      <w:r>
        <w:rPr>
          <w:rFonts w:ascii="Calibri" w:hAnsi="Calibri" w:eastAsia="Calibri"/>
          <w:b/>
          <w:color w:val="1565C0"/>
          <w:sz w:val="32"/>
        </w:rPr>
        <w:t>3. Phase effect (RQ1)</w:t>
      </w:r>
    </w:p>
    <w:p>
      <w:pPr>
        <w:spacing w:after="160" w:before="0" w:line="259" w:lineRule="auto"/>
      </w:pPr>
      <w:r>
        <w:rPr>
          <w:rFonts w:ascii="Calibri" w:hAnsi="Calibri" w:eastAsia="Calibri"/>
          <w:b w:val="0"/>
          <w:sz w:val="22"/>
        </w:rPr>
        <w:t>Continuation by phase: chi-square = 903.84, df = 4, p = 2.45e-194, Cramer's V = 0.388. H1 is supported. V sits between a medium and a large association.</w:t>
      </w:r>
    </w:p>
    <w:p>
      <w:pPr>
        <w:spacing w:after="160" w:before="0" w:line="259" w:lineRule="auto"/>
      </w:pPr>
      <w:r>
        <w:rPr>
          <w:rFonts w:ascii="Calibri" w:hAnsi="Calibri" w:eastAsia="Calibri"/>
          <w:b w:val="0"/>
          <w:sz w:val="22"/>
        </w:rPr>
        <w:t>Inside each phase, Spearman rank correlation of due-diligence level with continuation is positive and significant: Stable 0.249, Unstable 0.697, Transitional phase 1 0.500, Transitional phase 2 0.676, Newly Elected 0.748. H2 is supported in every phase. The Stable gradient is the shallow one, because continuation is already 53% at Due Diligence = No. In Unstable and Newly Elected the rate jumps from No to Yes Low and then sits near the ceiling.</w:t>
      </w:r>
    </w:p>
    <w:p>
      <w:pPr>
        <w:spacing w:after="160" w:before="0" w:line="259" w:lineRule="auto"/>
      </w:pPr>
      <w:r>
        <w:rPr>
          <w:rFonts w:ascii="Calibri" w:hAnsi="Calibri" w:eastAsia="Calibri"/>
          <w:b w:val="0"/>
          <w:sz w:val="22"/>
        </w:rPr>
        <w:t>Logistic regression, Stable as the reference, controls for z-scored GPA, due diligence (0 to 3), academic level (0 to 2), and budget level (0 to 2). Date features are excluded so phase is not a second copy of the calendar. Intervals are 400-resample bootstrap percentiles.</w:t>
      </w:r>
    </w:p>
    <w:tbl>
      <w:tblPr>
        <w:tblStyle w:val="TableGrid"/>
        <w:tblW w:type="auto" w:w="0"/>
        <w:tblLook w:firstColumn="1" w:firstRow="1" w:lastColumn="0" w:lastRow="0" w:noHBand="0" w:noVBand="1" w:val="04A0"/>
      </w:tblPr>
      <w:tblGrid>
        <w:gridCol w:w="3216"/>
        <w:gridCol w:w="3216"/>
        <w:gridCol w:w="3216"/>
      </w:tblGrid>
      <w:tr>
        <w:tc>
          <w:tcPr>
            <w:tcW w:type="dxa" w:w="3216"/>
            <w:shd w:fill="E3F2FD" w:val="clear"/>
          </w:tcPr>
          <w:p>
            <w:r>
              <w:rPr>
                <w:rFonts w:ascii="Calibri" w:hAnsi="Calibri" w:eastAsia="Calibri"/>
                <w:b/>
                <w:sz w:val="20"/>
              </w:rPr>
            </w:r>
            <w:r>
              <w:rPr>
                <w:rFonts w:ascii="Calibri" w:hAnsi="Calibri" w:eastAsia="Calibri"/>
                <w:b/>
                <w:sz w:val="20"/>
              </w:rPr>
              <w:t>Term</w:t>
            </w:r>
          </w:p>
        </w:tc>
        <w:tc>
          <w:tcPr>
            <w:tcW w:type="dxa" w:w="3216"/>
            <w:shd w:fill="E3F2FD" w:val="clear"/>
          </w:tcPr>
          <w:p>
            <w:r>
              <w:rPr>
                <w:rFonts w:ascii="Calibri" w:hAnsi="Calibri" w:eastAsia="Calibri"/>
                <w:b/>
                <w:sz w:val="20"/>
              </w:rPr>
            </w:r>
            <w:r>
              <w:rPr>
                <w:rFonts w:ascii="Calibri" w:hAnsi="Calibri" w:eastAsia="Calibri"/>
                <w:b/>
                <w:sz w:val="20"/>
              </w:rPr>
              <w:t>Odds ratio</w:t>
            </w:r>
          </w:p>
        </w:tc>
        <w:tc>
          <w:tcPr>
            <w:tcW w:type="dxa" w:w="3216"/>
            <w:shd w:fill="E3F2FD" w:val="clear"/>
          </w:tcPr>
          <w:p>
            <w:r>
              <w:rPr>
                <w:rFonts w:ascii="Calibri" w:hAnsi="Calibri" w:eastAsia="Calibri"/>
                <w:b/>
                <w:sz w:val="20"/>
              </w:rPr>
            </w:r>
            <w:r>
              <w:rPr>
                <w:rFonts w:ascii="Calibri" w:hAnsi="Calibri" w:eastAsia="Calibri"/>
                <w:b/>
                <w:sz w:val="20"/>
              </w:rPr>
              <w:t>95% CI</w:t>
            </w:r>
          </w:p>
        </w:tc>
      </w:tr>
      <w:tr>
        <w:tc>
          <w:tcPr>
            <w:tcW w:type="dxa" w:w="3216"/>
          </w:tcPr>
          <w:p>
            <w:r/>
            <w:r>
              <w:rPr>
                <w:rFonts w:ascii="Calibri" w:hAnsi="Calibri" w:eastAsia="Calibri"/>
                <w:b w:val="0"/>
                <w:sz w:val="20"/>
              </w:rPr>
              <w:t>Due diligence, per level</w:t>
            </w:r>
          </w:p>
        </w:tc>
        <w:tc>
          <w:tcPr>
            <w:tcW w:type="dxa" w:w="3216"/>
          </w:tcPr>
          <w:p>
            <w:r/>
            <w:r>
              <w:rPr>
                <w:rFonts w:ascii="Calibri" w:hAnsi="Calibri" w:eastAsia="Calibri"/>
                <w:b w:val="0"/>
                <w:sz w:val="20"/>
              </w:rPr>
              <w:t>4.60</w:t>
            </w:r>
          </w:p>
        </w:tc>
        <w:tc>
          <w:tcPr>
            <w:tcW w:type="dxa" w:w="3216"/>
          </w:tcPr>
          <w:p>
            <w:r/>
            <w:r>
              <w:rPr>
                <w:rFonts w:ascii="Calibri" w:hAnsi="Calibri" w:eastAsia="Calibri"/>
                <w:b w:val="0"/>
                <w:sz w:val="20"/>
              </w:rPr>
              <w:t>4.25 to 5.06</w:t>
            </w:r>
          </w:p>
        </w:tc>
      </w:tr>
      <w:tr>
        <w:tc>
          <w:tcPr>
            <w:tcW w:type="dxa" w:w="3216"/>
          </w:tcPr>
          <w:p>
            <w:r/>
            <w:r>
              <w:rPr>
                <w:rFonts w:ascii="Calibri" w:hAnsi="Calibri" w:eastAsia="Calibri"/>
                <w:b w:val="0"/>
                <w:sz w:val="20"/>
              </w:rPr>
              <w:t>Academic level, per step</w:t>
            </w:r>
          </w:p>
        </w:tc>
        <w:tc>
          <w:tcPr>
            <w:tcW w:type="dxa" w:w="3216"/>
          </w:tcPr>
          <w:p>
            <w:r/>
            <w:r>
              <w:rPr>
                <w:rFonts w:ascii="Calibri" w:hAnsi="Calibri" w:eastAsia="Calibri"/>
                <w:b w:val="0"/>
                <w:sz w:val="20"/>
              </w:rPr>
              <w:t>2.77</w:t>
            </w:r>
          </w:p>
        </w:tc>
        <w:tc>
          <w:tcPr>
            <w:tcW w:type="dxa" w:w="3216"/>
          </w:tcPr>
          <w:p>
            <w:r/>
            <w:r>
              <w:rPr>
                <w:rFonts w:ascii="Calibri" w:hAnsi="Calibri" w:eastAsia="Calibri"/>
                <w:b w:val="0"/>
                <w:sz w:val="20"/>
              </w:rPr>
              <w:t>2.04 to 3.79</w:t>
            </w:r>
          </w:p>
        </w:tc>
      </w:tr>
      <w:tr>
        <w:tc>
          <w:tcPr>
            <w:tcW w:type="dxa" w:w="3216"/>
          </w:tcPr>
          <w:p>
            <w:r/>
            <w:r>
              <w:rPr>
                <w:rFonts w:ascii="Calibri" w:hAnsi="Calibri" w:eastAsia="Calibri"/>
                <w:b w:val="0"/>
                <w:sz w:val="20"/>
              </w:rPr>
              <w:t>Budget level, per step</w:t>
            </w:r>
          </w:p>
        </w:tc>
        <w:tc>
          <w:tcPr>
            <w:tcW w:type="dxa" w:w="3216"/>
          </w:tcPr>
          <w:p>
            <w:r/>
            <w:r>
              <w:rPr>
                <w:rFonts w:ascii="Calibri" w:hAnsi="Calibri" w:eastAsia="Calibri"/>
                <w:b w:val="0"/>
                <w:sz w:val="20"/>
              </w:rPr>
              <w:t>1.72</w:t>
            </w:r>
          </w:p>
        </w:tc>
        <w:tc>
          <w:tcPr>
            <w:tcW w:type="dxa" w:w="3216"/>
          </w:tcPr>
          <w:p>
            <w:r/>
            <w:r>
              <w:rPr>
                <w:rFonts w:ascii="Calibri" w:hAnsi="Calibri" w:eastAsia="Calibri"/>
                <w:b w:val="0"/>
                <w:sz w:val="20"/>
              </w:rPr>
              <w:t>1.56 to 1.87</w:t>
            </w:r>
          </w:p>
        </w:tc>
      </w:tr>
      <w:tr>
        <w:tc>
          <w:tcPr>
            <w:tcW w:type="dxa" w:w="3216"/>
          </w:tcPr>
          <w:p>
            <w:r/>
            <w:r>
              <w:rPr>
                <w:rFonts w:ascii="Calibri" w:hAnsi="Calibri" w:eastAsia="Calibri"/>
                <w:b w:val="0"/>
                <w:sz w:val="20"/>
              </w:rPr>
              <w:t>GPA (z)</w:t>
            </w:r>
          </w:p>
        </w:tc>
        <w:tc>
          <w:tcPr>
            <w:tcW w:type="dxa" w:w="3216"/>
          </w:tcPr>
          <w:p>
            <w:r/>
            <w:r>
              <w:rPr>
                <w:rFonts w:ascii="Calibri" w:hAnsi="Calibri" w:eastAsia="Calibri"/>
                <w:b w:val="0"/>
                <w:sz w:val="20"/>
              </w:rPr>
              <w:t>0.97</w:t>
            </w:r>
          </w:p>
        </w:tc>
        <w:tc>
          <w:tcPr>
            <w:tcW w:type="dxa" w:w="3216"/>
          </w:tcPr>
          <w:p>
            <w:r/>
            <w:r>
              <w:rPr>
                <w:rFonts w:ascii="Calibri" w:hAnsi="Calibri" w:eastAsia="Calibri"/>
                <w:b w:val="0"/>
                <w:sz w:val="20"/>
              </w:rPr>
              <w:t>0.86 to 1.07</w:t>
            </w:r>
          </w:p>
        </w:tc>
      </w:tr>
      <w:tr>
        <w:tc>
          <w:tcPr>
            <w:tcW w:type="dxa" w:w="3216"/>
          </w:tcPr>
          <w:p>
            <w:r/>
            <w:r>
              <w:rPr>
                <w:rFonts w:ascii="Calibri" w:hAnsi="Calibri" w:eastAsia="Calibri"/>
                <w:b w:val="0"/>
                <w:sz w:val="20"/>
              </w:rPr>
              <w:t>Unstable vs Stable</w:t>
            </w:r>
          </w:p>
        </w:tc>
        <w:tc>
          <w:tcPr>
            <w:tcW w:type="dxa" w:w="3216"/>
          </w:tcPr>
          <w:p>
            <w:r/>
            <w:r>
              <w:rPr>
                <w:rFonts w:ascii="Calibri" w:hAnsi="Calibri" w:eastAsia="Calibri"/>
                <w:b w:val="0"/>
                <w:sz w:val="20"/>
              </w:rPr>
              <w:t>1.42</w:t>
            </w:r>
          </w:p>
        </w:tc>
        <w:tc>
          <w:tcPr>
            <w:tcW w:type="dxa" w:w="3216"/>
          </w:tcPr>
          <w:p>
            <w:r/>
            <w:r>
              <w:rPr>
                <w:rFonts w:ascii="Calibri" w:hAnsi="Calibri" w:eastAsia="Calibri"/>
                <w:b w:val="0"/>
                <w:sz w:val="20"/>
              </w:rPr>
              <w:t>1.15 to 1.75</w:t>
            </w:r>
          </w:p>
        </w:tc>
      </w:tr>
      <w:tr>
        <w:tc>
          <w:tcPr>
            <w:tcW w:type="dxa" w:w="3216"/>
          </w:tcPr>
          <w:p>
            <w:r/>
            <w:r>
              <w:rPr>
                <w:rFonts w:ascii="Calibri" w:hAnsi="Calibri" w:eastAsia="Calibri"/>
                <w:b w:val="0"/>
                <w:sz w:val="20"/>
              </w:rPr>
              <w:t>Newly Elected vs Stable</w:t>
            </w:r>
          </w:p>
        </w:tc>
        <w:tc>
          <w:tcPr>
            <w:tcW w:type="dxa" w:w="3216"/>
          </w:tcPr>
          <w:p>
            <w:r/>
            <w:r>
              <w:rPr>
                <w:rFonts w:ascii="Calibri" w:hAnsi="Calibri" w:eastAsia="Calibri"/>
                <w:b w:val="0"/>
                <w:sz w:val="20"/>
              </w:rPr>
              <w:t>1.10</w:t>
            </w:r>
          </w:p>
        </w:tc>
        <w:tc>
          <w:tcPr>
            <w:tcW w:type="dxa" w:w="3216"/>
          </w:tcPr>
          <w:p>
            <w:r/>
            <w:r>
              <w:rPr>
                <w:rFonts w:ascii="Calibri" w:hAnsi="Calibri" w:eastAsia="Calibri"/>
                <w:b w:val="0"/>
                <w:sz w:val="20"/>
              </w:rPr>
              <w:t>0.89 to 1.38</w:t>
            </w:r>
          </w:p>
        </w:tc>
      </w:tr>
      <w:tr>
        <w:tc>
          <w:tcPr>
            <w:tcW w:type="dxa" w:w="3216"/>
          </w:tcPr>
          <w:p>
            <w:r/>
            <w:r>
              <w:rPr>
                <w:rFonts w:ascii="Calibri" w:hAnsi="Calibri" w:eastAsia="Calibri"/>
                <w:b w:val="0"/>
                <w:sz w:val="20"/>
              </w:rPr>
              <w:t>Transitional phase 2 vs Stable</w:t>
            </w:r>
          </w:p>
        </w:tc>
        <w:tc>
          <w:tcPr>
            <w:tcW w:type="dxa" w:w="3216"/>
          </w:tcPr>
          <w:p>
            <w:r/>
            <w:r>
              <w:rPr>
                <w:rFonts w:ascii="Calibri" w:hAnsi="Calibri" w:eastAsia="Calibri"/>
                <w:b w:val="0"/>
                <w:sz w:val="20"/>
              </w:rPr>
              <w:t>0.14</w:t>
            </w:r>
          </w:p>
        </w:tc>
        <w:tc>
          <w:tcPr>
            <w:tcW w:type="dxa" w:w="3216"/>
          </w:tcPr>
          <w:p>
            <w:r/>
            <w:r>
              <w:rPr>
                <w:rFonts w:ascii="Calibri" w:hAnsi="Calibri" w:eastAsia="Calibri"/>
                <w:b w:val="0"/>
                <w:sz w:val="20"/>
              </w:rPr>
              <w:t>0.10 to 0.17</w:t>
            </w:r>
          </w:p>
        </w:tc>
      </w:tr>
      <w:tr>
        <w:tc>
          <w:tcPr>
            <w:tcW w:type="dxa" w:w="3216"/>
          </w:tcPr>
          <w:p>
            <w:r/>
            <w:r>
              <w:rPr>
                <w:rFonts w:ascii="Calibri" w:hAnsi="Calibri" w:eastAsia="Calibri"/>
                <w:b w:val="0"/>
                <w:sz w:val="20"/>
              </w:rPr>
              <w:t>Transitional phase 1 vs Stable</w:t>
            </w:r>
          </w:p>
        </w:tc>
        <w:tc>
          <w:tcPr>
            <w:tcW w:type="dxa" w:w="3216"/>
          </w:tcPr>
          <w:p>
            <w:r/>
            <w:r>
              <w:rPr>
                <w:rFonts w:ascii="Calibri" w:hAnsi="Calibri" w:eastAsia="Calibri"/>
                <w:b w:val="0"/>
                <w:sz w:val="20"/>
              </w:rPr>
              <w:t>0.025</w:t>
            </w:r>
          </w:p>
        </w:tc>
        <w:tc>
          <w:tcPr>
            <w:tcW w:type="dxa" w:w="3216"/>
          </w:tcPr>
          <w:p>
            <w:r/>
            <w:r>
              <w:rPr>
                <w:rFonts w:ascii="Calibri" w:hAnsi="Calibri" w:eastAsia="Calibri"/>
                <w:b w:val="0"/>
                <w:sz w:val="20"/>
              </w:rPr>
              <w:t>0.018 to 0.032</w:t>
            </w:r>
          </w:p>
        </w:tc>
      </w:tr>
    </w:tbl>
    <w:p>
      <w:pPr>
        <w:spacing w:after="80"/>
      </w:pPr>
    </w:p>
    <w:p>
      <w:pPr>
        <w:spacing w:after="160" w:before="0" w:line="259" w:lineRule="auto"/>
      </w:pPr>
      <w:r>
        <w:rPr>
          <w:rFonts w:ascii="Calibri" w:hAnsi="Calibri" w:eastAsia="Calibri"/>
          <w:b w:val="0"/>
          <w:sz w:val="22"/>
        </w:rPr>
        <w:t>After the controls, both transitional windows remain far below Stable. Unstable is above Stable. Newly Elected is not distinguishable from Stable. GPA's interval includes 1. Due diligence is the largest student-level term: each step multiplies the odds of continuation by about 4.6.</w:t>
      </w:r>
    </w:p>
    <w:p>
      <w:pPr>
        <w:spacing w:before="120" w:after="40"/>
        <w:jc w:val="center"/>
      </w:pPr>
      <w:r>
        <w:drawing>
          <wp:inline xmlns:a="http://schemas.openxmlformats.org/drawingml/2006/main" xmlns:pic="http://schemas.openxmlformats.org/drawingml/2006/picture">
            <wp:extent cx="5303520" cy="3293233"/>
            <wp:docPr id="2" name="Picture 2"/>
            <wp:cNvGraphicFramePr>
              <a:graphicFrameLocks noChangeAspect="1"/>
            </wp:cNvGraphicFramePr>
            <a:graphic>
              <a:graphicData uri="http://schemas.openxmlformats.org/drawingml/2006/picture">
                <pic:pic>
                  <pic:nvPicPr>
                    <pic:cNvPr id="0" name="e2_odds_ratio_forest.png"/>
                    <pic:cNvPicPr/>
                  </pic:nvPicPr>
                  <pic:blipFill>
                    <a:blip r:embed="rId10"/>
                    <a:stretch>
                      <a:fillRect/>
                    </a:stretch>
                  </pic:blipFill>
                  <pic:spPr>
                    <a:xfrm>
                      <a:off x="0" y="0"/>
                      <a:ext cx="5303520" cy="3293233"/>
                    </a:xfrm>
                    <a:prstGeom prst="rect"/>
                  </pic:spPr>
                </pic:pic>
              </a:graphicData>
            </a:graphic>
          </wp:inline>
        </w:drawing>
      </w:r>
    </w:p>
    <w:p>
      <w:pPr>
        <w:spacing w:after="160"/>
        <w:jc w:val="center"/>
      </w:pPr>
      <w:r>
        <w:rPr>
          <w:rFonts w:ascii="Calibri" w:hAnsi="Calibri" w:eastAsia="Calibri"/>
          <w:b w:val="0"/>
          <w:color w:val="505050"/>
          <w:sz w:val="18"/>
        </w:rPr>
        <w:t>Figure 2. Odds ratios for continuation. The vertical line is 1 (same odds as the Stable reference for phase terms).</w:t>
      </w:r>
    </w:p>
    <w:p>
      <w:pPr>
        <w:pStyle w:val="Heading1"/>
        <w:spacing w:before="280" w:after="120"/>
      </w:pPr>
      <w:r>
        <w:rPr>
          <w:rFonts w:ascii="Calibri" w:hAnsi="Calibri" w:eastAsia="Calibri"/>
          <w:b/>
          <w:color w:val="1565C0"/>
          <w:sz w:val="32"/>
        </w:rPr>
        <w:t>4. What the model adds</w:t>
      </w:r>
    </w:p>
    <w:p>
      <w:pPr>
        <w:spacing w:after="160" w:before="0" w:line="259" w:lineRule="auto"/>
      </w:pPr>
      <w:r>
        <w:rPr>
          <w:rFonts w:ascii="Calibri" w:hAnsi="Calibri" w:eastAsia="Calibri"/>
          <w:b w:val="0"/>
          <w:sz w:val="22"/>
        </w:rPr>
        <w:t>Repeated stratified cross-validation: 5 repeats x 5 folds, 95% t intervals on 25 fold F1 scores. Trees use 100 estimators. The stacking row is Random Forest + XGBoost + Gradient Boosting with a logistic meta-learner and 2-fold inner CV. It is not the single-split feedforward stack in the Paper 2 results.</w:t>
      </w:r>
    </w:p>
    <w:tbl>
      <w:tblPr>
        <w:tblStyle w:val="TableGrid"/>
        <w:tblW w:type="auto" w:w="0"/>
        <w:tblLook w:firstColumn="1" w:firstRow="1" w:lastColumn="0" w:lastRow="0" w:noHBand="0" w:noVBand="1" w:val="04A0"/>
      </w:tblPr>
      <w:tblGrid>
        <w:gridCol w:w="3216"/>
        <w:gridCol w:w="3216"/>
        <w:gridCol w:w="3216"/>
      </w:tblGrid>
      <w:tr>
        <w:tc>
          <w:tcPr>
            <w:tcW w:type="dxa" w:w="3216"/>
            <w:shd w:fill="E3F2FD" w:val="clear"/>
          </w:tcPr>
          <w:p>
            <w:r>
              <w:rPr>
                <w:rFonts w:ascii="Calibri" w:hAnsi="Calibri" w:eastAsia="Calibri"/>
                <w:b/>
                <w:sz w:val="20"/>
              </w:rPr>
            </w:r>
            <w:r>
              <w:rPr>
                <w:rFonts w:ascii="Calibri" w:hAnsi="Calibri" w:eastAsia="Calibri"/>
                <w:b/>
                <w:sz w:val="20"/>
              </w:rPr>
              <w:t>Model</w:t>
            </w:r>
          </w:p>
        </w:tc>
        <w:tc>
          <w:tcPr>
            <w:tcW w:type="dxa" w:w="3216"/>
            <w:shd w:fill="E3F2FD" w:val="clear"/>
          </w:tcPr>
          <w:p>
            <w:r>
              <w:rPr>
                <w:rFonts w:ascii="Calibri" w:hAnsi="Calibri" w:eastAsia="Calibri"/>
                <w:b/>
                <w:sz w:val="20"/>
              </w:rPr>
            </w:r>
            <w:r>
              <w:rPr>
                <w:rFonts w:ascii="Calibri" w:hAnsi="Calibri" w:eastAsia="Calibri"/>
                <w:b/>
                <w:sz w:val="20"/>
              </w:rPr>
              <w:t>CV F1</w:t>
            </w:r>
          </w:p>
        </w:tc>
        <w:tc>
          <w:tcPr>
            <w:tcW w:type="dxa" w:w="3216"/>
            <w:shd w:fill="E3F2FD" w:val="clear"/>
          </w:tcPr>
          <w:p>
            <w:r>
              <w:rPr>
                <w:rFonts w:ascii="Calibri" w:hAnsi="Calibri" w:eastAsia="Calibri"/>
                <w:b/>
                <w:sz w:val="20"/>
              </w:rPr>
            </w:r>
            <w:r>
              <w:rPr>
                <w:rFonts w:ascii="Calibri" w:hAnsi="Calibri" w:eastAsia="Calibri"/>
                <w:b/>
                <w:sz w:val="20"/>
              </w:rPr>
              <w:t>95% CI</w:t>
            </w:r>
          </w:p>
        </w:tc>
      </w:tr>
      <w:tr>
        <w:tc>
          <w:tcPr>
            <w:tcW w:type="dxa" w:w="3216"/>
          </w:tcPr>
          <w:p>
            <w:r/>
            <w:r>
              <w:rPr>
                <w:rFonts w:ascii="Calibri" w:hAnsi="Calibri" w:eastAsia="Calibri"/>
                <w:b w:val="0"/>
                <w:sz w:val="20"/>
              </w:rPr>
              <w:t>Gradient Boosting</w:t>
            </w:r>
          </w:p>
        </w:tc>
        <w:tc>
          <w:tcPr>
            <w:tcW w:type="dxa" w:w="3216"/>
          </w:tcPr>
          <w:p>
            <w:r/>
            <w:r>
              <w:rPr>
                <w:rFonts w:ascii="Calibri" w:hAnsi="Calibri" w:eastAsia="Calibri"/>
                <w:b w:val="0"/>
                <w:sz w:val="20"/>
              </w:rPr>
              <w:t>0.857</w:t>
            </w:r>
          </w:p>
        </w:tc>
        <w:tc>
          <w:tcPr>
            <w:tcW w:type="dxa" w:w="3216"/>
          </w:tcPr>
          <w:p>
            <w:r/>
            <w:r>
              <w:rPr>
                <w:rFonts w:ascii="Calibri" w:hAnsi="Calibri" w:eastAsia="Calibri"/>
                <w:b w:val="0"/>
                <w:sz w:val="20"/>
              </w:rPr>
              <w:t>0.854 to 0.860</w:t>
            </w:r>
          </w:p>
        </w:tc>
      </w:tr>
      <w:tr>
        <w:tc>
          <w:tcPr>
            <w:tcW w:type="dxa" w:w="3216"/>
          </w:tcPr>
          <w:p>
            <w:r/>
            <w:r>
              <w:rPr>
                <w:rFonts w:ascii="Calibri" w:hAnsi="Calibri" w:eastAsia="Calibri"/>
                <w:b w:val="0"/>
                <w:sz w:val="20"/>
              </w:rPr>
              <w:t>XGBoost</w:t>
            </w:r>
          </w:p>
        </w:tc>
        <w:tc>
          <w:tcPr>
            <w:tcW w:type="dxa" w:w="3216"/>
          </w:tcPr>
          <w:p>
            <w:r/>
            <w:r>
              <w:rPr>
                <w:rFonts w:ascii="Calibri" w:hAnsi="Calibri" w:eastAsia="Calibri"/>
                <w:b w:val="0"/>
                <w:sz w:val="20"/>
              </w:rPr>
              <w:t>0.854</w:t>
            </w:r>
          </w:p>
        </w:tc>
        <w:tc>
          <w:tcPr>
            <w:tcW w:type="dxa" w:w="3216"/>
          </w:tcPr>
          <w:p>
            <w:r/>
            <w:r>
              <w:rPr>
                <w:rFonts w:ascii="Calibri" w:hAnsi="Calibri" w:eastAsia="Calibri"/>
                <w:b w:val="0"/>
                <w:sz w:val="20"/>
              </w:rPr>
              <w:t>0.851 to 0.857</w:t>
            </w:r>
          </w:p>
        </w:tc>
      </w:tr>
      <w:tr>
        <w:tc>
          <w:tcPr>
            <w:tcW w:type="dxa" w:w="3216"/>
          </w:tcPr>
          <w:p>
            <w:r/>
            <w:r>
              <w:rPr>
                <w:rFonts w:ascii="Calibri" w:hAnsi="Calibri" w:eastAsia="Calibri"/>
                <w:b w:val="0"/>
                <w:sz w:val="20"/>
              </w:rPr>
              <w:t>Random Forest</w:t>
            </w:r>
          </w:p>
        </w:tc>
        <w:tc>
          <w:tcPr>
            <w:tcW w:type="dxa" w:w="3216"/>
          </w:tcPr>
          <w:p>
            <w:r/>
            <w:r>
              <w:rPr>
                <w:rFonts w:ascii="Calibri" w:hAnsi="Calibri" w:eastAsia="Calibri"/>
                <w:b w:val="0"/>
                <w:sz w:val="20"/>
              </w:rPr>
              <w:t>0.847</w:t>
            </w:r>
          </w:p>
        </w:tc>
        <w:tc>
          <w:tcPr>
            <w:tcW w:type="dxa" w:w="3216"/>
          </w:tcPr>
          <w:p>
            <w:r/>
            <w:r>
              <w:rPr>
                <w:rFonts w:ascii="Calibri" w:hAnsi="Calibri" w:eastAsia="Calibri"/>
                <w:b w:val="0"/>
                <w:sz w:val="20"/>
              </w:rPr>
              <w:t>0.844 to 0.850</w:t>
            </w:r>
          </w:p>
        </w:tc>
      </w:tr>
      <w:tr>
        <w:tc>
          <w:tcPr>
            <w:tcW w:type="dxa" w:w="3216"/>
          </w:tcPr>
          <w:p>
            <w:r/>
            <w:r>
              <w:rPr>
                <w:rFonts w:ascii="Calibri" w:hAnsi="Calibri" w:eastAsia="Calibri"/>
                <w:b w:val="0"/>
                <w:sz w:val="20"/>
              </w:rPr>
              <w:t>Logistic regression</w:t>
            </w:r>
          </w:p>
        </w:tc>
        <w:tc>
          <w:tcPr>
            <w:tcW w:type="dxa" w:w="3216"/>
          </w:tcPr>
          <w:p>
            <w:r/>
            <w:r>
              <w:rPr>
                <w:rFonts w:ascii="Calibri" w:hAnsi="Calibri" w:eastAsia="Calibri"/>
                <w:b w:val="0"/>
                <w:sz w:val="20"/>
              </w:rPr>
              <w:t>0.840</w:t>
            </w:r>
          </w:p>
        </w:tc>
        <w:tc>
          <w:tcPr>
            <w:tcW w:type="dxa" w:w="3216"/>
          </w:tcPr>
          <w:p>
            <w:r/>
            <w:r>
              <w:rPr>
                <w:rFonts w:ascii="Calibri" w:hAnsi="Calibri" w:eastAsia="Calibri"/>
                <w:b w:val="0"/>
                <w:sz w:val="20"/>
              </w:rPr>
              <w:t>0.837 to 0.843</w:t>
            </w:r>
          </w:p>
        </w:tc>
      </w:tr>
      <w:tr>
        <w:tc>
          <w:tcPr>
            <w:tcW w:type="dxa" w:w="3216"/>
          </w:tcPr>
          <w:p>
            <w:r/>
            <w:r>
              <w:rPr>
                <w:rFonts w:ascii="Calibri" w:hAnsi="Calibri" w:eastAsia="Calibri"/>
                <w:b w:val="0"/>
                <w:sz w:val="20"/>
              </w:rPr>
              <w:t>Stacking (RF+XGB+GB)</w:t>
            </w:r>
          </w:p>
        </w:tc>
        <w:tc>
          <w:tcPr>
            <w:tcW w:type="dxa" w:w="3216"/>
          </w:tcPr>
          <w:p>
            <w:r/>
            <w:r>
              <w:rPr>
                <w:rFonts w:ascii="Calibri" w:hAnsi="Calibri" w:eastAsia="Calibri"/>
                <w:b w:val="0"/>
                <w:sz w:val="20"/>
              </w:rPr>
              <w:t>0.839</w:t>
            </w:r>
          </w:p>
        </w:tc>
        <w:tc>
          <w:tcPr>
            <w:tcW w:type="dxa" w:w="3216"/>
          </w:tcPr>
          <w:p>
            <w:r/>
            <w:r>
              <w:rPr>
                <w:rFonts w:ascii="Calibri" w:hAnsi="Calibri" w:eastAsia="Calibri"/>
                <w:b w:val="0"/>
                <w:sz w:val="20"/>
              </w:rPr>
              <w:t>0.835 to 0.843</w:t>
            </w:r>
          </w:p>
        </w:tc>
      </w:tr>
      <w:tr>
        <w:tc>
          <w:tcPr>
            <w:tcW w:type="dxa" w:w="3216"/>
          </w:tcPr>
          <w:p>
            <w:r/>
            <w:r>
              <w:rPr>
                <w:rFonts w:ascii="Calibri" w:hAnsi="Calibri" w:eastAsia="Calibri"/>
                <w:b w:val="0"/>
                <w:sz w:val="20"/>
              </w:rPr>
              <w:t>Phase-only logistic</w:t>
            </w:r>
          </w:p>
        </w:tc>
        <w:tc>
          <w:tcPr>
            <w:tcW w:type="dxa" w:w="3216"/>
          </w:tcPr>
          <w:p>
            <w:r/>
            <w:r>
              <w:rPr>
                <w:rFonts w:ascii="Calibri" w:hAnsi="Calibri" w:eastAsia="Calibri"/>
                <w:b w:val="0"/>
                <w:sz w:val="20"/>
              </w:rPr>
              <w:t>0.714</w:t>
            </w:r>
          </w:p>
        </w:tc>
        <w:tc>
          <w:tcPr>
            <w:tcW w:type="dxa" w:w="3216"/>
          </w:tcPr>
          <w:p>
            <w:r/>
            <w:r>
              <w:rPr>
                <w:rFonts w:ascii="Calibri" w:hAnsi="Calibri" w:eastAsia="Calibri"/>
                <w:b w:val="0"/>
                <w:sz w:val="20"/>
              </w:rPr>
              <w:t>0.709 to 0.719</w:t>
            </w:r>
          </w:p>
        </w:tc>
      </w:tr>
      <w:tr>
        <w:tc>
          <w:tcPr>
            <w:tcW w:type="dxa" w:w="3216"/>
          </w:tcPr>
          <w:p>
            <w:r/>
            <w:r>
              <w:rPr>
                <w:rFonts w:ascii="Calibri" w:hAnsi="Calibri" w:eastAsia="Calibri"/>
                <w:b w:val="0"/>
                <w:sz w:val="20"/>
              </w:rPr>
              <w:t>Majority class (always Yes)</w:t>
            </w:r>
          </w:p>
        </w:tc>
        <w:tc>
          <w:tcPr>
            <w:tcW w:type="dxa" w:w="3216"/>
          </w:tcPr>
          <w:p>
            <w:r/>
            <w:r>
              <w:rPr>
                <w:rFonts w:ascii="Calibri" w:hAnsi="Calibri" w:eastAsia="Calibri"/>
                <w:b w:val="0"/>
                <w:sz w:val="20"/>
              </w:rPr>
              <w:t>0.686</w:t>
            </w:r>
          </w:p>
        </w:tc>
        <w:tc>
          <w:tcPr>
            <w:tcW w:type="dxa" w:w="3216"/>
          </w:tcPr>
          <w:p>
            <w:r/>
            <w:r>
              <w:rPr>
                <w:rFonts w:ascii="Calibri" w:hAnsi="Calibri" w:eastAsia="Calibri"/>
                <w:b w:val="0"/>
                <w:sz w:val="20"/>
              </w:rPr>
              <w:t>0.686 to 0.686</w:t>
            </w:r>
          </w:p>
        </w:tc>
      </w:tr>
    </w:tbl>
    <w:p>
      <w:pPr>
        <w:spacing w:after="80"/>
      </w:pPr>
    </w:p>
    <w:p>
      <w:pPr>
        <w:spacing w:after="160" w:before="0" w:line="259" w:lineRule="auto"/>
      </w:pPr>
      <w:r>
        <w:rPr>
          <w:rFonts w:ascii="Calibri" w:hAnsi="Calibri" w:eastAsia="Calibri"/>
          <w:b w:val="0"/>
          <w:sz w:val="22"/>
        </w:rPr>
        <w:t>Majority accuracy on the held-out split is 0.522. Phase alone reaches F1 0.714. The full logistic reaches 0.840. That gap is the student-feature lift on a random split. It does not replace the forward test. Nadeau-Bengio corrected resampled t-test: Gradient Boosting minus logistic, mean F1 difference 0.017, p &lt; 0.001. Gradient Boosting minus the repeated stack, difference 0.018, p = 0.006. On the single random_state=42 holdout, McNemar agrees for GB vs logistic (p = 0.009) and does not separate GB from that stack (p = 0.185). Gradient Boosting is the deployed model because TreeExplainer SHAP applies to it.</w:t>
      </w:r>
    </w:p>
    <w:p>
      <w:pPr>
        <w:spacing w:after="160" w:before="0" w:line="259" w:lineRule="auto"/>
      </w:pPr>
      <w:r>
        <w:rPr>
          <w:rFonts w:ascii="Calibri" w:hAnsi="Calibri" w:eastAsia="Calibri"/>
          <w:b w:val="0"/>
          <w:sz w:val="22"/>
        </w:rPr>
        <w:t>Nine duplicate encodings were dropped (budget written four ways, due diligence written twice, phase number, academic numeric codes, result band, GPA-academic match). Held-out F1 moves from 0.868 on 22 features to 0.868 on 13. The extra columns were not buying a different decision. The production model still carries the 22, which is why SHAP splits one factor across several bars.</w:t>
      </w:r>
    </w:p>
    <w:p>
      <w:pPr>
        <w:pStyle w:val="Heading1"/>
        <w:spacing w:before="280" w:after="120"/>
      </w:pPr>
      <w:r>
        <w:rPr>
          <w:rFonts w:ascii="Calibri" w:hAnsi="Calibri" w:eastAsia="Calibri"/>
          <w:b/>
          <w:color w:val="1565C0"/>
          <w:sz w:val="32"/>
        </w:rPr>
        <w:t>5. A later political window (RQ3)</w:t>
      </w:r>
    </w:p>
    <w:p>
      <w:pPr>
        <w:spacing w:after="160" w:before="0" w:line="259" w:lineRule="auto"/>
      </w:pPr>
      <w:r>
        <w:rPr>
          <w:rFonts w:ascii="Calibri" w:hAnsi="Calibri" w:eastAsia="Calibri"/>
          <w:b w:val="0"/>
          <w:sz w:val="22"/>
        </w:rPr>
        <w:t>Forward tests and leave-one-phase-out drop Political_Phase, Phase_Number, Year, and Days_Since_First_Intake. Those columns identify the window. The random-split model keeps them. All rows below are Gradient Boosting at a 0.50 decision threshold.</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E3F2FD" w:val="clear"/>
          </w:tcPr>
          <w:p>
            <w:r>
              <w:rPr>
                <w:rFonts w:ascii="Calibri" w:hAnsi="Calibri" w:eastAsia="Calibri"/>
                <w:b/>
                <w:sz w:val="20"/>
              </w:rPr>
            </w:r>
            <w:r>
              <w:rPr>
                <w:rFonts w:ascii="Calibri" w:hAnsi="Calibri" w:eastAsia="Calibri"/>
                <w:b/>
                <w:sz w:val="20"/>
              </w:rPr>
              <w:t>Protocol</w:t>
            </w:r>
          </w:p>
        </w:tc>
        <w:tc>
          <w:tcPr>
            <w:tcW w:type="dxa" w:w="1930"/>
            <w:shd w:fill="E3F2FD" w:val="clear"/>
          </w:tcPr>
          <w:p>
            <w:r>
              <w:rPr>
                <w:rFonts w:ascii="Calibri" w:hAnsi="Calibri" w:eastAsia="Calibri"/>
                <w:b/>
                <w:sz w:val="20"/>
              </w:rPr>
            </w:r>
            <w:r>
              <w:rPr>
                <w:rFonts w:ascii="Calibri" w:hAnsi="Calibri" w:eastAsia="Calibri"/>
                <w:b/>
                <w:sz w:val="20"/>
              </w:rPr>
              <w:t>Held out</w:t>
            </w:r>
          </w:p>
        </w:tc>
        <w:tc>
          <w:tcPr>
            <w:tcW w:type="dxa" w:w="1930"/>
            <w:shd w:fill="E3F2FD" w:val="clear"/>
          </w:tcPr>
          <w:p>
            <w:r>
              <w:rPr>
                <w:rFonts w:ascii="Calibri" w:hAnsi="Calibri" w:eastAsia="Calibri"/>
                <w:b/>
                <w:sz w:val="20"/>
              </w:rPr>
            </w:r>
            <w:r>
              <w:rPr>
                <w:rFonts w:ascii="Calibri" w:hAnsi="Calibri" w:eastAsia="Calibri"/>
                <w:b/>
                <w:sz w:val="20"/>
              </w:rPr>
              <w:t>F1</w:t>
            </w:r>
          </w:p>
        </w:tc>
        <w:tc>
          <w:tcPr>
            <w:tcW w:type="dxa" w:w="1930"/>
            <w:shd w:fill="E3F2FD" w:val="clear"/>
          </w:tcPr>
          <w:p>
            <w:r>
              <w:rPr>
                <w:rFonts w:ascii="Calibri" w:hAnsi="Calibri" w:eastAsia="Calibri"/>
                <w:b/>
                <w:sz w:val="20"/>
              </w:rPr>
            </w:r>
            <w:r>
              <w:rPr>
                <w:rFonts w:ascii="Calibri" w:hAnsi="Calibri" w:eastAsia="Calibri"/>
                <w:b/>
                <w:sz w:val="20"/>
              </w:rPr>
              <w:t>AUC</w:t>
            </w:r>
          </w:p>
        </w:tc>
        <w:tc>
          <w:tcPr>
            <w:tcW w:type="dxa" w:w="1930"/>
            <w:shd w:fill="E3F2FD" w:val="clear"/>
          </w:tcPr>
          <w:p>
            <w:r>
              <w:rPr>
                <w:rFonts w:ascii="Calibri" w:hAnsi="Calibri" w:eastAsia="Calibri"/>
                <w:b/>
                <w:sz w:val="20"/>
              </w:rPr>
            </w:r>
            <w:r>
              <w:rPr>
                <w:rFonts w:ascii="Calibri" w:hAnsi="Calibri" w:eastAsia="Calibri"/>
                <w:b/>
                <w:sz w:val="20"/>
              </w:rPr>
              <w:t>n test</w:t>
            </w:r>
          </w:p>
        </w:tc>
      </w:tr>
      <w:tr>
        <w:tc>
          <w:tcPr>
            <w:tcW w:type="dxa" w:w="1930"/>
          </w:tcPr>
          <w:p>
            <w:r/>
            <w:r>
              <w:rPr>
                <w:rFonts w:ascii="Calibri" w:hAnsi="Calibri" w:eastAsia="Calibri"/>
                <w:b w:val="0"/>
                <w:sz w:val="20"/>
              </w:rPr>
              <w:t>Random split</w:t>
            </w:r>
          </w:p>
        </w:tc>
        <w:tc>
          <w:tcPr>
            <w:tcW w:type="dxa" w:w="1930"/>
          </w:tcPr>
          <w:p>
            <w:r/>
            <w:r>
              <w:rPr>
                <w:rFonts w:ascii="Calibri" w:hAnsi="Calibri" w:eastAsia="Calibri"/>
                <w:b w:val="0"/>
                <w:sz w:val="20"/>
              </w:rPr>
              <w:t>20% mixed phases</w:t>
            </w:r>
          </w:p>
        </w:tc>
        <w:tc>
          <w:tcPr>
            <w:tcW w:type="dxa" w:w="1930"/>
          </w:tcPr>
          <w:p>
            <w:r/>
            <w:r>
              <w:rPr>
                <w:rFonts w:ascii="Calibri" w:hAnsi="Calibri" w:eastAsia="Calibri"/>
                <w:b w:val="0"/>
                <w:sz w:val="20"/>
              </w:rPr>
              <w:t>0.868</w:t>
            </w:r>
          </w:p>
        </w:tc>
        <w:tc>
          <w:tcPr>
            <w:tcW w:type="dxa" w:w="1930"/>
          </w:tcPr>
          <w:p>
            <w:r/>
            <w:r>
              <w:rPr>
                <w:rFonts w:ascii="Calibri" w:hAnsi="Calibri" w:eastAsia="Calibri"/>
                <w:b w:val="0"/>
                <w:sz w:val="20"/>
              </w:rPr>
              <w:t>0.951</w:t>
            </w:r>
          </w:p>
        </w:tc>
        <w:tc>
          <w:tcPr>
            <w:tcW w:type="dxa" w:w="1930"/>
          </w:tcPr>
          <w:p>
            <w:r/>
            <w:r>
              <w:rPr>
                <w:rFonts w:ascii="Calibri" w:hAnsi="Calibri" w:eastAsia="Calibri"/>
                <w:b w:val="0"/>
                <w:sz w:val="20"/>
              </w:rPr>
              <w:t>1,200</w:t>
            </w:r>
          </w:p>
        </w:tc>
      </w:tr>
      <w:tr>
        <w:tc>
          <w:tcPr>
            <w:tcW w:type="dxa" w:w="1930"/>
          </w:tcPr>
          <w:p>
            <w:r/>
            <w:r>
              <w:rPr>
                <w:rFonts w:ascii="Calibri" w:hAnsi="Calibri" w:eastAsia="Calibri"/>
                <w:b w:val="0"/>
                <w:sz w:val="20"/>
              </w:rPr>
              <w:t>Train through phase 1, test phase 2</w:t>
            </w:r>
          </w:p>
        </w:tc>
        <w:tc>
          <w:tcPr>
            <w:tcW w:type="dxa" w:w="1930"/>
          </w:tcPr>
          <w:p>
            <w:r/>
            <w:r>
              <w:rPr>
                <w:rFonts w:ascii="Calibri" w:hAnsi="Calibri" w:eastAsia="Calibri"/>
                <w:b w:val="0"/>
                <w:sz w:val="20"/>
              </w:rPr>
              <w:t>Transitional phase 2</w:t>
            </w:r>
          </w:p>
        </w:tc>
        <w:tc>
          <w:tcPr>
            <w:tcW w:type="dxa" w:w="1930"/>
          </w:tcPr>
          <w:p>
            <w:r/>
            <w:r>
              <w:rPr>
                <w:rFonts w:ascii="Calibri" w:hAnsi="Calibri" w:eastAsia="Calibri"/>
                <w:b w:val="0"/>
                <w:sz w:val="20"/>
              </w:rPr>
              <w:t>0.653</w:t>
            </w:r>
          </w:p>
        </w:tc>
        <w:tc>
          <w:tcPr>
            <w:tcW w:type="dxa" w:w="1930"/>
          </w:tcPr>
          <w:p>
            <w:r/>
            <w:r>
              <w:rPr>
                <w:rFonts w:ascii="Calibri" w:hAnsi="Calibri" w:eastAsia="Calibri"/>
                <w:b w:val="0"/>
                <w:sz w:val="20"/>
              </w:rPr>
              <w:t>0.821</w:t>
            </w:r>
          </w:p>
        </w:tc>
        <w:tc>
          <w:tcPr>
            <w:tcW w:type="dxa" w:w="1930"/>
          </w:tcPr>
          <w:p>
            <w:r/>
            <w:r>
              <w:rPr>
                <w:rFonts w:ascii="Calibri" w:hAnsi="Calibri" w:eastAsia="Calibri"/>
                <w:b w:val="0"/>
                <w:sz w:val="20"/>
              </w:rPr>
              <w:t>1,200</w:t>
            </w:r>
          </w:p>
        </w:tc>
      </w:tr>
      <w:tr>
        <w:tc>
          <w:tcPr>
            <w:tcW w:type="dxa" w:w="1930"/>
          </w:tcPr>
          <w:p>
            <w:r/>
            <w:r>
              <w:rPr>
                <w:rFonts w:ascii="Calibri" w:hAnsi="Calibri" w:eastAsia="Calibri"/>
                <w:b w:val="0"/>
                <w:sz w:val="20"/>
              </w:rPr>
              <w:t>Train through phase 2, test next</w:t>
            </w:r>
          </w:p>
        </w:tc>
        <w:tc>
          <w:tcPr>
            <w:tcW w:type="dxa" w:w="1930"/>
          </w:tcPr>
          <w:p>
            <w:r/>
            <w:r>
              <w:rPr>
                <w:rFonts w:ascii="Calibri" w:hAnsi="Calibri" w:eastAsia="Calibri"/>
                <w:b w:val="0"/>
                <w:sz w:val="20"/>
              </w:rPr>
              <w:t>Newly Elected</w:t>
            </w:r>
          </w:p>
        </w:tc>
        <w:tc>
          <w:tcPr>
            <w:tcW w:type="dxa" w:w="1930"/>
          </w:tcPr>
          <w:p>
            <w:r/>
            <w:r>
              <w:rPr>
                <w:rFonts w:ascii="Calibri" w:hAnsi="Calibri" w:eastAsia="Calibri"/>
                <w:b w:val="0"/>
                <w:sz w:val="20"/>
              </w:rPr>
              <w:t>0.911</w:t>
            </w:r>
          </w:p>
        </w:tc>
        <w:tc>
          <w:tcPr>
            <w:tcW w:type="dxa" w:w="1930"/>
          </w:tcPr>
          <w:p>
            <w:r/>
            <w:r>
              <w:rPr>
                <w:rFonts w:ascii="Calibri" w:hAnsi="Calibri" w:eastAsia="Calibri"/>
                <w:b w:val="0"/>
                <w:sz w:val="20"/>
              </w:rPr>
              <w:t>0.973</w:t>
            </w:r>
          </w:p>
        </w:tc>
        <w:tc>
          <w:tcPr>
            <w:tcW w:type="dxa" w:w="1930"/>
          </w:tcPr>
          <w:p>
            <w:r/>
            <w:r>
              <w:rPr>
                <w:rFonts w:ascii="Calibri" w:hAnsi="Calibri" w:eastAsia="Calibri"/>
                <w:b w:val="0"/>
                <w:sz w:val="20"/>
              </w:rPr>
              <w:t>1,200</w:t>
            </w:r>
          </w:p>
        </w:tc>
      </w:tr>
      <w:tr>
        <w:tc>
          <w:tcPr>
            <w:tcW w:type="dxa" w:w="1930"/>
          </w:tcPr>
          <w:p>
            <w:r/>
            <w:r>
              <w:rPr>
                <w:rFonts w:ascii="Calibri" w:hAnsi="Calibri" w:eastAsia="Calibri"/>
                <w:b w:val="0"/>
                <w:sz w:val="20"/>
              </w:rPr>
              <w:t>Leave one phase out</w:t>
            </w:r>
          </w:p>
        </w:tc>
        <w:tc>
          <w:tcPr>
            <w:tcW w:type="dxa" w:w="1930"/>
          </w:tcPr>
          <w:p>
            <w:r/>
            <w:r>
              <w:rPr>
                <w:rFonts w:ascii="Calibri" w:hAnsi="Calibri" w:eastAsia="Calibri"/>
                <w:b w:val="0"/>
                <w:sz w:val="20"/>
              </w:rPr>
              <w:t>Stable</w:t>
            </w:r>
          </w:p>
        </w:tc>
        <w:tc>
          <w:tcPr>
            <w:tcW w:type="dxa" w:w="1930"/>
          </w:tcPr>
          <w:p>
            <w:r/>
            <w:r>
              <w:rPr>
                <w:rFonts w:ascii="Calibri" w:hAnsi="Calibri" w:eastAsia="Calibri"/>
                <w:b w:val="0"/>
                <w:sz w:val="20"/>
              </w:rPr>
              <w:t>0.532</w:t>
            </w:r>
          </w:p>
        </w:tc>
        <w:tc>
          <w:tcPr>
            <w:tcW w:type="dxa" w:w="1930"/>
          </w:tcPr>
          <w:p>
            <w:r/>
            <w:r>
              <w:rPr>
                <w:rFonts w:ascii="Calibri" w:hAnsi="Calibri" w:eastAsia="Calibri"/>
                <w:b w:val="0"/>
                <w:sz w:val="20"/>
              </w:rPr>
              <w:t>0.600</w:t>
            </w:r>
          </w:p>
        </w:tc>
        <w:tc>
          <w:tcPr>
            <w:tcW w:type="dxa" w:w="1930"/>
          </w:tcPr>
          <w:p>
            <w:r/>
            <w:r>
              <w:rPr>
                <w:rFonts w:ascii="Calibri" w:hAnsi="Calibri" w:eastAsia="Calibri"/>
                <w:b w:val="0"/>
                <w:sz w:val="20"/>
              </w:rPr>
              <w:t>1,200</w:t>
            </w:r>
          </w:p>
        </w:tc>
      </w:tr>
      <w:tr>
        <w:tc>
          <w:tcPr>
            <w:tcW w:type="dxa" w:w="1930"/>
          </w:tcPr>
          <w:p>
            <w:r/>
            <w:r>
              <w:rPr>
                <w:rFonts w:ascii="Calibri" w:hAnsi="Calibri" w:eastAsia="Calibri"/>
                <w:b w:val="0"/>
                <w:sz w:val="20"/>
              </w:rPr>
              <w:t>Leave one phase out</w:t>
            </w:r>
          </w:p>
        </w:tc>
        <w:tc>
          <w:tcPr>
            <w:tcW w:type="dxa" w:w="1930"/>
          </w:tcPr>
          <w:p>
            <w:r/>
            <w:r>
              <w:rPr>
                <w:rFonts w:ascii="Calibri" w:hAnsi="Calibri" w:eastAsia="Calibri"/>
                <w:b w:val="0"/>
                <w:sz w:val="20"/>
              </w:rPr>
              <w:t>Unstable</w:t>
            </w:r>
          </w:p>
        </w:tc>
        <w:tc>
          <w:tcPr>
            <w:tcW w:type="dxa" w:w="1930"/>
          </w:tcPr>
          <w:p>
            <w:r/>
            <w:r>
              <w:rPr>
                <w:rFonts w:ascii="Calibri" w:hAnsi="Calibri" w:eastAsia="Calibri"/>
                <w:b w:val="0"/>
                <w:sz w:val="20"/>
              </w:rPr>
              <w:t>0.864</w:t>
            </w:r>
          </w:p>
        </w:tc>
        <w:tc>
          <w:tcPr>
            <w:tcW w:type="dxa" w:w="1930"/>
          </w:tcPr>
          <w:p>
            <w:r/>
            <w:r>
              <w:rPr>
                <w:rFonts w:ascii="Calibri" w:hAnsi="Calibri" w:eastAsia="Calibri"/>
                <w:b w:val="0"/>
                <w:sz w:val="20"/>
              </w:rPr>
              <w:t>0.941</w:t>
            </w:r>
          </w:p>
        </w:tc>
        <w:tc>
          <w:tcPr>
            <w:tcW w:type="dxa" w:w="1930"/>
          </w:tcPr>
          <w:p>
            <w:r/>
            <w:r>
              <w:rPr>
                <w:rFonts w:ascii="Calibri" w:hAnsi="Calibri" w:eastAsia="Calibri"/>
                <w:b w:val="0"/>
                <w:sz w:val="20"/>
              </w:rPr>
              <w:t>1,200</w:t>
            </w:r>
          </w:p>
        </w:tc>
      </w:tr>
      <w:tr>
        <w:tc>
          <w:tcPr>
            <w:tcW w:type="dxa" w:w="1930"/>
          </w:tcPr>
          <w:p>
            <w:r/>
            <w:r>
              <w:rPr>
                <w:rFonts w:ascii="Calibri" w:hAnsi="Calibri" w:eastAsia="Calibri"/>
                <w:b w:val="0"/>
                <w:sz w:val="20"/>
              </w:rPr>
              <w:t>Leave one phase out</w:t>
            </w:r>
          </w:p>
        </w:tc>
        <w:tc>
          <w:tcPr>
            <w:tcW w:type="dxa" w:w="1930"/>
          </w:tcPr>
          <w:p>
            <w:r/>
            <w:r>
              <w:rPr>
                <w:rFonts w:ascii="Calibri" w:hAnsi="Calibri" w:eastAsia="Calibri"/>
                <w:b w:val="0"/>
                <w:sz w:val="20"/>
              </w:rPr>
              <w:t>Transitional phase 1</w:t>
            </w:r>
          </w:p>
        </w:tc>
        <w:tc>
          <w:tcPr>
            <w:tcW w:type="dxa" w:w="1930"/>
          </w:tcPr>
          <w:p>
            <w:r/>
            <w:r>
              <w:rPr>
                <w:rFonts w:ascii="Calibri" w:hAnsi="Calibri" w:eastAsia="Calibri"/>
                <w:b w:val="0"/>
                <w:sz w:val="20"/>
              </w:rPr>
              <w:t>0.468</w:t>
            </w:r>
          </w:p>
        </w:tc>
        <w:tc>
          <w:tcPr>
            <w:tcW w:type="dxa" w:w="1930"/>
          </w:tcPr>
          <w:p>
            <w:r/>
            <w:r>
              <w:rPr>
                <w:rFonts w:ascii="Calibri" w:hAnsi="Calibri" w:eastAsia="Calibri"/>
                <w:b w:val="0"/>
                <w:sz w:val="20"/>
              </w:rPr>
              <w:t>0.847</w:t>
            </w:r>
          </w:p>
        </w:tc>
        <w:tc>
          <w:tcPr>
            <w:tcW w:type="dxa" w:w="1930"/>
          </w:tcPr>
          <w:p>
            <w:r/>
            <w:r>
              <w:rPr>
                <w:rFonts w:ascii="Calibri" w:hAnsi="Calibri" w:eastAsia="Calibri"/>
                <w:b w:val="0"/>
                <w:sz w:val="20"/>
              </w:rPr>
              <w:t>1,200</w:t>
            </w:r>
          </w:p>
        </w:tc>
      </w:tr>
      <w:tr>
        <w:tc>
          <w:tcPr>
            <w:tcW w:type="dxa" w:w="1930"/>
          </w:tcPr>
          <w:p>
            <w:r/>
            <w:r>
              <w:rPr>
                <w:rFonts w:ascii="Calibri" w:hAnsi="Calibri" w:eastAsia="Calibri"/>
                <w:b w:val="0"/>
                <w:sz w:val="20"/>
              </w:rPr>
              <w:t>Leave one phase out</w:t>
            </w:r>
          </w:p>
        </w:tc>
        <w:tc>
          <w:tcPr>
            <w:tcW w:type="dxa" w:w="1930"/>
          </w:tcPr>
          <w:p>
            <w:r/>
            <w:r>
              <w:rPr>
                <w:rFonts w:ascii="Calibri" w:hAnsi="Calibri" w:eastAsia="Calibri"/>
                <w:b w:val="0"/>
                <w:sz w:val="20"/>
              </w:rPr>
              <w:t>Transitional phase 2</w:t>
            </w:r>
          </w:p>
        </w:tc>
        <w:tc>
          <w:tcPr>
            <w:tcW w:type="dxa" w:w="1930"/>
          </w:tcPr>
          <w:p>
            <w:r/>
            <w:r>
              <w:rPr>
                <w:rFonts w:ascii="Calibri" w:hAnsi="Calibri" w:eastAsia="Calibri"/>
                <w:b w:val="0"/>
                <w:sz w:val="20"/>
              </w:rPr>
              <w:t>0.655</w:t>
            </w:r>
          </w:p>
        </w:tc>
        <w:tc>
          <w:tcPr>
            <w:tcW w:type="dxa" w:w="1930"/>
          </w:tcPr>
          <w:p>
            <w:r/>
            <w:r>
              <w:rPr>
                <w:rFonts w:ascii="Calibri" w:hAnsi="Calibri" w:eastAsia="Calibri"/>
                <w:b w:val="0"/>
                <w:sz w:val="20"/>
              </w:rPr>
              <w:t>0.822</w:t>
            </w:r>
          </w:p>
        </w:tc>
        <w:tc>
          <w:tcPr>
            <w:tcW w:type="dxa" w:w="1930"/>
          </w:tcPr>
          <w:p>
            <w:r/>
            <w:r>
              <w:rPr>
                <w:rFonts w:ascii="Calibri" w:hAnsi="Calibri" w:eastAsia="Calibri"/>
                <w:b w:val="0"/>
                <w:sz w:val="20"/>
              </w:rPr>
              <w:t>1,200</w:t>
            </w:r>
          </w:p>
        </w:tc>
      </w:tr>
      <w:tr>
        <w:tc>
          <w:tcPr>
            <w:tcW w:type="dxa" w:w="1930"/>
          </w:tcPr>
          <w:p>
            <w:r/>
            <w:r>
              <w:rPr>
                <w:rFonts w:ascii="Calibri" w:hAnsi="Calibri" w:eastAsia="Calibri"/>
                <w:b w:val="0"/>
                <w:sz w:val="20"/>
              </w:rPr>
              <w:t>Leave one phase out</w:t>
            </w:r>
          </w:p>
        </w:tc>
        <w:tc>
          <w:tcPr>
            <w:tcW w:type="dxa" w:w="1930"/>
          </w:tcPr>
          <w:p>
            <w:r/>
            <w:r>
              <w:rPr>
                <w:rFonts w:ascii="Calibri" w:hAnsi="Calibri" w:eastAsia="Calibri"/>
                <w:b w:val="0"/>
                <w:sz w:val="20"/>
              </w:rPr>
              <w:t>Newly Elected</w:t>
            </w:r>
          </w:p>
        </w:tc>
        <w:tc>
          <w:tcPr>
            <w:tcW w:type="dxa" w:w="1930"/>
          </w:tcPr>
          <w:p>
            <w:r/>
            <w:r>
              <w:rPr>
                <w:rFonts w:ascii="Calibri" w:hAnsi="Calibri" w:eastAsia="Calibri"/>
                <w:b w:val="0"/>
                <w:sz w:val="20"/>
              </w:rPr>
              <w:t>0.911</w:t>
            </w:r>
          </w:p>
        </w:tc>
        <w:tc>
          <w:tcPr>
            <w:tcW w:type="dxa" w:w="1930"/>
          </w:tcPr>
          <w:p>
            <w:r/>
            <w:r>
              <w:rPr>
                <w:rFonts w:ascii="Calibri" w:hAnsi="Calibri" w:eastAsia="Calibri"/>
                <w:b w:val="0"/>
                <w:sz w:val="20"/>
              </w:rPr>
              <w:t>0.973</w:t>
            </w:r>
          </w:p>
        </w:tc>
        <w:tc>
          <w:tcPr>
            <w:tcW w:type="dxa" w:w="1930"/>
          </w:tcPr>
          <w:p>
            <w:r/>
            <w:r>
              <w:rPr>
                <w:rFonts w:ascii="Calibri" w:hAnsi="Calibri" w:eastAsia="Calibri"/>
                <w:b w:val="0"/>
                <w:sz w:val="20"/>
              </w:rPr>
              <w:t>1,200</w:t>
            </w:r>
          </w:p>
        </w:tc>
      </w:tr>
    </w:tbl>
    <w:p>
      <w:pPr>
        <w:spacing w:after="80"/>
      </w:pPr>
    </w:p>
    <w:p>
      <w:pPr>
        <w:spacing w:after="160" w:before="0" w:line="259" w:lineRule="auto"/>
      </w:pPr>
      <w:r>
        <w:rPr>
          <w:rFonts w:ascii="Calibri" w:hAnsi="Calibri" w:eastAsia="Calibri"/>
          <w:b w:val="0"/>
          <w:sz w:val="22"/>
        </w:rPr>
        <w:t>H3 is supported by Transitional phase 2: F1 falls by 0.215 relative to the random split. Quote 0.653, not 0.868, as the estimate for a later window the model has not seen. Newly Elected does not fall. Leave-one-phase-out on Stable is weak (F1 0.532), and on Transitional phase 1 the F1 is 0.468 because recall is 0.982 while precision is 0.307: the model over-calls continuation in a window whose base rate is 19%.</w:t>
      </w:r>
    </w:p>
    <w:p>
      <w:pPr>
        <w:spacing w:before="120" w:after="40"/>
        <w:jc w:val="center"/>
      </w:pPr>
      <w:r>
        <w:drawing>
          <wp:inline xmlns:a="http://schemas.openxmlformats.org/drawingml/2006/main" xmlns:pic="http://schemas.openxmlformats.org/drawingml/2006/picture">
            <wp:extent cx="5303520" cy="2951991"/>
            <wp:docPr id="3" name="Picture 3"/>
            <wp:cNvGraphicFramePr>
              <a:graphicFrameLocks noChangeAspect="1"/>
            </wp:cNvGraphicFramePr>
            <a:graphic>
              <a:graphicData uri="http://schemas.openxmlformats.org/drawingml/2006/picture">
                <pic:pic>
                  <pic:nvPicPr>
                    <pic:cNvPr id="0" name="e4_forward_vs_random_full.png"/>
                    <pic:cNvPicPr/>
                  </pic:nvPicPr>
                  <pic:blipFill>
                    <a:blip r:embed="rId11"/>
                    <a:stretch>
                      <a:fillRect/>
                    </a:stretch>
                  </pic:blipFill>
                  <pic:spPr>
                    <a:xfrm>
                      <a:off x="0" y="0"/>
                      <a:ext cx="5303520" cy="2951991"/>
                    </a:xfrm>
                    <a:prstGeom prst="rect"/>
                  </pic:spPr>
                </pic:pic>
              </a:graphicData>
            </a:graphic>
          </wp:inline>
        </w:drawing>
      </w:r>
    </w:p>
    <w:p>
      <w:pPr>
        <w:spacing w:after="160"/>
        <w:jc w:val="center"/>
      </w:pPr>
      <w:r>
        <w:rPr>
          <w:rFonts w:ascii="Calibri" w:hAnsi="Calibri" w:eastAsia="Calibri"/>
          <w:b w:val="0"/>
          <w:color w:val="505050"/>
          <w:sz w:val="18"/>
        </w:rPr>
        <w:t>Figure 3. Random-split F1 against two forward tests on the full 6,000-row file.</w:t>
      </w:r>
    </w:p>
    <w:p>
      <w:pPr>
        <w:spacing w:after="160" w:before="0" w:line="259" w:lineRule="auto"/>
      </w:pPr>
      <w:r>
        <w:rPr>
          <w:rFonts w:ascii="Calibri" w:hAnsi="Calibri" w:eastAsia="Calibri"/>
          <w:b w:val="0"/>
          <w:sz w:val="22"/>
        </w:rPr>
        <w:t>Deduplicated file (5,498 rows, earliest fingerprint kept). Repeated-CV Gradient Boosting F1 is 0.849 (0.844 to 0.854), against 0.857 on the full file. Forward F1 on Transitional phase 2 is unchanged at 0.653. Forward F1 on Newly Elected is 0.932 on the 698 rows that did not match an earlier record. Identical rows in both the training window and that test window are not what holds the Newly Elected score up. Leave-one-phase-out on Unstable does move, from 0.864 to 0.775, because on the full file the Newly Elected copies sit in the training side of that split.</w:t>
      </w:r>
    </w:p>
    <w:p>
      <w:pPr>
        <w:pStyle w:val="Heading1"/>
        <w:spacing w:before="280" w:after="120"/>
      </w:pPr>
      <w:r>
        <w:rPr>
          <w:rFonts w:ascii="Calibri" w:hAnsi="Calibri" w:eastAsia="Calibri"/>
          <w:b/>
          <w:color w:val="1565C0"/>
          <w:sz w:val="32"/>
        </w:rPr>
        <w:t>6. Drivers, errors, and the cutoff</w:t>
      </w:r>
    </w:p>
    <w:p>
      <w:pPr>
        <w:spacing w:after="160" w:before="0" w:line="259" w:lineRule="auto"/>
      </w:pPr>
      <w:r>
        <w:rPr>
          <w:rFonts w:ascii="Calibri" w:hAnsi="Calibri" w:eastAsia="Calibri"/>
          <w:b w:val="0"/>
          <w:sz w:val="22"/>
        </w:rPr>
        <w:t>On the production Gradient Boosting model, mean absolute SHAP is dominated by due diligence in every phase. The production matrix stores that factor three ways (Researched, Researched_Level, Researched_Bin), so the bars split one signal. Days since first intake is large in Stable and Newly Elected and small in Unstable. Budget appears, split across its encodings, and is smaller than due diligence in every phase. Section 4 already showed that collapsing those encodings does not change F1.</w:t>
      </w:r>
    </w:p>
    <w:p>
      <w:pPr>
        <w:spacing w:after="160" w:before="0" w:line="259" w:lineRule="auto"/>
      </w:pPr>
      <w:r>
        <w:rPr>
          <w:rFonts w:ascii="Calibri" w:hAnsi="Calibri" w:eastAsia="Calibri"/>
          <w:b w:val="0"/>
          <w:sz w:val="22"/>
        </w:rPr>
        <w:t>Calibration on the held-out 1,200: uncalibrated Brier 0.0904, isotonic Brier 0.0901. The probabilities were already close to the diagonal. The low-risk cutoff is the lowest calibrated threshold with precision at least 0.90. That threshold is 0.54 (precision 0.901, recall 0.800, 46% of the test set called low risk). A 0.94 precision target lands at 0.61. Medium risk stays 0.40 up to 0.54. High risk is below 0.40. The F1-max threshold, 0.33, is recorded and is not the counseling cutoff. The decision-support app reads 0.54 from results_paper1/operating_point.json.</w:t>
      </w:r>
    </w:p>
    <w:p>
      <w:pPr>
        <w:spacing w:before="120" w:after="40"/>
        <w:jc w:val="center"/>
      </w:pPr>
      <w:r>
        <w:drawing>
          <wp:inline xmlns:a="http://schemas.openxmlformats.org/drawingml/2006/main" xmlns:pic="http://schemas.openxmlformats.org/drawingml/2006/picture">
            <wp:extent cx="4206240" cy="3808984"/>
            <wp:docPr id="4" name="Picture 4"/>
            <wp:cNvGraphicFramePr>
              <a:graphicFrameLocks noChangeAspect="1"/>
            </wp:cNvGraphicFramePr>
            <a:graphic>
              <a:graphicData uri="http://schemas.openxmlformats.org/drawingml/2006/picture">
                <pic:pic>
                  <pic:nvPicPr>
                    <pic:cNvPr id="0" name="e6_reliability.png"/>
                    <pic:cNvPicPr/>
                  </pic:nvPicPr>
                  <pic:blipFill>
                    <a:blip r:embed="rId12"/>
                    <a:stretch>
                      <a:fillRect/>
                    </a:stretch>
                  </pic:blipFill>
                  <pic:spPr>
                    <a:xfrm>
                      <a:off x="0" y="0"/>
                      <a:ext cx="4206240" cy="3808984"/>
                    </a:xfrm>
                    <a:prstGeom prst="rect"/>
                  </pic:spPr>
                </pic:pic>
              </a:graphicData>
            </a:graphic>
          </wp:inline>
        </w:drawing>
      </w:r>
    </w:p>
    <w:p>
      <w:pPr>
        <w:spacing w:after="160"/>
        <w:jc w:val="center"/>
      </w:pPr>
      <w:r>
        <w:rPr>
          <w:rFonts w:ascii="Calibri" w:hAnsi="Calibri" w:eastAsia="Calibri"/>
          <w:b w:val="0"/>
          <w:color w:val="505050"/>
          <w:sz w:val="18"/>
        </w:rPr>
        <w:t>Figure 4. Reliability of the production Gradient Boosting model on the held-out test.</w:t>
      </w:r>
    </w:p>
    <w:p>
      <w:pPr>
        <w:spacing w:after="160" w:before="0" w:line="259" w:lineRule="auto"/>
      </w:pPr>
      <w:r>
        <w:rPr>
          <w:rFonts w:ascii="Calibri" w:hAnsi="Calibri" w:eastAsia="Calibri"/>
          <w:b w:val="0"/>
          <w:sz w:val="22"/>
        </w:rPr>
        <w:t>At cutoff 0.54 on the same holdout: 1,034 correct, 112 false negatives (continued, scored below 0.54), 54 false positives. False negatives concentrate at Due Diligence = No (74 of 112) and are highest in Stable (FN rate 0.186). Newly Elected has 12 false negatives and 0 false positives in this split. Budget band does not separate the errors (FN rate about 0.08 to 0.10 in each band).</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E3F2FD" w:val="clear"/>
          </w:tcPr>
          <w:p>
            <w:r>
              <w:rPr>
                <w:rFonts w:ascii="Calibri" w:hAnsi="Calibri" w:eastAsia="Calibri"/>
                <w:b/>
                <w:sz w:val="20"/>
              </w:rPr>
            </w:r>
            <w:r>
              <w:rPr>
                <w:rFonts w:ascii="Calibri" w:hAnsi="Calibri" w:eastAsia="Calibri"/>
                <w:b/>
                <w:sz w:val="20"/>
              </w:rPr>
              <w:t>Subgroup</w:t>
            </w:r>
          </w:p>
        </w:tc>
        <w:tc>
          <w:tcPr>
            <w:tcW w:type="dxa" w:w="2412"/>
            <w:shd w:fill="E3F2FD" w:val="clear"/>
          </w:tcPr>
          <w:p>
            <w:r>
              <w:rPr>
                <w:rFonts w:ascii="Calibri" w:hAnsi="Calibri" w:eastAsia="Calibri"/>
                <w:b/>
                <w:sz w:val="20"/>
              </w:rPr>
            </w:r>
            <w:r>
              <w:rPr>
                <w:rFonts w:ascii="Calibri" w:hAnsi="Calibri" w:eastAsia="Calibri"/>
                <w:b/>
                <w:sz w:val="20"/>
              </w:rPr>
              <w:t>n</w:t>
            </w:r>
          </w:p>
        </w:tc>
        <w:tc>
          <w:tcPr>
            <w:tcW w:type="dxa" w:w="2412"/>
            <w:shd w:fill="E3F2FD" w:val="clear"/>
          </w:tcPr>
          <w:p>
            <w:r>
              <w:rPr>
                <w:rFonts w:ascii="Calibri" w:hAnsi="Calibri" w:eastAsia="Calibri"/>
                <w:b/>
                <w:sz w:val="20"/>
              </w:rPr>
            </w:r>
            <w:r>
              <w:rPr>
                <w:rFonts w:ascii="Calibri" w:hAnsi="Calibri" w:eastAsia="Calibri"/>
                <w:b/>
                <w:sz w:val="20"/>
              </w:rPr>
              <w:t>False negatives</w:t>
            </w:r>
          </w:p>
        </w:tc>
        <w:tc>
          <w:tcPr>
            <w:tcW w:type="dxa" w:w="2412"/>
            <w:shd w:fill="E3F2FD" w:val="clear"/>
          </w:tcPr>
          <w:p>
            <w:r>
              <w:rPr>
                <w:rFonts w:ascii="Calibri" w:hAnsi="Calibri" w:eastAsia="Calibri"/>
                <w:b/>
                <w:sz w:val="20"/>
              </w:rPr>
            </w:r>
            <w:r>
              <w:rPr>
                <w:rFonts w:ascii="Calibri" w:hAnsi="Calibri" w:eastAsia="Calibri"/>
                <w:b/>
                <w:sz w:val="20"/>
              </w:rPr>
              <w:t>False positives</w:t>
            </w:r>
          </w:p>
        </w:tc>
      </w:tr>
      <w:tr>
        <w:tc>
          <w:tcPr>
            <w:tcW w:type="dxa" w:w="2412"/>
          </w:tcPr>
          <w:p>
            <w:r/>
            <w:r>
              <w:rPr>
                <w:rFonts w:ascii="Calibri" w:hAnsi="Calibri" w:eastAsia="Calibri"/>
                <w:b w:val="0"/>
                <w:sz w:val="20"/>
              </w:rPr>
              <w:t>No due diligence</w:t>
            </w:r>
          </w:p>
        </w:tc>
        <w:tc>
          <w:tcPr>
            <w:tcW w:type="dxa" w:w="2412"/>
          </w:tcPr>
          <w:p>
            <w:r/>
            <w:r>
              <w:rPr>
                <w:rFonts w:ascii="Calibri" w:hAnsi="Calibri" w:eastAsia="Calibri"/>
                <w:b w:val="0"/>
                <w:sz w:val="20"/>
              </w:rPr>
              <w:t>450</w:t>
            </w:r>
          </w:p>
        </w:tc>
        <w:tc>
          <w:tcPr>
            <w:tcW w:type="dxa" w:w="2412"/>
          </w:tcPr>
          <w:p>
            <w:r/>
            <w:r>
              <w:rPr>
                <w:rFonts w:ascii="Calibri" w:hAnsi="Calibri" w:eastAsia="Calibri"/>
                <w:b w:val="0"/>
                <w:sz w:val="20"/>
              </w:rPr>
              <w:t>74</w:t>
            </w:r>
          </w:p>
        </w:tc>
        <w:tc>
          <w:tcPr>
            <w:tcW w:type="dxa" w:w="2412"/>
          </w:tcPr>
          <w:p>
            <w:r/>
            <w:r>
              <w:rPr>
                <w:rFonts w:ascii="Calibri" w:hAnsi="Calibri" w:eastAsia="Calibri"/>
                <w:b w:val="0"/>
                <w:sz w:val="20"/>
              </w:rPr>
              <w:t>8</w:t>
            </w:r>
          </w:p>
        </w:tc>
      </w:tr>
      <w:tr>
        <w:tc>
          <w:tcPr>
            <w:tcW w:type="dxa" w:w="2412"/>
          </w:tcPr>
          <w:p>
            <w:r/>
            <w:r>
              <w:rPr>
                <w:rFonts w:ascii="Calibri" w:hAnsi="Calibri" w:eastAsia="Calibri"/>
                <w:b w:val="0"/>
                <w:sz w:val="20"/>
              </w:rPr>
              <w:t>Yes Low</w:t>
            </w:r>
          </w:p>
        </w:tc>
        <w:tc>
          <w:tcPr>
            <w:tcW w:type="dxa" w:w="2412"/>
          </w:tcPr>
          <w:p>
            <w:r/>
            <w:r>
              <w:rPr>
                <w:rFonts w:ascii="Calibri" w:hAnsi="Calibri" w:eastAsia="Calibri"/>
                <w:b w:val="0"/>
                <w:sz w:val="20"/>
              </w:rPr>
              <w:t>206</w:t>
            </w:r>
          </w:p>
        </w:tc>
        <w:tc>
          <w:tcPr>
            <w:tcW w:type="dxa" w:w="2412"/>
          </w:tcPr>
          <w:p>
            <w:r/>
            <w:r>
              <w:rPr>
                <w:rFonts w:ascii="Calibri" w:hAnsi="Calibri" w:eastAsia="Calibri"/>
                <w:b w:val="0"/>
                <w:sz w:val="20"/>
              </w:rPr>
              <w:t>13</w:t>
            </w:r>
          </w:p>
        </w:tc>
        <w:tc>
          <w:tcPr>
            <w:tcW w:type="dxa" w:w="2412"/>
          </w:tcPr>
          <w:p>
            <w:r/>
            <w:r>
              <w:rPr>
                <w:rFonts w:ascii="Calibri" w:hAnsi="Calibri" w:eastAsia="Calibri"/>
                <w:b w:val="0"/>
                <w:sz w:val="20"/>
              </w:rPr>
              <w:t>8</w:t>
            </w:r>
          </w:p>
        </w:tc>
      </w:tr>
      <w:tr>
        <w:tc>
          <w:tcPr>
            <w:tcW w:type="dxa" w:w="2412"/>
          </w:tcPr>
          <w:p>
            <w:r/>
            <w:r>
              <w:rPr>
                <w:rFonts w:ascii="Calibri" w:hAnsi="Calibri" w:eastAsia="Calibri"/>
                <w:b w:val="0"/>
                <w:sz w:val="20"/>
              </w:rPr>
              <w:t>Yes Medium</w:t>
            </w:r>
          </w:p>
        </w:tc>
        <w:tc>
          <w:tcPr>
            <w:tcW w:type="dxa" w:w="2412"/>
          </w:tcPr>
          <w:p>
            <w:r/>
            <w:r>
              <w:rPr>
                <w:rFonts w:ascii="Calibri" w:hAnsi="Calibri" w:eastAsia="Calibri"/>
                <w:b w:val="0"/>
                <w:sz w:val="20"/>
              </w:rPr>
              <w:t>261</w:t>
            </w:r>
          </w:p>
        </w:tc>
        <w:tc>
          <w:tcPr>
            <w:tcW w:type="dxa" w:w="2412"/>
          </w:tcPr>
          <w:p>
            <w:r/>
            <w:r>
              <w:rPr>
                <w:rFonts w:ascii="Calibri" w:hAnsi="Calibri" w:eastAsia="Calibri"/>
                <w:b w:val="0"/>
                <w:sz w:val="20"/>
              </w:rPr>
              <w:t>14</w:t>
            </w:r>
          </w:p>
        </w:tc>
        <w:tc>
          <w:tcPr>
            <w:tcW w:type="dxa" w:w="2412"/>
          </w:tcPr>
          <w:p>
            <w:r/>
            <w:r>
              <w:rPr>
                <w:rFonts w:ascii="Calibri" w:hAnsi="Calibri" w:eastAsia="Calibri"/>
                <w:b w:val="0"/>
                <w:sz w:val="20"/>
              </w:rPr>
              <w:t>22</w:t>
            </w:r>
          </w:p>
        </w:tc>
      </w:tr>
      <w:tr>
        <w:tc>
          <w:tcPr>
            <w:tcW w:type="dxa" w:w="2412"/>
          </w:tcPr>
          <w:p>
            <w:r/>
            <w:r>
              <w:rPr>
                <w:rFonts w:ascii="Calibri" w:hAnsi="Calibri" w:eastAsia="Calibri"/>
                <w:b w:val="0"/>
                <w:sz w:val="20"/>
              </w:rPr>
              <w:t>Yes High</w:t>
            </w:r>
          </w:p>
        </w:tc>
        <w:tc>
          <w:tcPr>
            <w:tcW w:type="dxa" w:w="2412"/>
          </w:tcPr>
          <w:p>
            <w:r/>
            <w:r>
              <w:rPr>
                <w:rFonts w:ascii="Calibri" w:hAnsi="Calibri" w:eastAsia="Calibri"/>
                <w:b w:val="0"/>
                <w:sz w:val="20"/>
              </w:rPr>
              <w:t>283</w:t>
            </w:r>
          </w:p>
        </w:tc>
        <w:tc>
          <w:tcPr>
            <w:tcW w:type="dxa" w:w="2412"/>
          </w:tcPr>
          <w:p>
            <w:r/>
            <w:r>
              <w:rPr>
                <w:rFonts w:ascii="Calibri" w:hAnsi="Calibri" w:eastAsia="Calibri"/>
                <w:b w:val="0"/>
                <w:sz w:val="20"/>
              </w:rPr>
              <w:t>11</w:t>
            </w:r>
          </w:p>
        </w:tc>
        <w:tc>
          <w:tcPr>
            <w:tcW w:type="dxa" w:w="2412"/>
          </w:tcPr>
          <w:p>
            <w:r/>
            <w:r>
              <w:rPr>
                <w:rFonts w:ascii="Calibri" w:hAnsi="Calibri" w:eastAsia="Calibri"/>
                <w:b w:val="0"/>
                <w:sz w:val="20"/>
              </w:rPr>
              <w:t>16</w:t>
            </w:r>
          </w:p>
        </w:tc>
      </w:tr>
      <w:tr>
        <w:tc>
          <w:tcPr>
            <w:tcW w:type="dxa" w:w="2412"/>
          </w:tcPr>
          <w:p>
            <w:r/>
            <w:r>
              <w:rPr>
                <w:rFonts w:ascii="Calibri" w:hAnsi="Calibri" w:eastAsia="Calibri"/>
                <w:b w:val="0"/>
                <w:sz w:val="20"/>
              </w:rPr>
              <w:t>Stable</w:t>
            </w:r>
          </w:p>
        </w:tc>
        <w:tc>
          <w:tcPr>
            <w:tcW w:type="dxa" w:w="2412"/>
          </w:tcPr>
          <w:p>
            <w:r/>
            <w:r>
              <w:rPr>
                <w:rFonts w:ascii="Calibri" w:hAnsi="Calibri" w:eastAsia="Calibri"/>
                <w:b w:val="0"/>
                <w:sz w:val="20"/>
              </w:rPr>
              <w:t>204</w:t>
            </w:r>
          </w:p>
        </w:tc>
        <w:tc>
          <w:tcPr>
            <w:tcW w:type="dxa" w:w="2412"/>
          </w:tcPr>
          <w:p>
            <w:r/>
            <w:r>
              <w:rPr>
                <w:rFonts w:ascii="Calibri" w:hAnsi="Calibri" w:eastAsia="Calibri"/>
                <w:b w:val="0"/>
                <w:sz w:val="20"/>
              </w:rPr>
              <w:t>38</w:t>
            </w:r>
          </w:p>
        </w:tc>
        <w:tc>
          <w:tcPr>
            <w:tcW w:type="dxa" w:w="2412"/>
          </w:tcPr>
          <w:p>
            <w:r/>
            <w:r>
              <w:rPr>
                <w:rFonts w:ascii="Calibri" w:hAnsi="Calibri" w:eastAsia="Calibri"/>
                <w:b w:val="0"/>
                <w:sz w:val="20"/>
              </w:rPr>
              <w:t>36</w:t>
            </w:r>
          </w:p>
        </w:tc>
      </w:tr>
      <w:tr>
        <w:tc>
          <w:tcPr>
            <w:tcW w:type="dxa" w:w="2412"/>
          </w:tcPr>
          <w:p>
            <w:r/>
            <w:r>
              <w:rPr>
                <w:rFonts w:ascii="Calibri" w:hAnsi="Calibri" w:eastAsia="Calibri"/>
                <w:b w:val="0"/>
                <w:sz w:val="20"/>
              </w:rPr>
              <w:t>Unstable</w:t>
            </w:r>
          </w:p>
        </w:tc>
        <w:tc>
          <w:tcPr>
            <w:tcW w:type="dxa" w:w="2412"/>
          </w:tcPr>
          <w:p>
            <w:r/>
            <w:r>
              <w:rPr>
                <w:rFonts w:ascii="Calibri" w:hAnsi="Calibri" w:eastAsia="Calibri"/>
                <w:b w:val="0"/>
                <w:sz w:val="20"/>
              </w:rPr>
              <w:t>248</w:t>
            </w:r>
          </w:p>
        </w:tc>
        <w:tc>
          <w:tcPr>
            <w:tcW w:type="dxa" w:w="2412"/>
          </w:tcPr>
          <w:p>
            <w:r/>
            <w:r>
              <w:rPr>
                <w:rFonts w:ascii="Calibri" w:hAnsi="Calibri" w:eastAsia="Calibri"/>
                <w:b w:val="0"/>
                <w:sz w:val="20"/>
              </w:rPr>
              <w:t>23</w:t>
            </w:r>
          </w:p>
        </w:tc>
        <w:tc>
          <w:tcPr>
            <w:tcW w:type="dxa" w:w="2412"/>
          </w:tcPr>
          <w:p>
            <w:r/>
            <w:r>
              <w:rPr>
                <w:rFonts w:ascii="Calibri" w:hAnsi="Calibri" w:eastAsia="Calibri"/>
                <w:b w:val="0"/>
                <w:sz w:val="20"/>
              </w:rPr>
              <w:t>1</w:t>
            </w:r>
          </w:p>
        </w:tc>
      </w:tr>
      <w:tr>
        <w:tc>
          <w:tcPr>
            <w:tcW w:type="dxa" w:w="2412"/>
          </w:tcPr>
          <w:p>
            <w:r/>
            <w:r>
              <w:rPr>
                <w:rFonts w:ascii="Calibri" w:hAnsi="Calibri" w:eastAsia="Calibri"/>
                <w:b w:val="0"/>
                <w:sz w:val="20"/>
              </w:rPr>
              <w:t>Transitional phase 1</w:t>
            </w:r>
          </w:p>
        </w:tc>
        <w:tc>
          <w:tcPr>
            <w:tcW w:type="dxa" w:w="2412"/>
          </w:tcPr>
          <w:p>
            <w:r/>
            <w:r>
              <w:rPr>
                <w:rFonts w:ascii="Calibri" w:hAnsi="Calibri" w:eastAsia="Calibri"/>
                <w:b w:val="0"/>
                <w:sz w:val="20"/>
              </w:rPr>
              <w:t>257</w:t>
            </w:r>
          </w:p>
        </w:tc>
        <w:tc>
          <w:tcPr>
            <w:tcW w:type="dxa" w:w="2412"/>
          </w:tcPr>
          <w:p>
            <w:r/>
            <w:r>
              <w:rPr>
                <w:rFonts w:ascii="Calibri" w:hAnsi="Calibri" w:eastAsia="Calibri"/>
                <w:b w:val="0"/>
                <w:sz w:val="20"/>
              </w:rPr>
              <w:t>22</w:t>
            </w:r>
          </w:p>
        </w:tc>
        <w:tc>
          <w:tcPr>
            <w:tcW w:type="dxa" w:w="2412"/>
          </w:tcPr>
          <w:p>
            <w:r/>
            <w:r>
              <w:rPr>
                <w:rFonts w:ascii="Calibri" w:hAnsi="Calibri" w:eastAsia="Calibri"/>
                <w:b w:val="0"/>
                <w:sz w:val="20"/>
              </w:rPr>
              <w:t>6</w:t>
            </w:r>
          </w:p>
        </w:tc>
      </w:tr>
      <w:tr>
        <w:tc>
          <w:tcPr>
            <w:tcW w:type="dxa" w:w="2412"/>
          </w:tcPr>
          <w:p>
            <w:r/>
            <w:r>
              <w:rPr>
                <w:rFonts w:ascii="Calibri" w:hAnsi="Calibri" w:eastAsia="Calibri"/>
                <w:b w:val="0"/>
                <w:sz w:val="20"/>
              </w:rPr>
              <w:t>Transitional phase 2</w:t>
            </w:r>
          </w:p>
        </w:tc>
        <w:tc>
          <w:tcPr>
            <w:tcW w:type="dxa" w:w="2412"/>
          </w:tcPr>
          <w:p>
            <w:r/>
            <w:r>
              <w:rPr>
                <w:rFonts w:ascii="Calibri" w:hAnsi="Calibri" w:eastAsia="Calibri"/>
                <w:b w:val="0"/>
                <w:sz w:val="20"/>
              </w:rPr>
              <w:t>240</w:t>
            </w:r>
          </w:p>
        </w:tc>
        <w:tc>
          <w:tcPr>
            <w:tcW w:type="dxa" w:w="2412"/>
          </w:tcPr>
          <w:p>
            <w:r/>
            <w:r>
              <w:rPr>
                <w:rFonts w:ascii="Calibri" w:hAnsi="Calibri" w:eastAsia="Calibri"/>
                <w:b w:val="0"/>
                <w:sz w:val="20"/>
              </w:rPr>
              <w:t>17</w:t>
            </w:r>
          </w:p>
        </w:tc>
        <w:tc>
          <w:tcPr>
            <w:tcW w:type="dxa" w:w="2412"/>
          </w:tcPr>
          <w:p>
            <w:r/>
            <w:r>
              <w:rPr>
                <w:rFonts w:ascii="Calibri" w:hAnsi="Calibri" w:eastAsia="Calibri"/>
                <w:b w:val="0"/>
                <w:sz w:val="20"/>
              </w:rPr>
              <w:t>11</w:t>
            </w:r>
          </w:p>
        </w:tc>
      </w:tr>
      <w:tr>
        <w:tc>
          <w:tcPr>
            <w:tcW w:type="dxa" w:w="2412"/>
          </w:tcPr>
          <w:p>
            <w:r/>
            <w:r>
              <w:rPr>
                <w:rFonts w:ascii="Calibri" w:hAnsi="Calibri" w:eastAsia="Calibri"/>
                <w:b w:val="0"/>
                <w:sz w:val="20"/>
              </w:rPr>
              <w:t>Newly Elected</w:t>
            </w:r>
          </w:p>
        </w:tc>
        <w:tc>
          <w:tcPr>
            <w:tcW w:type="dxa" w:w="2412"/>
          </w:tcPr>
          <w:p>
            <w:r/>
            <w:r>
              <w:rPr>
                <w:rFonts w:ascii="Calibri" w:hAnsi="Calibri" w:eastAsia="Calibri"/>
                <w:b w:val="0"/>
                <w:sz w:val="20"/>
              </w:rPr>
              <w:t>251</w:t>
            </w:r>
          </w:p>
        </w:tc>
        <w:tc>
          <w:tcPr>
            <w:tcW w:type="dxa" w:w="2412"/>
          </w:tcPr>
          <w:p>
            <w:r/>
            <w:r>
              <w:rPr>
                <w:rFonts w:ascii="Calibri" w:hAnsi="Calibri" w:eastAsia="Calibri"/>
                <w:b w:val="0"/>
                <w:sz w:val="20"/>
              </w:rPr>
              <w:t>12</w:t>
            </w:r>
          </w:p>
        </w:tc>
        <w:tc>
          <w:tcPr>
            <w:tcW w:type="dxa" w:w="2412"/>
          </w:tcPr>
          <w:p>
            <w:r/>
            <w:r>
              <w:rPr>
                <w:rFonts w:ascii="Calibri" w:hAnsi="Calibri" w:eastAsia="Calibri"/>
                <w:b w:val="0"/>
                <w:sz w:val="20"/>
              </w:rPr>
              <w:t>0</w:t>
            </w:r>
          </w:p>
        </w:tc>
      </w:tr>
    </w:tbl>
    <w:p>
      <w:pPr>
        <w:spacing w:after="80"/>
      </w:pPr>
    </w:p>
    <w:p>
      <w:pPr>
        <w:pStyle w:val="Heading1"/>
        <w:spacing w:before="280" w:after="120"/>
      </w:pPr>
      <w:r>
        <w:rPr>
          <w:rFonts w:ascii="Calibri" w:hAnsi="Calibri" w:eastAsia="Calibri"/>
          <w:b/>
          <w:color w:val="1565C0"/>
          <w:sz w:val="32"/>
        </w:rPr>
        <w:t>7. Counselor check, not yet run</w:t>
      </w:r>
    </w:p>
    <w:p>
      <w:pPr>
        <w:spacing w:after="160" w:before="0" w:line="259" w:lineRule="auto"/>
      </w:pPr>
      <w:r>
        <w:rPr>
          <w:rFonts w:ascii="Calibri" w:hAnsi="Calibri" w:eastAsia="Calibri"/>
          <w:b w:val="0"/>
          <w:sz w:val="22"/>
        </w:rPr>
        <w:t>The protocol asks 3 to 5 counselors at the source agency to review 10 anonymized held-out cases each. Before the model, the counselor flags follow-up. After the probability, tier, and SHAP plot, they say whether the flag changed. Measures: agreement with the tier, five Likert items, and the 10-item System Usability Scale (median below 68 is a negative result and stays in the thesis). Ten cases are already written, names removed, labels held in a separate key. This is a design. It is not a completed user study.</w:t>
      </w:r>
    </w:p>
    <w:p>
      <w:pPr>
        <w:pStyle w:val="Heading1"/>
        <w:spacing w:before="280" w:after="120"/>
      </w:pPr>
      <w:r>
        <w:rPr>
          <w:rFonts w:ascii="Calibri" w:hAnsi="Calibri" w:eastAsia="Calibri"/>
          <w:b/>
          <w:color w:val="1565C0"/>
          <w:sz w:val="32"/>
        </w:rPr>
        <w:t>8. Verdict</w:t>
      </w:r>
    </w:p>
    <w:tbl>
      <w:tblPr>
        <w:tblStyle w:val="TableGrid"/>
        <w:tblW w:type="auto" w:w="0"/>
        <w:tblLook w:firstColumn="1" w:firstRow="1" w:lastColumn="0" w:lastRow="0" w:noHBand="0" w:noVBand="1" w:val="04A0"/>
      </w:tblPr>
      <w:tblGrid>
        <w:gridCol w:w="4824"/>
        <w:gridCol w:w="4824"/>
      </w:tblGrid>
      <w:tr>
        <w:tc>
          <w:tcPr>
            <w:tcW w:type="dxa" w:w="4824"/>
            <w:shd w:fill="E3F2FD" w:val="clear"/>
          </w:tcPr>
          <w:p>
            <w:r>
              <w:rPr>
                <w:rFonts w:ascii="Calibri" w:hAnsi="Calibri" w:eastAsia="Calibri"/>
                <w:b/>
                <w:sz w:val="20"/>
              </w:rPr>
            </w:r>
            <w:r>
              <w:rPr>
                <w:rFonts w:ascii="Calibri" w:hAnsi="Calibri" w:eastAsia="Calibri"/>
                <w:b/>
                <w:sz w:val="20"/>
              </w:rPr>
              <w:t>Claim</w:t>
            </w:r>
          </w:p>
        </w:tc>
        <w:tc>
          <w:tcPr>
            <w:tcW w:type="dxa" w:w="4824"/>
            <w:shd w:fill="E3F2FD" w:val="clear"/>
          </w:tcPr>
          <w:p>
            <w:r>
              <w:rPr>
                <w:rFonts w:ascii="Calibri" w:hAnsi="Calibri" w:eastAsia="Calibri"/>
                <w:b/>
                <w:sz w:val="20"/>
              </w:rPr>
            </w:r>
            <w:r>
              <w:rPr>
                <w:rFonts w:ascii="Calibri" w:hAnsi="Calibri" w:eastAsia="Calibri"/>
                <w:b/>
                <w:sz w:val="20"/>
              </w:rPr>
              <w:t>Result</w:t>
            </w:r>
          </w:p>
        </w:tc>
      </w:tr>
      <w:tr>
        <w:tc>
          <w:tcPr>
            <w:tcW w:type="dxa" w:w="4824"/>
          </w:tcPr>
          <w:p>
            <w:r/>
            <w:r>
              <w:rPr>
                <w:rFonts w:ascii="Calibri" w:hAnsi="Calibri" w:eastAsia="Calibri"/>
                <w:b w:val="0"/>
                <w:sz w:val="20"/>
              </w:rPr>
              <w:t>H1, phase differs</w:t>
            </w:r>
          </w:p>
        </w:tc>
        <w:tc>
          <w:tcPr>
            <w:tcW w:type="dxa" w:w="4824"/>
          </w:tcPr>
          <w:p>
            <w:r/>
            <w:r>
              <w:rPr>
                <w:rFonts w:ascii="Calibri" w:hAnsi="Calibri" w:eastAsia="Calibri"/>
                <w:b w:val="0"/>
                <w:sz w:val="20"/>
              </w:rPr>
              <w:t>Supported. V = 0.388. Transitional windows stay low after controls.</w:t>
            </w:r>
          </w:p>
        </w:tc>
      </w:tr>
      <w:tr>
        <w:tc>
          <w:tcPr>
            <w:tcW w:type="dxa" w:w="4824"/>
          </w:tcPr>
          <w:p>
            <w:r/>
            <w:r>
              <w:rPr>
                <w:rFonts w:ascii="Calibri" w:hAnsi="Calibri" w:eastAsia="Calibri"/>
                <w:b w:val="0"/>
                <w:sz w:val="20"/>
              </w:rPr>
              <w:t>H2, due diligence</w:t>
            </w:r>
          </w:p>
        </w:tc>
        <w:tc>
          <w:tcPr>
            <w:tcW w:type="dxa" w:w="4824"/>
          </w:tcPr>
          <w:p>
            <w:r/>
            <w:r>
              <w:rPr>
                <w:rFonts w:ascii="Calibri" w:hAnsi="Calibri" w:eastAsia="Calibri"/>
                <w:b w:val="0"/>
                <w:sz w:val="20"/>
              </w:rPr>
              <w:t>Supported in all five phases. Odds ratio 4.60 per level.</w:t>
            </w:r>
          </w:p>
        </w:tc>
      </w:tr>
      <w:tr>
        <w:tc>
          <w:tcPr>
            <w:tcW w:type="dxa" w:w="4824"/>
          </w:tcPr>
          <w:p>
            <w:r/>
            <w:r>
              <w:rPr>
                <w:rFonts w:ascii="Calibri" w:hAnsi="Calibri" w:eastAsia="Calibri"/>
                <w:b w:val="0"/>
                <w:sz w:val="20"/>
              </w:rPr>
              <w:t>H3, random split overstates</w:t>
            </w:r>
          </w:p>
        </w:tc>
        <w:tc>
          <w:tcPr>
            <w:tcW w:type="dxa" w:w="4824"/>
          </w:tcPr>
          <w:p>
            <w:r/>
            <w:r>
              <w:rPr>
                <w:rFonts w:ascii="Calibri" w:hAnsi="Calibri" w:eastAsia="Calibri"/>
                <w:b w:val="0"/>
                <w:sz w:val="20"/>
              </w:rPr>
              <w:t>Supported on Transitional phase 2: F1 0.868 to 0.653.</w:t>
            </w:r>
          </w:p>
        </w:tc>
      </w:tr>
      <w:tr>
        <w:tc>
          <w:tcPr>
            <w:tcW w:type="dxa" w:w="4824"/>
          </w:tcPr>
          <w:p>
            <w:r/>
            <w:r>
              <w:rPr>
                <w:rFonts w:ascii="Calibri" w:hAnsi="Calibri" w:eastAsia="Calibri"/>
                <w:b w:val="0"/>
                <w:sz w:val="20"/>
              </w:rPr>
              <w:t>Duplicates inflate the 86%</w:t>
            </w:r>
          </w:p>
        </w:tc>
        <w:tc>
          <w:tcPr>
            <w:tcW w:type="dxa" w:w="4824"/>
          </w:tcPr>
          <w:p>
            <w:r/>
            <w:r>
              <w:rPr>
                <w:rFonts w:ascii="Calibri" w:hAnsi="Calibri" w:eastAsia="Calibri"/>
                <w:b w:val="0"/>
                <w:sz w:val="20"/>
              </w:rPr>
              <w:t>Not in any material way. CV F1 0.857 to 0.849.</w:t>
            </w:r>
          </w:p>
        </w:tc>
      </w:tr>
      <w:tr>
        <w:tc>
          <w:tcPr>
            <w:tcW w:type="dxa" w:w="4824"/>
          </w:tcPr>
          <w:p>
            <w:r/>
            <w:r>
              <w:rPr>
                <w:rFonts w:ascii="Calibri" w:hAnsi="Calibri" w:eastAsia="Calibri"/>
                <w:b w:val="0"/>
                <w:sz w:val="20"/>
              </w:rPr>
              <w:t>22 features needed</w:t>
            </w:r>
          </w:p>
        </w:tc>
        <w:tc>
          <w:tcPr>
            <w:tcW w:type="dxa" w:w="4824"/>
          </w:tcPr>
          <w:p>
            <w:r/>
            <w:r>
              <w:rPr>
                <w:rFonts w:ascii="Calibri" w:hAnsi="Calibri" w:eastAsia="Calibri"/>
                <w:b w:val="0"/>
                <w:sz w:val="20"/>
              </w:rPr>
              <w:t>No. 13 features, F1 change -0.0005.</w:t>
            </w:r>
          </w:p>
        </w:tc>
      </w:tr>
      <w:tr>
        <w:tc>
          <w:tcPr>
            <w:tcW w:type="dxa" w:w="4824"/>
          </w:tcPr>
          <w:p>
            <w:r/>
            <w:r>
              <w:rPr>
                <w:rFonts w:ascii="Calibri" w:hAnsi="Calibri" w:eastAsia="Calibri"/>
                <w:b w:val="0"/>
                <w:sz w:val="20"/>
              </w:rPr>
              <w:t>Cutoff 0.70 or 0.33</w:t>
            </w:r>
          </w:p>
        </w:tc>
        <w:tc>
          <w:tcPr>
            <w:tcW w:type="dxa" w:w="4824"/>
          </w:tcPr>
          <w:p>
            <w:r/>
            <w:r>
              <w:rPr>
                <w:rFonts w:ascii="Calibri" w:hAnsi="Calibri" w:eastAsia="Calibri"/>
                <w:b w:val="0"/>
                <w:sz w:val="20"/>
              </w:rPr>
              <w:t>Replaced. Low risk is calibrated probability 0.54.</w:t>
            </w:r>
          </w:p>
        </w:tc>
      </w:tr>
    </w:tbl>
    <w:p>
      <w:pPr>
        <w:spacing w:after="80"/>
      </w:pPr>
    </w:p>
    <w:p>
      <w:pPr>
        <w:spacing w:after="160" w:before="0" w:line="259" w:lineRule="auto"/>
      </w:pPr>
      <w:r>
        <w:rPr>
          <w:rFonts w:ascii="Calibri" w:hAnsi="Calibri" w:eastAsia="Calibri"/>
          <w:b w:val="0"/>
          <w:sz w:val="22"/>
        </w:rPr>
        <w:t>Three facts are not in the spreadsheet and still need a written answer from the agency. Why Unstable and Newly Elected share fingerprints. Whether due diligence is recorded before the continuation outcome. If it is filled in afterward, it is leakage and the strongest predictor cannot be used at counseling time. What operational rule marks Continuation = Yes.</w:t>
      </w:r>
    </w:p>
    <w:p>
      <w:pPr>
        <w:spacing w:after="160" w:before="0" w:line="259" w:lineRule="auto"/>
      </w:pPr>
      <w:r>
        <w:rPr>
          <w:rFonts w:ascii="Calibri" w:hAnsi="Calibri" w:eastAsia="Calibri"/>
          <w:b w:val="0"/>
          <w:sz w:val="22"/>
        </w:rPr>
        <w:t>The tool does not decide continuation. A false negative is a student who continued and was not placed in the low-risk band. Older accuracy near 91% came from a file that was about 75% non-continuation. The revised file is 52% continuation, so the majority floor is about 52%, and 86% is a larger lift over that floor than 91% was over 75%.</w:t>
      </w:r>
    </w:p>
    <w:p>
      <w:pPr>
        <w:spacing w:after="0" w:before="0" w:line="259" w:lineRule="auto"/>
      </w:pPr>
      <w:r>
        <w:rPr>
          <w:rFonts w:ascii="Calibri" w:hAnsi="Calibri" w:eastAsia="Calibri"/>
          <w:b w:val="0"/>
          <w:sz w:val="18"/>
        </w:rPr>
        <w:t>Sources for every number: experiments/results/ (DATA_AUDIT, E2 through E8, dedup tags) and docs/THESIS_CORE.md, docs/LIMITATIONS.md, docs/COUNSELOR_EVALUATION_PROTOCOL.md.</w:t>
      </w: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