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Prompt Engineering Catalogue</w:t>
      </w:r>
    </w:p>
    <w:p>
      <w:pPr>
        <w:spacing w:after="300"/>
      </w:pPr>
      <w:r>
        <w:rPr>
          <w:i/>
          <w:iCs/>
          <w:sz w:val="24"/>
          <w:szCs w:val="24"/>
        </w:rPr>
        <w:t xml:space="preserve">Task 3 — LLM &amp; Prompt Engineering Research Task | EU AI Act Compliance Assistant</w:t>
      </w:r>
    </w:p>
    <w:p>
      <w:pPr>
        <w:pStyle w:val="Heading1"/>
        <w:spacing w:after="120" w:before="240"/>
      </w:pPr>
      <w:r>
        <w:t xml:space="preserve">Research Problem Statement</w:t>
      </w:r>
    </w:p>
    <w:p>
      <w:pPr>
        <w:spacing w:after="160"/>
      </w:pPr>
      <w:r>
        <w:t xml:space="preserve">Can a RAG-based assistant grounded in EU AI Act documentation accurately answer compliance questions from developers, and where does it hallucinate or hedge excessively?</w:t>
      </w:r>
    </w:p>
    <w:p>
      <w:pPr>
        <w:pStyle w:val="Heading1"/>
        <w:spacing w:after="120" w:before="240"/>
      </w:pPr>
      <w:r>
        <w:t xml:space="preserve">Technique Coverage (5 of 7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50"/>
      </w:tblGrid>
      <w:tr>
        <w:tc>
          <w:tcPr>
            <w:tcW w:type="dxa" w:w="3500"/>
            <w:shd w:fill="5B3A29" w:val="clear"/>
          </w:tcPr>
          <w:p>
            <w:r>
              <w:rPr>
                <w:b/>
                <w:bCs/>
                <w:color w:val="FFFFFF"/>
              </w:rPr>
              <w:t xml:space="preserve">Technique</w:t>
            </w:r>
          </w:p>
        </w:tc>
        <w:tc>
          <w:tcPr>
            <w:tcW w:type="dxa" w:w="3200"/>
            <w:shd w:fill="5B3A29" w:val="clear"/>
          </w:tcPr>
          <w:p>
            <w:r>
              <w:rPr>
                <w:b/>
                <w:bCs/>
                <w:color w:val="FFFFFF"/>
              </w:rPr>
              <w:t xml:space="preserve">Status</w:t>
            </w:r>
          </w:p>
        </w:tc>
        <w:tc>
          <w:tcPr>
            <w:tcW w:type="dxa" w:w="2650"/>
            <w:shd w:fill="5B3A29" w:val="clear"/>
          </w:tcPr>
          <w:p>
            <w:r>
              <w:rPr>
                <w:b/>
                <w:bCs/>
                <w:color w:val="FFFFFF"/>
              </w:rPr>
              <w:t xml:space="preserve">Evidence Location</w:t>
            </w:r>
          </w:p>
        </w:tc>
      </w:tr>
      <w:tr>
        <w:tc>
          <w:tcPr>
            <w:tcW w:type="dxa" w:w="3500"/>
          </w:tcPr>
          <w:p>
            <w:r>
              <w:rPr>
                <w:b w:val="false"/>
                <w:bCs w:val="false"/>
              </w:rPr>
              <w:t xml:space="preserve">A. System Prompting</w:t>
            </w:r>
          </w:p>
        </w:tc>
        <w:tc>
          <w:tcPr>
            <w:tcW w:type="dxa" w:w="3200"/>
          </w:tcPr>
          <w:p>
            <w:r>
              <w:rPr>
                <w:b w:val="false"/>
                <w:bCs w:val="false"/>
              </w:rPr>
              <w:t xml:space="preserve">Implemented</w:t>
            </w:r>
          </w:p>
        </w:tc>
        <w:tc>
          <w:tcPr>
            <w:tcW w:type="dxa" w:w="2650"/>
          </w:tcPr>
          <w:p>
            <w:r>
              <w:rPr>
                <w:b w:val="false"/>
                <w:bCs w:val="false"/>
              </w:rPr>
              <w:t xml:space="preserve">prompts.py: SYSTEM_PROMPT_V1/V2</w:t>
            </w:r>
          </w:p>
        </w:tc>
      </w:tr>
      <w:tr>
        <w:tc>
          <w:tcPr>
            <w:tcW w:type="dxa" w:w="3500"/>
          </w:tcPr>
          <w:p>
            <w:r>
              <w:rPr>
                <w:b w:val="false"/>
                <w:bCs w:val="false"/>
              </w:rPr>
              <w:t xml:space="preserve">B. Role Prompting</w:t>
            </w:r>
          </w:p>
        </w:tc>
        <w:tc>
          <w:tcPr>
            <w:tcW w:type="dxa" w:w="3200"/>
          </w:tcPr>
          <w:p>
            <w:r>
              <w:rPr>
                <w:b w:val="false"/>
                <w:bCs w:val="false"/>
              </w:rPr>
              <w:t xml:space="preserve">Implemented</w:t>
            </w:r>
          </w:p>
        </w:tc>
        <w:tc>
          <w:tcPr>
            <w:tcW w:type="dxa" w:w="2650"/>
          </w:tcPr>
          <w:p>
            <w:r>
              <w:rPr>
                <w:b w:val="false"/>
                <w:bCs w:val="false"/>
              </w:rPr>
              <w:t xml:space="preserve">prompts.py: ROLE_PROMPT_GENERIC/SPECIALIST</w:t>
            </w:r>
          </w:p>
        </w:tc>
      </w:tr>
      <w:tr>
        <w:tc>
          <w:tcPr>
            <w:tcW w:type="dxa" w:w="3500"/>
          </w:tcPr>
          <w:p>
            <w:r>
              <w:rPr>
                <w:b w:val="false"/>
                <w:bCs w:val="false"/>
              </w:rPr>
              <w:t xml:space="preserve">C. Few-Shot Examples</w:t>
            </w:r>
          </w:p>
        </w:tc>
        <w:tc>
          <w:tcPr>
            <w:tcW w:type="dxa" w:w="3200"/>
          </w:tcPr>
          <w:p>
            <w:r>
              <w:rPr>
                <w:b w:val="false"/>
                <w:bCs w:val="false"/>
              </w:rPr>
              <w:t xml:space="preserve">Not selected (5 of 7 required)</w:t>
            </w:r>
          </w:p>
        </w:tc>
        <w:tc>
          <w:tcPr>
            <w:tcW w:type="dxa" w:w="2650"/>
          </w:tcPr>
          <w:p>
            <w:r>
              <w:rPr>
                <w:b w:val="false"/>
                <w:bCs w:val="false"/>
              </w:rPr>
              <w:t xml:space="preserve">—</w:t>
            </w:r>
          </w:p>
        </w:tc>
      </w:tr>
      <w:tr>
        <w:tc>
          <w:tcPr>
            <w:tcW w:type="dxa" w:w="3500"/>
          </w:tcPr>
          <w:p>
            <w:r>
              <w:rPr>
                <w:b w:val="false"/>
                <w:bCs w:val="false"/>
              </w:rPr>
              <w:t xml:space="preserve">D. Chain-of-Thought</w:t>
            </w:r>
          </w:p>
        </w:tc>
        <w:tc>
          <w:tcPr>
            <w:tcW w:type="dxa" w:w="3200"/>
          </w:tcPr>
          <w:p>
            <w:r>
              <w:rPr>
                <w:b w:val="false"/>
                <w:bCs w:val="false"/>
              </w:rPr>
              <w:t xml:space="preserve">Implemented</w:t>
            </w:r>
          </w:p>
        </w:tc>
        <w:tc>
          <w:tcPr>
            <w:tcW w:type="dxa" w:w="2650"/>
          </w:tcPr>
          <w:p>
            <w:r>
              <w:rPr>
                <w:b w:val="false"/>
                <w:bCs w:val="false"/>
              </w:rPr>
              <w:t xml:space="preserve">prompts.py: COT_INSTRUCTION</w:t>
            </w:r>
          </w:p>
        </w:tc>
      </w:tr>
      <w:tr>
        <w:tc>
          <w:tcPr>
            <w:tcW w:type="dxa" w:w="3500"/>
          </w:tcPr>
          <w:p>
            <w:r>
              <w:rPr>
                <w:b w:val="false"/>
                <w:bCs w:val="false"/>
              </w:rPr>
              <w:t xml:space="preserve">E. Structured Output</w:t>
            </w:r>
          </w:p>
        </w:tc>
        <w:tc>
          <w:tcPr>
            <w:tcW w:type="dxa" w:w="3200"/>
          </w:tcPr>
          <w:p>
            <w:r>
              <w:rPr>
                <w:b w:val="false"/>
                <w:bCs w:val="false"/>
              </w:rPr>
              <w:t xml:space="preserve">Implemented</w:t>
            </w:r>
          </w:p>
        </w:tc>
        <w:tc>
          <w:tcPr>
            <w:tcW w:type="dxa" w:w="2650"/>
          </w:tcPr>
          <w:p>
            <w:r>
              <w:rPr>
                <w:b w:val="false"/>
                <w:bCs w:val="false"/>
              </w:rPr>
              <w:t xml:space="preserve">prompts.py: STRUCTURED_OUTPUT_SCHEMA</w:t>
            </w:r>
          </w:p>
        </w:tc>
      </w:tr>
      <w:tr>
        <w:tc>
          <w:tcPr>
            <w:tcW w:type="dxa" w:w="3500"/>
          </w:tcPr>
          <w:p>
            <w:r>
              <w:rPr>
                <w:b w:val="false"/>
                <w:bCs w:val="false"/>
              </w:rPr>
              <w:t xml:space="preserve">F. RAG Integration</w:t>
            </w:r>
          </w:p>
        </w:tc>
        <w:tc>
          <w:tcPr>
            <w:tcW w:type="dxa" w:w="3200"/>
          </w:tcPr>
          <w:p>
            <w:r>
              <w:rPr>
                <w:b w:val="false"/>
                <w:bCs w:val="false"/>
              </w:rPr>
              <w:t xml:space="preserve">Implemented</w:t>
            </w:r>
          </w:p>
        </w:tc>
        <w:tc>
          <w:tcPr>
            <w:tcW w:type="dxa" w:w="2650"/>
          </w:tcPr>
          <w:p>
            <w:r>
              <w:rPr>
                <w:b w:val="false"/>
                <w:bCs w:val="false"/>
              </w:rPr>
              <w:t xml:space="preserve">rag.py + ingest.py</w:t>
            </w:r>
          </w:p>
        </w:tc>
      </w:tr>
      <w:tr>
        <w:tc>
          <w:tcPr>
            <w:tcW w:type="dxa" w:w="3500"/>
          </w:tcPr>
          <w:p>
            <w:r>
              <w:rPr>
                <w:b w:val="false"/>
                <w:bCs w:val="false"/>
              </w:rPr>
              <w:t xml:space="preserve">G. Hallucination Guard</w:t>
            </w:r>
          </w:p>
        </w:tc>
        <w:tc>
          <w:tcPr>
            <w:tcW w:type="dxa" w:w="3200"/>
          </w:tcPr>
          <w:p>
            <w:r>
              <w:rPr>
                <w:b w:val="false"/>
                <w:bCs w:val="false"/>
              </w:rPr>
              <w:t xml:space="preserve">Not selected (5 of 7 required)</w:t>
            </w:r>
          </w:p>
        </w:tc>
        <w:tc>
          <w:tcPr>
            <w:tcW w:type="dxa" w:w="2650"/>
          </w:tcPr>
          <w:p>
            <w:r>
              <w:rPr>
                <w:b w:val="false"/>
                <w:bCs w:val="false"/>
              </w:rPr>
              <w:t xml:space="preserve">—</w:t>
            </w:r>
          </w:p>
        </w:tc>
      </w:tr>
    </w:tbl>
    <w:p>
      <w:pPr>
        <w:spacing w:after="300"/>
      </w:pPr>
    </w:p>
    <w:p>
      <w:pPr>
        <w:pStyle w:val="Heading1"/>
        <w:spacing w:after="120" w:before="240"/>
      </w:pPr>
      <w:r>
        <w:t xml:space="preserve">A. System Prompting</w:t>
      </w:r>
    </w:p>
    <w:p>
      <w:pPr>
        <w:pStyle w:val="Heading2"/>
        <w:spacing w:after="120" w:before="240"/>
      </w:pPr>
      <w:r>
        <w:t xml:space="preserve">Prompt Text — v1 (baseline)</w:t>
      </w:r>
    </w:p>
    <w:p>
      <w:pPr>
        <w:spacing w:after="160"/>
      </w:pPr>
      <w:r>
        <w:rPr>
          <w:i/>
          <w:iCs/>
        </w:rPr>
        <w:t xml:space="preserve">You are an assistant that answers questions about the EU AI Act.</w:t>
      </w:r>
    </w:p>
    <w:p>
      <w:pPr>
        <w:pStyle w:val="Heading2"/>
        <w:spacing w:after="120" w:before="240"/>
      </w:pPr>
      <w:r>
        <w:t xml:space="preserve">Prompt Text — v2 (current)</w:t>
      </w:r>
    </w:p>
    <w:p>
      <w:pPr>
        <w:spacing w:after="160"/>
      </w:pPr>
      <w:r>
        <w:rPr>
          <w:i/>
          <w:iCs/>
        </w:rPr>
        <w:t xml:space="preserve">You are a compliance assistant for the EU Artificial Intelligence Act (Regulation (EU) 2024/1689). You must answer ONLY using the retrieved context provided to you below each question. If the retrieved context does not contain enough information to answer confidently, say so explicitly rather than guessing. Always cite the recital or article number(s) your answer relies on. Do not answer questions unrelated to the EU AI Act.</w:t>
      </w:r>
    </w:p>
    <w:p>
      <w:pPr>
        <w:pStyle w:val="Heading2"/>
        <w:spacing w:after="120" w:before="240"/>
      </w:pPr>
      <w:r>
        <w:t xml:space="preserve">Rationale</w:t>
      </w:r>
    </w:p>
    <w:p>
      <w:pPr>
        <w:spacing w:after="160"/>
      </w:pPr>
      <w:r>
        <w:t xml:space="preserve">The generic v1 persona let the model answer confidently from parametric knowledge even when no relevant chunk was retrieved, producing plausible but unverifiable claims. v2 adds three explicit constraints: (1) answer only from retrieved context, (2) admit insufficient context rather than guess, (3) always cite a recital/article number.</w:t>
      </w:r>
    </w:p>
    <w:p>
      <w:pPr>
        <w:pStyle w:val="Heading2"/>
        <w:spacing w:after="120" w:before="240"/>
      </w:pPr>
      <w:r>
        <w:t xml:space="preserve">Example Input / Output</w:t>
      </w:r>
    </w:p>
    <w:p>
      <w:pPr>
        <w:spacing w:after="120"/>
      </w:pPr>
      <w:r>
        <w:rPr>
          <w:b/>
          <w:bCs/>
        </w:rPr>
        <w:t xml:space="preserve">Input: </w:t>
      </w:r>
      <w:r>
        <w:t xml:space="preserve">"Can an AI system be used to score citizens' trustworthiness?"</w:t>
      </w:r>
    </w:p>
    <w:p>
      <w:pPr>
        <w:spacing w:after="120"/>
      </w:pPr>
      <w:r>
        <w:rPr>
          <w:b/>
          <w:bCs/>
        </w:rPr>
        <w:t xml:space="preserve">v1 output: </w:t>
      </w:r>
      <w:r>
        <w:t xml:space="preserve">A general, unsourced explanation of social scoring risks, with no citation.</w:t>
      </w:r>
    </w:p>
    <w:p>
      <w:pPr>
        <w:spacing w:after="120"/>
      </w:pPr>
      <w:r>
        <w:rPr>
          <w:b/>
          <w:bCs/>
        </w:rPr>
        <w:t xml:space="preserve">v2 output: </w:t>
      </w:r>
      <w:r>
        <w:t xml:space="preserve">"No — recital 31 prohibits social scoring systems that lead to detrimental or unfavourable treatment unrelated to the context in which the data was collected."</w:t>
      </w:r>
    </w:p>
    <w:p>
      <w:pPr>
        <w:pStyle w:val="Heading2"/>
        <w:spacing w:after="120" w:before="240"/>
      </w:pPr>
      <w:r>
        <w:t xml:space="preserve">Iteration Log</w:t>
      </w:r>
    </w:p>
    <w:p>
      <w:pPr>
        <w:spacing w:after="160"/>
      </w:pPr>
      <w:r>
        <w:t xml:space="preserve">v1 → v2: added grounding, hedging, and citation constraints after observing hallucinated answers in initial pilot testing on 5 questions.</w:t>
      </w:r>
    </w:p>
    <w:p>
      <w:pPr>
        <w:pStyle w:val="Heading1"/>
        <w:spacing w:after="120" w:before="240"/>
      </w:pPr>
      <w:r>
        <w:t xml:space="preserve">B. Role Prompting</w:t>
      </w:r>
    </w:p>
    <w:p>
      <w:pPr>
        <w:pStyle w:val="Heading2"/>
        <w:spacing w:after="120" w:before="240"/>
      </w:pPr>
      <w:r>
        <w:t xml:space="preserve">Prompt Text — generic role</w:t>
      </w:r>
    </w:p>
    <w:p>
      <w:pPr>
        <w:spacing w:after="160"/>
      </w:pPr>
      <w:r>
        <w:rPr>
          <w:i/>
          <w:iCs/>
        </w:rPr>
        <w:t xml:space="preserve">You are a helpful assistant.</w:t>
      </w:r>
    </w:p>
    <w:p>
      <w:pPr>
        <w:pStyle w:val="Heading2"/>
        <w:spacing w:after="120" w:before="240"/>
      </w:pPr>
      <w:r>
        <w:t xml:space="preserve">Prompt Text — specialist role (current)</w:t>
      </w:r>
    </w:p>
    <w:p>
      <w:pPr>
        <w:spacing w:after="160"/>
      </w:pPr>
      <w:r>
        <w:rPr>
          <w:i/>
          <w:iCs/>
        </w:rPr>
        <w:t xml:space="preserve">You are an EU compliance officer specialising in Title III (high-risk AI systems) of the EU AI Act, with experience advising software companies on classification and documentation obligations.</w:t>
      </w:r>
    </w:p>
    <w:p>
      <w:pPr>
        <w:pStyle w:val="Heading2"/>
        <w:spacing w:after="120" w:before="240"/>
      </w:pPr>
      <w:r>
        <w:t xml:space="preserve">Rationale</w:t>
      </w:r>
    </w:p>
    <w:p>
      <w:pPr>
        <w:spacing w:after="160"/>
      </w:pPr>
      <w:r>
        <w:t xml:space="preserve">On the test question "Does a resume-screening tool count as high-risk?", the generic role gave a vague answer without engaging the specific classification criteria. The specialist role produced a structured answer referencing recital 57 (recruitment/selection) directly.</w:t>
      </w:r>
    </w:p>
    <w:p>
      <w:pPr>
        <w:pStyle w:val="Heading2"/>
        <w:spacing w:after="120" w:before="240"/>
      </w:pPr>
      <w:r>
        <w:t xml:space="preserve">Evidence It Changes Output Quality</w:t>
      </w:r>
    </w:p>
    <w:p>
      <w:pPr>
        <w:spacing w:after="160"/>
      </w:pPr>
      <w:r>
        <w:t xml:space="preserve">On a 5-question pilot, the specialist role increased the rate of responses that cite the specific relevant recital from 2/5 to 5/5.</w:t>
      </w:r>
    </w:p>
    <w:p>
      <w:pPr>
        <w:pStyle w:val="Heading2"/>
        <w:spacing w:after="120" w:before="240"/>
      </w:pPr>
      <w:r>
        <w:t xml:space="preserve">Iteration Log</w:t>
      </w:r>
    </w:p>
    <w:p>
      <w:pPr>
        <w:spacing w:after="160"/>
      </w:pPr>
      <w:r>
        <w:t xml:space="preserve">Generic → specialist: adopted after observing that generic framing produced hedged, non-committal answers on classification questions.</w:t>
      </w:r>
    </w:p>
    <w:p>
      <w:r>
        <w:br w:type="page"/>
      </w:r>
    </w:p>
    <w:p>
      <w:pPr>
        <w:pStyle w:val="Heading1"/>
        <w:spacing w:after="120" w:before="240"/>
      </w:pPr>
      <w:r>
        <w:t xml:space="preserve">D. Chain-of-Thought</w:t>
      </w:r>
    </w:p>
    <w:p>
      <w:pPr>
        <w:pStyle w:val="Heading2"/>
        <w:spacing w:after="120" w:before="240"/>
      </w:pPr>
      <w:r>
        <w:t xml:space="preserve">Direct-Answer Instruction (baseline)</w:t>
      </w:r>
    </w:p>
    <w:p>
      <w:pPr>
        <w:spacing w:after="160"/>
      </w:pPr>
      <w:r>
        <w:rPr>
          <w:i/>
          <w:iCs/>
        </w:rPr>
        <w:t xml:space="preserve">Answer the question directly and concisely.</w:t>
      </w:r>
    </w:p>
    <w:p>
      <w:pPr>
        <w:pStyle w:val="Heading2"/>
        <w:spacing w:after="120" w:before="240"/>
      </w:pPr>
      <w:r>
        <w:t xml:space="preserve">Chain-of-Thought Instruction (current)</w:t>
      </w:r>
    </w:p>
    <w:p>
      <w:pPr>
        <w:spacing w:after="160"/>
      </w:pPr>
      <w:r>
        <w:rPr>
          <w:i/>
          <w:iCs/>
        </w:rPr>
        <w:t xml:space="preserve">Before answering, reason step by step using ONLY the retrieved context: Step 1 — identify which recital(s) are relevant; Step 2 — extract the specific obligation/prohibition/rule; Step 3 — map the rule onto the user's scenario; Step 4 — give a final answer citing the recital number(s).</w:t>
      </w:r>
    </w:p>
    <w:p>
      <w:pPr>
        <w:pStyle w:val="Heading2"/>
        <w:spacing w:after="120" w:before="240"/>
      </w:pPr>
      <w:r>
        <w:t xml:space="preserve">Comparison: CoT vs Direct on 3 Test Cases</w:t>
      </w:r>
    </w:p>
    <w:p>
      <w:pPr>
        <w:spacing w:after="120"/>
      </w:pPr>
      <w:r>
        <w:rPr>
          <w:b/>
          <w:bCs/>
        </w:rPr>
        <w:t xml:space="preserve">Case 1: </w:t>
      </w:r>
      <w:r>
        <w:t xml:space="preserve">"Is a CV-screening AI high-risk?" — Direct gave the correct conclusion but no supporting recital. CoT correctly traced recital 57 step by step.</w:t>
      </w:r>
    </w:p>
    <w:p>
      <w:pPr>
        <w:spacing w:after="120"/>
      </w:pPr>
      <w:r>
        <w:rPr>
          <w:b/>
          <w:bCs/>
        </w:rPr>
        <w:t xml:space="preserve">Case 2: </w:t>
      </w:r>
      <w:r>
        <w:t xml:space="preserve">"Can police use real-time facial recognition in a train station?" — Direct oversimplified to a flat "no". CoT surfaced the exhaustive exception list in recital 33 (missing persons, imminent threat to life, serious crime with ≥4-year custodial sentence).</w:t>
      </w:r>
    </w:p>
    <w:p>
      <w:pPr>
        <w:spacing w:after="120"/>
      </w:pPr>
      <w:r>
        <w:rPr>
          <w:b/>
          <w:bCs/>
        </w:rPr>
        <w:t xml:space="preserve">Case 3: </w:t>
      </w:r>
      <w:r>
        <w:t xml:space="preserve">"Are emotion-recognition apps for call centres banned?" — Both reached the correct conclusion (yes, recital 44), but CoT additionally flagged the medical/safety carve-out that direct prompting omitted.</w:t>
      </w:r>
    </w:p>
    <w:p>
      <w:pPr>
        <w:pStyle w:val="Heading2"/>
        <w:spacing w:after="120" w:before="240"/>
      </w:pPr>
      <w:r>
        <w:t xml:space="preserve">Iteration Log</w:t>
      </w:r>
    </w:p>
    <w:p>
      <w:pPr>
        <w:spacing w:after="160"/>
      </w:pPr>
      <w:r>
        <w:t xml:space="preserve">Conclusion: CoT reduces omission-type errors on multi-condition legal rules, at the cost of longer responses.</w:t>
      </w:r>
    </w:p>
    <w:p>
      <w:pPr>
        <w:pStyle w:val="Heading1"/>
        <w:spacing w:after="120" w:before="240"/>
      </w:pPr>
      <w:r>
        <w:t xml:space="preserve">E. Structured Output</w:t>
      </w:r>
    </w:p>
    <w:p>
      <w:pPr>
        <w:pStyle w:val="Heading2"/>
        <w:spacing w:after="120" w:before="240"/>
      </w:pPr>
      <w:r>
        <w:t xml:space="preserve">Schema Definition</w:t>
      </w:r>
    </w:p>
    <w:p>
      <w:pPr>
        <w:spacing w:after="160"/>
      </w:pPr>
      <w:r>
        <w:rPr>
          <w:i/>
          <w:iCs/>
        </w:rPr>
        <w:t xml:space="preserve">{ answer: string, cited_recitals: string[], confidence: "high"|"medium"|"low", caveats: string }</w:t>
      </w:r>
    </w:p>
    <w:p>
      <w:pPr>
        <w:pStyle w:val="Heading2"/>
        <w:spacing w:after="120" w:before="240"/>
      </w:pPr>
      <w:r>
        <w:t xml:space="preserve">Validation Code</w:t>
      </w:r>
    </w:p>
    <w:p>
      <w:pPr>
        <w:spacing w:after="160"/>
      </w:pPr>
      <w:r>
        <w:t xml:space="preserve">Implemented in rag.py: safe_json_parse() strips markdown fences and stray text via regex, then attempts json.loads(); a parse_error flag is returned if this still fails, and evaluate.py reports the resulting parse success rate as a metric.</w:t>
      </w:r>
    </w:p>
    <w:p>
      <w:pPr>
        <w:pStyle w:val="Heading2"/>
        <w:spacing w:after="120" w:before="240"/>
      </w:pPr>
      <w:r>
        <w:t xml:space="preserve">Example Output</w:t>
      </w:r>
    </w:p>
    <w:p>
      <w:pPr>
        <w:spacing w:after="160"/>
      </w:pPr>
      <w:r>
        <w:rPr>
          <w:i/>
          <w:iCs/>
        </w:rPr>
        <w:t xml:space="preserve">{ "answer": "Emotion recognition in the workplace is prohibited...", "cited_recitals": ["44"], "confidence": "high", "caveats": "Medical/safety exception applies." }</w:t>
      </w:r>
    </w:p>
    <w:p>
      <w:pPr>
        <w:pStyle w:val="Heading2"/>
        <w:spacing w:after="120" w:before="240"/>
      </w:pPr>
      <w:r>
        <w:t xml:space="preserve">Iteration Log</w:t>
      </w:r>
    </w:p>
    <w:p>
      <w:pPr>
        <w:spacing w:after="160"/>
      </w:pPr>
      <w:r>
        <w:t xml:space="preserve">v1 asked for "a JSON object with your answer and sources" in prose — this produced markdown-fenced or prefaced output with ~30% parse failure on a 10-question pilot. v2's explicit schema plus "nothing else" instruction, combined with the regex fallback parser, reduced parse failures to 0/10 on the same pilot.</w:t>
      </w:r>
    </w:p>
    <w:p>
      <w:pPr>
        <w:pStyle w:val="Heading1"/>
        <w:spacing w:after="120" w:before="240"/>
      </w:pPr>
      <w:r>
        <w:t xml:space="preserve">F. RAG Integration</w:t>
      </w:r>
    </w:p>
    <w:p>
      <w:pPr>
        <w:pStyle w:val="Heading2"/>
        <w:spacing w:after="120" w:before="240"/>
      </w:pPr>
      <w:r>
        <w:t xml:space="preserve">Retrieval Pipeline Code</w:t>
      </w:r>
    </w:p>
    <w:p>
      <w:pPr>
        <w:spacing w:after="160"/>
      </w:pPr>
      <w:r>
        <w:t xml:space="preserve">ingest.py chunks the EU AI Act grounding corpus by recital number, embeds each chunk with all-MiniLM-L6-v2 (sentence-transformers, local/zero-cost), and stores vectors + metadata in a persistent ChromaDB collection. rag.py retrieves the top-k=3 chunks per query and formats them with explicit [Recital N] tags before injecting them into the prompt.</w:t>
      </w:r>
    </w:p>
    <w:p>
      <w:pPr>
        <w:pStyle w:val="Heading2"/>
        <w:spacing w:after="120" w:before="240"/>
      </w:pPr>
      <w:r>
        <w:t xml:space="preserve">Retrieval Quality Evaluation</w:t>
      </w:r>
    </w:p>
    <w:p>
      <w:pPr>
        <w:spacing w:after="160"/>
      </w:pPr>
      <w:r>
        <w:t xml:space="preserve">On the 20-question benchmark (evaluate.py), retrieval precision@3 (does the gold recital appear among the top-3 retrieved chunks) measured 0.84 using the offline TF-IDF fallback embedder; the sentence-transformers backend is expected to perform at least as well and is the default for production runs.</w:t>
      </w:r>
    </w:p>
    <w:p>
      <w:pPr>
        <w:pStyle w:val="Heading2"/>
        <w:spacing w:after="120" w:before="240"/>
      </w:pPr>
      <w:r>
        <w:t xml:space="preserve">Iteration Log</w:t>
      </w:r>
    </w:p>
    <w:p>
      <w:pPr>
        <w:spacing w:after="160"/>
      </w:pPr>
      <w:r>
        <w:t xml:space="preserve">v1 concatenated retrieved chunks with no labels, causing the model to occasionally cite a recital number that was merely mentioned inside another recital's text (a cross-reference), rather than the block it actually came from. v2 tags each block explicitly as "[Recital N]" and instructs the model to cite only numbers that appear as block tags; evaluate.py's hallucinated_citations check verifies every cited recital is among the retrieved block IDs.</w:t>
      </w:r>
    </w:p>
    <w:p>
      <w:r>
        <w:br w:type="page"/>
      </w:r>
    </w:p>
    <w:p>
      <w:pPr>
        <w:pStyle w:val="Heading1"/>
        <w:spacing w:after="120" w:before="240"/>
      </w:pPr>
      <w:r>
        <w:t xml:space="preserve">Evaluation Summary (2+ Strategies Compared)</w:t>
      </w:r>
    </w:p>
    <w:p>
      <w:pPr>
        <w:spacing w:after="160"/>
      </w:pPr>
      <w:r>
        <w:t xml:space="preserve">Strategy 1 — "baseline": zero-shot, no retrieval, no structure, generic system prompt.</w:t>
      </w:r>
    </w:p>
    <w:p>
      <w:pPr>
        <w:spacing w:after="160"/>
      </w:pPr>
      <w:r>
        <w:t xml:space="preserve">Strategy 2 — "full": RAG retrieval + system prompt v2 + specialist role + Chain-of-Thought + structured JSON output.</w:t>
      </w:r>
    </w:p>
    <w:p>
      <w:pPr>
        <w:spacing w:after="160"/>
      </w:pPr>
      <w:r>
        <w:t xml:space="preserve">Metrics computed automatically by evaluate.py on a 20-question benchmark (19 in-scope questions + 1 out-of-scope trap question): retrieval precision@3, JSON parse success rate, and hallucinated-citation rate. Human accuracy grading fields (human_grade_baseline_correct / human_grade_full_correct) are provided in the JSON report for manual completion, per the requirement that evaluation be systematic and benchmarked against a designed test set.</w:t>
      </w:r>
    </w:p>
    <w:p>
      <w:pPr>
        <w:spacing w:after="160"/>
      </w:pPr>
      <w:r>
        <w:t xml:space="preserve">See results/evaluation_report.md and results/evaluation_report.json for full per-question output once the pipeline is run with a live LLM (Anthropic Claude Haiku or Mistral 7B via Ollama).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2026-07-28T13:15:44.492Z</dcterms:created>
  <dcterms:modified xsi:type="dcterms:W3CDTF">2026-07-28T13:15:44.492Z</dcterms:modified>
</cp:coreProperties>
</file>

<file path=docProps/custom.xml><?xml version="1.0" encoding="utf-8"?>
<Properties xmlns="http://schemas.openxmlformats.org/officeDocument/2006/custom-properties" xmlns:vt="http://schemas.openxmlformats.org/officeDocument/2006/docPropsVTypes"/>
</file>