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Review of MCP tool description classification</w:t>
      </w:r>
    </w:p>
    <w:p>
      <w:r>
        <w:t>Research consultation for Claude | Menna Samy | 19 October 2026</w:t>
      </w:r>
    </w:p>
    <w:p>
      <w:r>
        <w:t>We want a critical methodological review of an early pilot that uses an LLM to extract declared effects from MCP tool descriptions. Please assess both our prompt and our provisional reference labels. The immediate question is how to define consistent labels when descriptions contain partial denials, indirect service references, or actions performed by another actor.</w:t>
      </w:r>
    </w:p>
    <w:p>
      <w:pPr>
        <w:pStyle w:val="Heading1"/>
      </w:pPr>
      <w:r>
        <w:t>Research problem</w:t>
      </w:r>
    </w:p>
    <w:p>
      <w:r>
        <w:t>Our project studies consistency among C(t), what the code does; D(t), what the description claims; and A(t), what the annotations claim. Tasneem works on static code analysis. Menna works on description extraction and the comparison between D(t) and A(t). A description classifier does not establish actual runtime behavior.</w:t>
      </w:r>
    </w:p>
    <w:p>
      <w:r>
        <w:t>Proposed workflow: description only -&gt; LLM extraction of D(t) -&gt; deterministic comparison with A(t) -&gt; candidate contradictions for review. Annotations and corrected labels are hidden from the extractor.</w:t>
      </w:r>
    </w:p>
    <w:tbl>
      <w:tblPr>
        <w:tblW w:type="auto" w:w="0"/>
        <w:tblLayout w:type="fixed"/>
        <w:tblLook w:firstColumn="1" w:firstRow="1" w:lastColumn="0" w:lastRow="0" w:noHBand="0" w:noVBand="1" w:val="04A0"/>
      </w:tblPr>
      <w:tblGrid>
        <w:gridCol w:w="1440"/>
        <w:gridCol w:w="8424"/>
      </w:tblGrid>
      <w:tr>
        <w:trPr>
          <w:tblHeader/>
        </w:trPr>
        <w:tc>
          <w:tcPr>
            <w:tcW w:type="dxa" w:w="1440"/>
            <w:tcBorders>
              <w:top w:val="single" w:sz="4" w:color="D9D9D9"/>
              <w:left w:val="single" w:sz="4" w:color="D9D9D9"/>
              <w:bottom w:val="single" w:sz="4" w:color="D9D9D9"/>
              <w:right w:val="single" w:sz="4" w:color="D9D9D9"/>
            </w:tcBorders>
            <w:shd w:fill="E7EDF4"/>
          </w:tcPr>
          <w:p>
            <w:pPr>
              <w:spacing w:after="80" w:before="80"/>
            </w:pPr>
            <w:r>
              <w:rPr>
                <w:b/>
                <w:sz w:val="18"/>
              </w:rPr>
              <w:t>Effect</w:t>
            </w:r>
          </w:p>
        </w:tc>
        <w:tc>
          <w:tcPr>
            <w:tcW w:type="dxa" w:w="8424"/>
            <w:tcBorders>
              <w:top w:val="single" w:sz="4" w:color="D9D9D9"/>
              <w:left w:val="single" w:sz="4" w:color="D9D9D9"/>
              <w:bottom w:val="single" w:sz="4" w:color="D9D9D9"/>
              <w:right w:val="single" w:sz="4" w:color="D9D9D9"/>
            </w:tcBorders>
            <w:shd w:fill="E7EDF4"/>
          </w:tcPr>
          <w:p>
            <w:pPr>
              <w:spacing w:after="80" w:before="80"/>
            </w:pPr>
            <w:r>
              <w:rPr>
                <w:b/>
                <w:sz w:val="18"/>
              </w:rPr>
              <w:t>Working meaning</w:t>
            </w:r>
          </w:p>
        </w:tc>
      </w:tr>
      <w:tr>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read</w:t>
            </w:r>
          </w:p>
        </w:tc>
        <w:tc>
          <w:tcPr>
            <w:tcW w:type="dxa" w:w="8424"/>
            <w:tcBorders>
              <w:top w:val="single" w:sz="4" w:color="D9D9D9"/>
              <w:left w:val="single" w:sz="4" w:color="D9D9D9"/>
              <w:bottom w:val="single" w:sz="4" w:color="D9D9D9"/>
              <w:right w:val="single" w:sz="4" w:color="D9D9D9"/>
            </w:tcBorders>
            <w:shd w:fill="FFFFFF"/>
          </w:tcPr>
          <w:p>
            <w:pPr>
              <w:spacing w:after="80" w:before="80"/>
            </w:pPr>
            <w:r>
              <w:rPr>
                <w:b w:val="0"/>
                <w:sz w:val="18"/>
              </w:rPr>
              <w:t>Retrieve, inspect, list or search existing information.</w:t>
            </w:r>
          </w:p>
        </w:tc>
      </w:tr>
      <w:tr>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write</w:t>
            </w:r>
          </w:p>
        </w:tc>
        <w:tc>
          <w:tcPr>
            <w:tcW w:type="dxa" w:w="8424"/>
            <w:tcBorders>
              <w:top w:val="single" w:sz="4" w:color="D9D9D9"/>
              <w:left w:val="single" w:sz="4" w:color="D9D9D9"/>
              <w:bottom w:val="single" w:sz="4" w:color="D9D9D9"/>
              <w:right w:val="single" w:sz="4" w:color="D9D9D9"/>
            </w:tcBorders>
            <w:shd w:fill="FFFFFF"/>
          </w:tcPr>
          <w:p>
            <w:pPr>
              <w:spacing w:after="80" w:before="80"/>
            </w:pPr>
            <w:r>
              <w:rPr>
                <w:b w:val="0"/>
                <w:sz w:val="18"/>
              </w:rPr>
              <w:t>Create or modify state, append data, or add/send a message.</w:t>
            </w:r>
          </w:p>
        </w:tc>
      </w:tr>
      <w:tr>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delete</w:t>
            </w:r>
          </w:p>
        </w:tc>
        <w:tc>
          <w:tcPr>
            <w:tcW w:type="dxa" w:w="8424"/>
            <w:tcBorders>
              <w:top w:val="single" w:sz="4" w:color="D9D9D9"/>
              <w:left w:val="single" w:sz="4" w:color="D9D9D9"/>
              <w:bottom w:val="single" w:sz="4" w:color="D9D9D9"/>
              <w:right w:val="single" w:sz="4" w:color="D9D9D9"/>
            </w:tcBorders>
            <w:shd w:fill="FFFFFF"/>
          </w:tcPr>
          <w:p>
            <w:pPr>
              <w:spacing w:after="80" w:before="80"/>
            </w:pPr>
            <w:r>
              <w:rPr>
                <w:b w:val="0"/>
                <w:sz w:val="18"/>
              </w:rPr>
              <w:t>Remove a file, record, object, membership or subscription.</w:t>
            </w:r>
          </w:p>
        </w:tc>
      </w:tr>
      <w:tr>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execute</w:t>
            </w:r>
          </w:p>
        </w:tc>
        <w:tc>
          <w:tcPr>
            <w:tcW w:type="dxa" w:w="8424"/>
            <w:tcBorders>
              <w:top w:val="single" w:sz="4" w:color="D9D9D9"/>
              <w:left w:val="single" w:sz="4" w:color="D9D9D9"/>
              <w:bottom w:val="single" w:sz="4" w:color="D9D9D9"/>
              <w:right w:val="single" w:sz="4" w:color="D9D9D9"/>
            </w:tcBorders>
            <w:shd w:fill="FFFFFF"/>
          </w:tcPr>
          <w:p>
            <w:pPr>
              <w:spacing w:after="80" w:before="80"/>
            </w:pPr>
            <w:r>
              <w:rPr>
                <w:b w:val="0"/>
                <w:sz w:val="18"/>
              </w:rPr>
              <w:t>Run supplied code, a script, a subprocess or a shell command.</w:t>
            </w:r>
          </w:p>
        </w:tc>
      </w:tr>
      <w:tr>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network</w:t>
            </w:r>
          </w:p>
        </w:tc>
        <w:tc>
          <w:tcPr>
            <w:tcW w:type="dxa" w:w="8424"/>
            <w:tcBorders>
              <w:top w:val="single" w:sz="4" w:color="D9D9D9"/>
              <w:left w:val="single" w:sz="4" w:color="D9D9D9"/>
              <w:bottom w:val="single" w:sz="4" w:color="D9D9D9"/>
              <w:right w:val="single" w:sz="4" w:color="D9D9D9"/>
            </w:tcBorders>
            <w:shd w:fill="FFFFFF"/>
          </w:tcPr>
          <w:p>
            <w:pPr>
              <w:spacing w:after="80" w:before="80"/>
            </w:pPr>
            <w:r>
              <w:rPr>
                <w:b w:val="0"/>
                <w:sz w:val="18"/>
              </w:rPr>
              <w:t>Explicitly described external requests, remote calls or connections.</w:t>
            </w:r>
          </w:p>
        </w:tc>
      </w:tr>
    </w:tbl>
    <w:p/>
    <w:p>
      <w:r>
        <w:t>For each effect we currently request status = affirmed, denied, not_stated, or uncertain; exact evidence quotes; and tool-level needs_review and notes. Several effects may be affirmed for the same tool. Missing mention is not evidence of absence.</w:t>
      </w:r>
    </w:p>
    <w:p>
      <w:r>
        <w:t>Current project comparison rules: explicit readOnlyHint=true conflicts with affirmed write/delete/execute; explicit destructiveHint=false conflicts with affirmed delete; explicit openWorldHint=false conflicts with affirmed network. These are provisional research rules, not independently verified claims of MCP conformance. Omitted hints remain separate; idempotentHint is not assessed.</w:t>
      </w:r>
    </w:p>
    <w:p>
      <w:r>
        <w:br w:type="page"/>
      </w:r>
    </w:p>
    <w:p>
      <w:pPr>
        <w:pStyle w:val="Heading1"/>
      </w:pPr>
      <w:r>
        <w:t>Pilot design and observed result</w:t>
      </w:r>
    </w:p>
    <w:p>
      <w:r>
        <w:t>The repository census contains 77,084 tools; 77,047 have descriptions. We selected 20 tools from different servers for prompt development, using keyword-based discovery and curated examples. Selection favors short English descriptions and is not representative enough for prevalence estimates.</w:t>
      </w:r>
    </w:p>
    <w:p>
      <w:r>
        <w:t>Menna first labeled the tools manually. ChatGPT then corrected the labels and supplied evidence. The resulting reference is an LLM-assisted development draft, not independent human ground truth. A separate ChatGPT conversation produced another set of predictions from the prompt and descriptions. We have not verified its model version, generation settings, project-memory isolation or independence.</w:t>
      </w:r>
    </w:p>
    <w:p>
      <w:r>
        <w:t>The received output covers all 20 tool IDs and 100 effect statuses. All evidence quotes matched substrings of the descriptions. It agreed with the draft in 91 of 100 statuses. The nine differences below involve six tools. This is agreement with a draft, not validated accuracy; lexical evidence matching does not establish semantic correctness. Pasted output included trailing Markdown backslashes, which were removed before JSON parsing.</w:t>
      </w:r>
    </w:p>
    <w:tbl>
      <w:tblPr>
        <w:tblW w:type="auto" w:w="0"/>
        <w:tblLayout w:type="fixed"/>
        <w:tblLook w:firstColumn="1" w:firstRow="1" w:lastColumn="0" w:lastRow="0" w:noHBand="0" w:noVBand="1" w:val="04A0"/>
      </w:tblPr>
      <w:tblGrid>
        <w:gridCol w:w="3600"/>
        <w:gridCol w:w="1440"/>
        <w:gridCol w:w="2304"/>
        <w:gridCol w:w="2520"/>
      </w:tblGrid>
      <w:tr>
        <w:trPr>
          <w:tblHeader/>
        </w:trPr>
        <w:tc>
          <w:tcPr>
            <w:tcW w:type="dxa" w:w="3600"/>
            <w:tcBorders>
              <w:top w:val="single" w:sz="4" w:color="D9D9D9"/>
              <w:left w:val="single" w:sz="4" w:color="D9D9D9"/>
              <w:bottom w:val="single" w:sz="4" w:color="D9D9D9"/>
              <w:right w:val="single" w:sz="4" w:color="D9D9D9"/>
            </w:tcBorders>
            <w:shd w:fill="E7EDF4"/>
          </w:tcPr>
          <w:p>
            <w:pPr>
              <w:spacing w:after="80" w:before="80"/>
            </w:pPr>
            <w:r>
              <w:rPr>
                <w:b/>
                <w:sz w:val="18"/>
              </w:rPr>
              <w:t>Tool</w:t>
            </w:r>
          </w:p>
        </w:tc>
        <w:tc>
          <w:tcPr>
            <w:tcW w:type="dxa" w:w="1440"/>
            <w:tcBorders>
              <w:top w:val="single" w:sz="4" w:color="D9D9D9"/>
              <w:left w:val="single" w:sz="4" w:color="D9D9D9"/>
              <w:bottom w:val="single" w:sz="4" w:color="D9D9D9"/>
              <w:right w:val="single" w:sz="4" w:color="D9D9D9"/>
            </w:tcBorders>
            <w:shd w:fill="E7EDF4"/>
          </w:tcPr>
          <w:p>
            <w:pPr>
              <w:spacing w:after="80" w:before="80"/>
            </w:pPr>
            <w:r>
              <w:rPr>
                <w:b/>
                <w:sz w:val="18"/>
              </w:rPr>
              <w:t>Effect</w:t>
            </w:r>
          </w:p>
        </w:tc>
        <w:tc>
          <w:tcPr>
            <w:tcW w:type="dxa" w:w="2304"/>
            <w:tcBorders>
              <w:top w:val="single" w:sz="4" w:color="D9D9D9"/>
              <w:left w:val="single" w:sz="4" w:color="D9D9D9"/>
              <w:bottom w:val="single" w:sz="4" w:color="D9D9D9"/>
              <w:right w:val="single" w:sz="4" w:color="D9D9D9"/>
            </w:tcBorders>
            <w:shd w:fill="E7EDF4"/>
          </w:tcPr>
          <w:p>
            <w:pPr>
              <w:spacing w:after="80" w:before="80"/>
            </w:pPr>
            <w:r>
              <w:rPr>
                <w:b/>
                <w:sz w:val="18"/>
              </w:rPr>
              <w:t>Draft</w:t>
            </w:r>
          </w:p>
        </w:tc>
        <w:tc>
          <w:tcPr>
            <w:tcW w:type="dxa" w:w="2520"/>
            <w:tcBorders>
              <w:top w:val="single" w:sz="4" w:color="D9D9D9"/>
              <w:left w:val="single" w:sz="4" w:color="D9D9D9"/>
              <w:bottom w:val="single" w:sz="4" w:color="D9D9D9"/>
              <w:right w:val="single" w:sz="4" w:color="D9D9D9"/>
            </w:tcBorders>
            <w:shd w:fill="E7EDF4"/>
          </w:tcPr>
          <w:p>
            <w:pPr>
              <w:spacing w:after="80" w:before="80"/>
            </w:pPr>
            <w:r>
              <w:rPr>
                <w:b/>
                <w:sz w:val="18"/>
              </w:rPr>
              <w:t>Model output</w:t>
            </w:r>
          </w:p>
        </w:tc>
      </w:tr>
      <w:tr>
        <w:tc>
          <w:tcPr>
            <w:tcW w:type="dxa" w:w="3600"/>
            <w:tcBorders>
              <w:top w:val="single" w:sz="4" w:color="D9D9D9"/>
              <w:left w:val="single" w:sz="4" w:color="D9D9D9"/>
              <w:bottom w:val="single" w:sz="4" w:color="D9D9D9"/>
              <w:right w:val="single" w:sz="4" w:color="D9D9D9"/>
            </w:tcBorders>
            <w:shd w:fill="FFFFFF"/>
          </w:tcPr>
          <w:p>
            <w:pPr>
              <w:spacing w:after="80" w:before="80"/>
            </w:pPr>
            <w:r>
              <w:rPr>
                <w:b w:val="0"/>
                <w:sz w:val="18"/>
              </w:rPr>
              <w:t>1 Cannon capabilities</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delete</w:t>
            </w:r>
          </w:p>
        </w:tc>
        <w:tc>
          <w:tcPr>
            <w:tcW w:type="dxa" w:w="2304"/>
            <w:tcBorders>
              <w:top w:val="single" w:sz="4" w:color="D9D9D9"/>
              <w:left w:val="single" w:sz="4" w:color="D9D9D9"/>
              <w:bottom w:val="single" w:sz="4" w:color="D9D9D9"/>
              <w:right w:val="single" w:sz="4" w:color="D9D9D9"/>
            </w:tcBorders>
            <w:shd w:fill="FFFFFF"/>
          </w:tcPr>
          <w:p>
            <w:pPr>
              <w:spacing w:after="80" w:before="80"/>
            </w:pPr>
            <w:r>
              <w:rPr>
                <w:b w:val="0"/>
                <w:sz w:val="18"/>
              </w:rPr>
              <w:t>not_stated</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denied</w:t>
            </w:r>
          </w:p>
        </w:tc>
      </w:tr>
      <w:tr>
        <w:tc>
          <w:tcPr>
            <w:tcW w:type="dxa" w:w="3600"/>
            <w:tcBorders>
              <w:top w:val="single" w:sz="4" w:color="D9D9D9"/>
              <w:left w:val="single" w:sz="4" w:color="D9D9D9"/>
              <w:bottom w:val="single" w:sz="4" w:color="D9D9D9"/>
              <w:right w:val="single" w:sz="4" w:color="D9D9D9"/>
            </w:tcBorders>
            <w:shd w:fill="FFFFFF"/>
          </w:tcPr>
          <w:p>
            <w:pPr>
              <w:spacing w:after="80" w:before="80"/>
            </w:pPr>
            <w:r>
              <w:rPr>
                <w:b w:val="0"/>
                <w:sz w:val="18"/>
              </w:rPr>
              <w:t>2 Cached WeChat article</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network</w:t>
            </w:r>
          </w:p>
        </w:tc>
        <w:tc>
          <w:tcPr>
            <w:tcW w:type="dxa" w:w="2304"/>
            <w:tcBorders>
              <w:top w:val="single" w:sz="4" w:color="D9D9D9"/>
              <w:left w:val="single" w:sz="4" w:color="D9D9D9"/>
              <w:bottom w:val="single" w:sz="4" w:color="D9D9D9"/>
              <w:right w:val="single" w:sz="4" w:color="D9D9D9"/>
            </w:tcBorders>
            <w:shd w:fill="FFFFFF"/>
          </w:tcPr>
          <w:p>
            <w:pPr>
              <w:spacing w:after="80" w:before="80"/>
            </w:pPr>
            <w:r>
              <w:rPr>
                <w:b w:val="0"/>
                <w:sz w:val="18"/>
              </w:rPr>
              <w:t>uncertain</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not_stated</w:t>
            </w:r>
          </w:p>
        </w:tc>
      </w:tr>
      <w:tr>
        <w:tc>
          <w:tcPr>
            <w:tcW w:type="dxa" w:w="3600"/>
            <w:tcBorders>
              <w:top w:val="single" w:sz="4" w:color="D9D9D9"/>
              <w:left w:val="single" w:sz="4" w:color="D9D9D9"/>
              <w:bottom w:val="single" w:sz="4" w:color="D9D9D9"/>
              <w:right w:val="single" w:sz="4" w:color="D9D9D9"/>
            </w:tcBorders>
            <w:shd w:fill="FFFFFF"/>
          </w:tcPr>
          <w:p>
            <w:pPr>
              <w:spacing w:after="80" w:before="80"/>
            </w:pPr>
            <w:r>
              <w:rPr>
                <w:b w:val="0"/>
                <w:sz w:val="18"/>
              </w:rPr>
              <w:t>3 Campaign brief</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delete</w:t>
            </w:r>
          </w:p>
        </w:tc>
        <w:tc>
          <w:tcPr>
            <w:tcW w:type="dxa" w:w="2304"/>
            <w:tcBorders>
              <w:top w:val="single" w:sz="4" w:color="D9D9D9"/>
              <w:left w:val="single" w:sz="4" w:color="D9D9D9"/>
              <w:bottom w:val="single" w:sz="4" w:color="D9D9D9"/>
              <w:right w:val="single" w:sz="4" w:color="D9D9D9"/>
            </w:tcBorders>
            <w:shd w:fill="FFFFFF"/>
          </w:tcPr>
          <w:p>
            <w:pPr>
              <w:spacing w:after="80" w:before="80"/>
            </w:pPr>
            <w:r>
              <w:rPr>
                <w:b w:val="0"/>
                <w:sz w:val="18"/>
              </w:rPr>
              <w:t>not_stated</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denied</w:t>
            </w:r>
          </w:p>
        </w:tc>
      </w:tr>
      <w:tr>
        <w:tc>
          <w:tcPr>
            <w:tcW w:type="dxa" w:w="3600"/>
            <w:tcBorders>
              <w:top w:val="single" w:sz="4" w:color="D9D9D9"/>
              <w:left w:val="single" w:sz="4" w:color="D9D9D9"/>
              <w:bottom w:val="single" w:sz="4" w:color="D9D9D9"/>
              <w:right w:val="single" w:sz="4" w:color="D9D9D9"/>
            </w:tcBorders>
            <w:shd w:fill="FFFFFF"/>
          </w:tcPr>
          <w:p>
            <w:pPr>
              <w:spacing w:after="80" w:before="80"/>
            </w:pPr>
            <w:r>
              <w:rPr>
                <w:b w:val="0"/>
                <w:sz w:val="18"/>
              </w:rPr>
              <w:t>8 Browser session</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delete</w:t>
            </w:r>
          </w:p>
        </w:tc>
        <w:tc>
          <w:tcPr>
            <w:tcW w:type="dxa" w:w="2304"/>
            <w:tcBorders>
              <w:top w:val="single" w:sz="4" w:color="D9D9D9"/>
              <w:left w:val="single" w:sz="4" w:color="D9D9D9"/>
              <w:bottom w:val="single" w:sz="4" w:color="D9D9D9"/>
              <w:right w:val="single" w:sz="4" w:color="D9D9D9"/>
            </w:tcBorders>
            <w:shd w:fill="FFFFFF"/>
          </w:tcPr>
          <w:p>
            <w:pPr>
              <w:spacing w:after="80" w:before="80"/>
            </w:pPr>
            <w:r>
              <w:rPr>
                <w:b w:val="0"/>
                <w:sz w:val="18"/>
              </w:rPr>
              <w:t>not_stated</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uncertain</w:t>
            </w:r>
          </w:p>
        </w:tc>
      </w:tr>
      <w:tr>
        <w:tc>
          <w:tcPr>
            <w:tcW w:type="dxa" w:w="3600"/>
            <w:tcBorders>
              <w:top w:val="single" w:sz="4" w:color="D9D9D9"/>
              <w:left w:val="single" w:sz="4" w:color="D9D9D9"/>
              <w:bottom w:val="single" w:sz="4" w:color="D9D9D9"/>
              <w:right w:val="single" w:sz="4" w:color="D9D9D9"/>
            </w:tcBorders>
            <w:shd w:fill="FFFFFF"/>
          </w:tcPr>
          <w:p>
            <w:pPr>
              <w:spacing w:after="80" w:before="80"/>
            </w:pPr>
            <w:r>
              <w:rPr>
                <w:b w:val="0"/>
                <w:sz w:val="18"/>
              </w:rPr>
              <w:t>8 Browser session</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network</w:t>
            </w:r>
          </w:p>
        </w:tc>
        <w:tc>
          <w:tcPr>
            <w:tcW w:type="dxa" w:w="2304"/>
            <w:tcBorders>
              <w:top w:val="single" w:sz="4" w:color="D9D9D9"/>
              <w:left w:val="single" w:sz="4" w:color="D9D9D9"/>
              <w:bottom w:val="single" w:sz="4" w:color="D9D9D9"/>
              <w:right w:val="single" w:sz="4" w:color="D9D9D9"/>
            </w:tcBorders>
            <w:shd w:fill="FFFFFF"/>
          </w:tcPr>
          <w:p>
            <w:pPr>
              <w:spacing w:after="80" w:before="80"/>
            </w:pPr>
            <w:r>
              <w:rPr>
                <w:b w:val="0"/>
                <w:sz w:val="18"/>
              </w:rPr>
              <w:t>uncertain</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not_stated</w:t>
            </w:r>
          </w:p>
        </w:tc>
      </w:tr>
      <w:tr>
        <w:tc>
          <w:tcPr>
            <w:tcW w:type="dxa" w:w="3600"/>
            <w:tcBorders>
              <w:top w:val="single" w:sz="4" w:color="D9D9D9"/>
              <w:left w:val="single" w:sz="4" w:color="D9D9D9"/>
              <w:bottom w:val="single" w:sz="4" w:color="D9D9D9"/>
              <w:right w:val="single" w:sz="4" w:color="D9D9D9"/>
            </w:tcBorders>
            <w:shd w:fill="FFFFFF"/>
          </w:tcPr>
          <w:p>
            <w:pPr>
              <w:spacing w:after="80" w:before="80"/>
            </w:pPr>
            <w:r>
              <w:rPr>
                <w:b w:val="0"/>
                <w:sz w:val="18"/>
              </w:rPr>
              <w:t>17 Slippage recommendation</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read</w:t>
            </w:r>
          </w:p>
        </w:tc>
        <w:tc>
          <w:tcPr>
            <w:tcW w:type="dxa" w:w="2304"/>
            <w:tcBorders>
              <w:top w:val="single" w:sz="4" w:color="D9D9D9"/>
              <w:left w:val="single" w:sz="4" w:color="D9D9D9"/>
              <w:bottom w:val="single" w:sz="4" w:color="D9D9D9"/>
              <w:right w:val="single" w:sz="4" w:color="D9D9D9"/>
            </w:tcBorders>
            <w:shd w:fill="FFFFFF"/>
          </w:tcPr>
          <w:p>
            <w:pPr>
              <w:spacing w:after="80" w:before="80"/>
            </w:pPr>
            <w:r>
              <w:rPr>
                <w:b w:val="0"/>
                <w:sz w:val="18"/>
              </w:rPr>
              <w:t>not_stated</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uncertain</w:t>
            </w:r>
          </w:p>
        </w:tc>
      </w:tr>
      <w:tr>
        <w:tc>
          <w:tcPr>
            <w:tcW w:type="dxa" w:w="3600"/>
            <w:tcBorders>
              <w:top w:val="single" w:sz="4" w:color="D9D9D9"/>
              <w:left w:val="single" w:sz="4" w:color="D9D9D9"/>
              <w:bottom w:val="single" w:sz="4" w:color="D9D9D9"/>
              <w:right w:val="single" w:sz="4" w:color="D9D9D9"/>
            </w:tcBorders>
            <w:shd w:fill="FFFFFF"/>
          </w:tcPr>
          <w:p>
            <w:pPr>
              <w:spacing w:after="80" w:before="80"/>
            </w:pPr>
            <w:r>
              <w:rPr>
                <w:b w:val="0"/>
                <w:sz w:val="18"/>
              </w:rPr>
              <w:t>20 Code sandbox</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read</w:t>
            </w:r>
          </w:p>
        </w:tc>
        <w:tc>
          <w:tcPr>
            <w:tcW w:type="dxa" w:w="2304"/>
            <w:tcBorders>
              <w:top w:val="single" w:sz="4" w:color="D9D9D9"/>
              <w:left w:val="single" w:sz="4" w:color="D9D9D9"/>
              <w:bottom w:val="single" w:sz="4" w:color="D9D9D9"/>
              <w:right w:val="single" w:sz="4" w:color="D9D9D9"/>
            </w:tcBorders>
            <w:shd w:fill="FFFFFF"/>
          </w:tcPr>
          <w:p>
            <w:pPr>
              <w:spacing w:after="80" w:before="80"/>
            </w:pPr>
            <w:r>
              <w:rPr>
                <w:b w:val="0"/>
                <w:sz w:val="18"/>
              </w:rPr>
              <w:t>not_stated</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denied</w:t>
            </w:r>
          </w:p>
        </w:tc>
      </w:tr>
      <w:tr>
        <w:tc>
          <w:tcPr>
            <w:tcW w:type="dxa" w:w="3600"/>
            <w:tcBorders>
              <w:top w:val="single" w:sz="4" w:color="D9D9D9"/>
              <w:left w:val="single" w:sz="4" w:color="D9D9D9"/>
              <w:bottom w:val="single" w:sz="4" w:color="D9D9D9"/>
              <w:right w:val="single" w:sz="4" w:color="D9D9D9"/>
            </w:tcBorders>
            <w:shd w:fill="FFFFFF"/>
          </w:tcPr>
          <w:p>
            <w:pPr>
              <w:spacing w:after="80" w:before="80"/>
            </w:pPr>
            <w:r>
              <w:rPr>
                <w:b w:val="0"/>
                <w:sz w:val="18"/>
              </w:rPr>
              <w:t>20 Code sandbox</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write</w:t>
            </w:r>
          </w:p>
        </w:tc>
        <w:tc>
          <w:tcPr>
            <w:tcW w:type="dxa" w:w="2304"/>
            <w:tcBorders>
              <w:top w:val="single" w:sz="4" w:color="D9D9D9"/>
              <w:left w:val="single" w:sz="4" w:color="D9D9D9"/>
              <w:bottom w:val="single" w:sz="4" w:color="D9D9D9"/>
              <w:right w:val="single" w:sz="4" w:color="D9D9D9"/>
            </w:tcBorders>
            <w:shd w:fill="FFFFFF"/>
          </w:tcPr>
          <w:p>
            <w:pPr>
              <w:spacing w:after="80" w:before="80"/>
            </w:pPr>
            <w:r>
              <w:rPr>
                <w:b w:val="0"/>
                <w:sz w:val="18"/>
              </w:rPr>
              <w:t>not_stated</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denied</w:t>
            </w:r>
          </w:p>
        </w:tc>
      </w:tr>
      <w:tr>
        <w:tc>
          <w:tcPr>
            <w:tcW w:type="dxa" w:w="3600"/>
            <w:tcBorders>
              <w:top w:val="single" w:sz="4" w:color="D9D9D9"/>
              <w:left w:val="single" w:sz="4" w:color="D9D9D9"/>
              <w:bottom w:val="single" w:sz="4" w:color="D9D9D9"/>
              <w:right w:val="single" w:sz="4" w:color="D9D9D9"/>
            </w:tcBorders>
            <w:shd w:fill="FFFFFF"/>
          </w:tcPr>
          <w:p>
            <w:pPr>
              <w:spacing w:after="80" w:before="80"/>
            </w:pPr>
            <w:r>
              <w:rPr>
                <w:b w:val="0"/>
                <w:sz w:val="18"/>
              </w:rPr>
              <w:t>20 Code sandbox</w:t>
            </w:r>
          </w:p>
        </w:tc>
        <w:tc>
          <w:tcPr>
            <w:tcW w:type="dxa" w:w="1440"/>
            <w:tcBorders>
              <w:top w:val="single" w:sz="4" w:color="D9D9D9"/>
              <w:left w:val="single" w:sz="4" w:color="D9D9D9"/>
              <w:bottom w:val="single" w:sz="4" w:color="D9D9D9"/>
              <w:right w:val="single" w:sz="4" w:color="D9D9D9"/>
            </w:tcBorders>
            <w:shd w:fill="FFFFFF"/>
          </w:tcPr>
          <w:p>
            <w:pPr>
              <w:spacing w:after="80" w:before="80"/>
            </w:pPr>
            <w:r>
              <w:rPr>
                <w:b w:val="0"/>
                <w:sz w:val="18"/>
              </w:rPr>
              <w:t>delete</w:t>
            </w:r>
          </w:p>
        </w:tc>
        <w:tc>
          <w:tcPr>
            <w:tcW w:type="dxa" w:w="2304"/>
            <w:tcBorders>
              <w:top w:val="single" w:sz="4" w:color="D9D9D9"/>
              <w:left w:val="single" w:sz="4" w:color="D9D9D9"/>
              <w:bottom w:val="single" w:sz="4" w:color="D9D9D9"/>
              <w:right w:val="single" w:sz="4" w:color="D9D9D9"/>
            </w:tcBorders>
            <w:shd w:fill="FFFFFF"/>
          </w:tcPr>
          <w:p>
            <w:pPr>
              <w:spacing w:after="80" w:before="80"/>
            </w:pPr>
            <w:r>
              <w:rPr>
                <w:b w:val="0"/>
                <w:sz w:val="18"/>
              </w:rPr>
              <w:t>not_stated</w:t>
            </w:r>
          </w:p>
        </w:tc>
        <w:tc>
          <w:tcPr>
            <w:tcW w:type="dxa" w:w="2520"/>
            <w:tcBorders>
              <w:top w:val="single" w:sz="4" w:color="D9D9D9"/>
              <w:left w:val="single" w:sz="4" w:color="D9D9D9"/>
              <w:bottom w:val="single" w:sz="4" w:color="D9D9D9"/>
              <w:right w:val="single" w:sz="4" w:color="D9D9D9"/>
            </w:tcBorders>
            <w:shd w:fill="FFFFFF"/>
          </w:tcPr>
          <w:p>
            <w:pPr>
              <w:spacing w:after="80" w:before="80"/>
            </w:pPr>
            <w:r>
              <w:rPr>
                <w:b w:val="0"/>
                <w:sz w:val="18"/>
              </w:rPr>
              <w:t>denied</w:t>
            </w:r>
          </w:p>
        </w:tc>
      </w:tr>
    </w:tbl>
    <w:p/>
    <w:p>
      <w:r>
        <w:t>Some useful shared judgments: creating a tenant, agenda or group is write; returning an install command is not executing it; adding a support-ticket message is write; executing JavaScript/Python is execute; and explicit external HTTP requests affirm network. Agreement does not by itself make these labels a validated benchmark.</w:t>
      </w:r>
    </w:p>
    <w:p>
      <w:pPr>
        <w:pStyle w:val="Heading1"/>
      </w:pPr>
      <w:r>
        <w:t>Prompt construction</w:t>
      </w:r>
    </w:p>
    <w:p>
      <w:r>
        <w:t>The prompt defines the five effects, requires exact quotes, hides annotations/schema/code, handles negation and conditional actions, and distinguishes this tool from workflow instructions about other tools. It warns that descriptions are untrusted data. A URL, API-key requirement or generic verb execute is not sufficient by itself to infer network or code execution. It requests JSONL for the batch.</w:t>
      </w:r>
    </w:p>
    <w:p>
      <w:r>
        <w:br w:type="page"/>
      </w:r>
    </w:p>
    <w:p>
      <w:pPr>
        <w:pStyle w:val="Heading1"/>
      </w:pPr>
      <w:r>
        <w:t>Examples that need methodological decisions</w:t>
      </w:r>
    </w:p>
    <w:p>
      <w:pPr>
        <w:pStyle w:val="Heading2"/>
      </w:pPr>
      <w:r>
        <w:t>Broad denials</w:t>
      </w:r>
    </w:p>
    <w:p>
      <w:r>
        <w:t>Tool 1 says: "Public read-only: no auth, no state changes, no charges". Tool 3 says: "Free, read-only." Our draft denied write but left delete not_stated. The other output denied both write and delete. Should broad claims such as no state changes entail denial of both write and delete? If so, our draft needs correction.</w:t>
      </w:r>
    </w:p>
    <w:p>
      <w:pPr>
        <w:pStyle w:val="Heading2"/>
      </w:pPr>
      <w:r>
        <w:t>Scoped denials</w:t>
      </w:r>
    </w:p>
    <w:p>
      <w:r>
        <w:t>Tool 20 says: "Execute JavaScript or Python code in an isolated sandbox" and "no filesystem access, no network". The model marked read/write/delete denied and noted that these denials apply only to filesystem access. Our effect statuses are unscoped, so consumers could mistake a filesystem restriction for a universal denial of reading or writing.</w:t>
      </w:r>
    </w:p>
    <w:p>
      <w:r>
        <w:t>A related tool says "does not execute JavaScript" while making external HTTP requests. This denies JavaScript execution, not every possible kind of execution. Should scoped claims be separate records with effect, polarity, resource and condition rather than one status per effect?</w:t>
      </w:r>
    </w:p>
    <w:p>
      <w:pPr>
        <w:pStyle w:val="Heading2"/>
      </w:pPr>
      <w:r>
        <w:t>Unstated versus uncertain network access</w:t>
      </w:r>
    </w:p>
    <w:p>
      <w:r>
        <w:t>Tool 2 says: "Get a cached WeChat article by its short slug/URL path via ReadGZH." Tool 8 says: "Create a managed headless browser session on Browserbase infrastructure" and returns a WebSocket URL. Our draft used network=uncertain; the other output used not_stated. What exact threshold separates missing evidence from ambiguous evidence? Does naming an external service justify either affirmation or uncertainty without implementation assumptions?</w:t>
      </w:r>
    </w:p>
    <w:p>
      <w:pPr>
        <w:pStyle w:val="Heading2"/>
      </w:pPr>
      <w:r>
        <w:t>Action attribution and lifecycle</w:t>
      </w:r>
    </w:p>
    <w:p>
      <w:r>
        <w:t>Tool 8 also says: "Sessions auto-expire after 5 minutes of inactivity (Browserbase)". The model marked delete=uncertain. Is provider-managed expiration an effect of the tool, a lifecycle property, or outside the classification target? Tool 3 instructs the agent to create content and call submit_campaign_work after retrieving a campaign brief. We excluded these subsequent actions from the brief tool itself.</w:t>
      </w:r>
    </w:p>
    <w:p>
      <w:pPr>
        <w:pStyle w:val="Heading2"/>
      </w:pPr>
      <w:r>
        <w:t>Implicit information access</w:t>
      </w:r>
    </w:p>
    <w:p>
      <w:r>
        <w:t>Tool 17 recommends slippage "based on live price impact plus a buffer" and lists "POST /api/exec/slippage". The model marked read=uncertain; the draft used not_stated. The prompt excludes pure calculation from read but does not fully settle references to live input data. POST alone also does not establish a semantic write.</w:t>
      </w:r>
    </w:p>
    <w:p>
      <w:r>
        <w:t>These cases suggest incomplete operational definitions, not simply model mistakes. Please do not force predictions to match the draft or optimize for the current agreement figure.</w:t>
      </w:r>
    </w:p>
    <w:p>
      <w:r>
        <w:br w:type="page"/>
      </w:r>
    </w:p>
    <w:p>
      <w:pPr>
        <w:pStyle w:val="Heading1"/>
      </w:pPr>
      <w:r>
        <w:t>Questions for Claude</w:t>
      </w:r>
    </w:p>
    <w:p>
      <w:r>
        <w:t>1. Is LLM extraction of D(t), followed by deterministic D(t)-A(t) comparison, a defensible method for this research question? What can it establish and what can it not establish?</w:t>
      </w:r>
    </w:p>
    <w:p>
      <w:r>
        <w:t>2. Are five effects and four statuses sufficient? Propose the simplest output schema that preserves scope and conditions, allows multiple effects, and handles positive and negative claims about different resources without conflating them.</w:t>
      </w:r>
    </w:p>
    <w:p>
      <w:r>
        <w:t>3. Give explicit operational rules for not_stated versus uncertain, broad read-only/no-state-change claims, scoped denials, provider-managed lifecycle behavior, workflow attribution and indirect network evidence. Explain which of the nine differences you would change and why.</w:t>
      </w:r>
    </w:p>
    <w:p>
      <w:r>
        <w:t>4. Check the provisional annotation-comparison rules, particularly execute -&gt; readOnly conflict, destructiveHint applicability, destructive overwrite and the difference between network access and open-world interaction. Distinguish a project policy from MCP specification semantics. Cite official sources if you consult the specification; otherwise identify what still needs verification.</w:t>
      </w:r>
    </w:p>
    <w:p>
      <w:r>
        <w:t>5. How should we create independent ground truth after ChatGPT has assisted with the current labels? Propose a practical plan for blind dual-human labeling, calibration, adjudication, agreement measurement, and a held-out evaluation set. Can the current 20 examples remain a development set?</w:t>
      </w:r>
    </w:p>
    <w:p>
      <w:r>
        <w:t>6. Which metrics should we report for effect extraction, evidence quality, review/abstention coverage and contradiction detection? How should uncertain cases and class imbalance be handled? Do not interpret 91/100 draft agreement as validated accuracy.</w:t>
      </w:r>
    </w:p>
    <w:p>
      <w:r>
        <w:t>7. Would two different LLMs help? With only two votes, propose an explicit disagreement policy and explain why agreement is not ground truth. What metadata and reproducibility controls should be logged?</w:t>
      </w:r>
    </w:p>
    <w:p>
      <w:r>
        <w:t>8. Propose a revised prompt and a small set of contrastive examples to test the rules. Explain how to test revisions on fresh data without overfitting to these 20 examples.</w:t>
      </w:r>
    </w:p>
    <w:p>
      <w:pPr>
        <w:pStyle w:val="Heading1"/>
      </w:pPr>
      <w:r>
        <w:t>Requested response</w:t>
      </w:r>
    </w:p>
    <w:p>
      <w:r>
        <w:t>Please return your methodological verdict, a decision for each disputed case, an operational labeling guide, a minimal schema with examples, a revised prompt, and a practical next experiment. Separate well-supported conclusions from proposed policy choices. Ask only for missing information that materially changes your judgment.</w:t>
      </w:r>
    </w:p>
    <w:p>
      <w:pPr>
        <w:pStyle w:val="Heading1"/>
      </w:pPr>
      <w:r>
        <w:t>Materials and provenance</w:t>
      </w:r>
    </w:p>
    <w:p>
      <w:r>
        <w:t>Repository: https://github.com/TasneemAbdelaziz/mcp-tri-consistency</w:t>
      </w:r>
    </w:p>
    <w:p>
      <w:r>
        <w:t>Data: data/raw/census_v2/tools_full.jsonl.gz. Project sources: MCP_Paper_Plan-v2(1).docx and Week1_Status_for_Menna.docx. Development prompt: Run_Prompt_20_Tools.txt. Assisted reference: human_labeling_corrected.csv. Received predictions: Pasted markdown.md. All nine differences above were computed from the 20 matching tool IDs.</w:t>
      </w:r>
    </w:p>
    <w:p>
      <w:r>
        <w:t>This brief contains enough context for the initial review. The full prompt, predictions and corrected CSV can be provided separately for a detailed audit. No independent human agreement score, held-out accuracy, two-model vote or full-census effect analysis has yet been established.</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of MCP tool description classification</dc:title>
  <dc:subject/>
  <dc:creator>Menna Samy</dc:creator>
  <cp:keywords/>
  <dc:description>generated by python-docx</dc:description>
  <cp:lastModifiedBy/>
  <cp:revision>1</cp:revision>
  <dcterms:created xsi:type="dcterms:W3CDTF">2013-12-23T23:15:00Z</dcterms:created>
  <dcterms:modified xsi:type="dcterms:W3CDTF">2013-12-23T23:15:00Z</dcterms:modified>
  <cp:category/>
</cp:coreProperties>
</file>