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Optimization Analysis Report</w:t>
      </w:r>
    </w:p>
    <w:p>
      <w:r>
        <w:t>Generated: 2026-06-19 22:25:35</w:t>
      </w:r>
    </w:p>
    <w:p>
      <w:r>
        <w:t>Developed by: Musketeers_Team (ITI Graduation Project 2026)</w:t>
      </w:r>
    </w:p>
    <w:p>
      <w:r>
        <w:t>Version: 2.0 Enhanced</w:t>
      </w:r>
    </w:p>
    <w:p>
      <w:pPr>
        <w:pStyle w:val="Heading1"/>
      </w:pPr>
      <w:r>
        <w:t>Analysis Summary</w:t>
      </w:r>
    </w:p>
    <w:p>
      <w:r>
        <w:t>Analysis Mode: All KPIs Analysis</w:t>
      </w:r>
    </w:p>
    <w:p>
      <w:r>
        <w:t>Baseline Mode: last_week</w:t>
      </w:r>
    </w:p>
    <w:p>
      <w:r>
        <w:t>Significance Test: Enabled</w:t>
      </w:r>
    </w:p>
    <w:p>
      <w:r>
        <w:t>Total KPIs Analyzed: 13</w:t>
      </w:r>
    </w:p>
    <w:p>
      <w:r>
        <w:t>Total Degraded Cells: 187</w:t>
      </w:r>
    </w:p>
    <w:p>
      <w:pPr>
        <w:pStyle w:val="Heading1"/>
      </w:pPr>
      <w:r>
        <w:t>KPI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Degraded Cell Count</w:t>
            </w:r>
          </w:p>
        </w:tc>
        <w:tc>
          <w:tcPr>
            <w:tcW w:type="dxa" w:w="1728"/>
          </w:tcPr>
          <w:p>
            <w:r>
              <w:t>Max Degradation %</w:t>
            </w:r>
          </w:p>
        </w:tc>
        <w:tc>
          <w:tcPr>
            <w:tcW w:type="dxa" w:w="1728"/>
          </w:tcPr>
          <w:p>
            <w:r>
              <w:t>Threshold %</w:t>
            </w:r>
          </w:p>
        </w:tc>
        <w:tc>
          <w:tcPr>
            <w:tcW w:type="dxa" w:w="1728"/>
          </w:tcPr>
          <w:p>
            <w:r>
              <w:t>Enhancement Potential %</w:t>
            </w:r>
          </w:p>
        </w:tc>
      </w:tr>
      <w:tr>
        <w:tc>
          <w:tcPr>
            <w:tcW w:type="dxa" w:w="1728"/>
          </w:tcPr>
          <w:p>
            <w:r>
              <w:t>DL Traffic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96.68%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4.30%</w:t>
            </w:r>
          </w:p>
        </w:tc>
      </w:tr>
      <w:tr>
        <w:tc>
          <w:tcPr>
            <w:tcW w:type="dxa" w:w="1728"/>
          </w:tcPr>
          <w:p>
            <w:r>
              <w:t>UL Traffic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93.82%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4.87%</w:t>
            </w:r>
          </w:p>
        </w:tc>
      </w:tr>
      <w:tr>
        <w:tc>
          <w:tcPr>
            <w:tcW w:type="dxa" w:w="1728"/>
          </w:tcPr>
          <w:p>
            <w:r>
              <w:t>DL Throughput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51.48%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-1.03%</w:t>
            </w:r>
          </w:p>
        </w:tc>
      </w:tr>
      <w:tr>
        <w:tc>
          <w:tcPr>
            <w:tcW w:type="dxa" w:w="1728"/>
          </w:tcPr>
          <w:p>
            <w:r>
              <w:t>UL Throughput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75.70%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1.22%</w:t>
            </w:r>
          </w:p>
        </w:tc>
      </w:tr>
      <w:tr>
        <w:tc>
          <w:tcPr>
            <w:tcW w:type="dxa" w:w="1728"/>
          </w:tcPr>
          <w:p>
            <w:r>
              <w:t>RRC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1.33%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ERAB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1.69%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0.02%</w:t>
            </w:r>
          </w:p>
        </w:tc>
      </w:tr>
      <w:tr>
        <w:tc>
          <w:tcPr>
            <w:tcW w:type="dxa" w:w="1728"/>
          </w:tcPr>
          <w:p>
            <w:r>
              <w:t>Drop Rate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6078.74%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-0.39%</w:t>
            </w:r>
          </w:p>
        </w:tc>
      </w:tr>
      <w:tr>
        <w:tc>
          <w:tcPr>
            <w:tcW w:type="dxa" w:w="1728"/>
          </w:tcPr>
          <w:p>
            <w:r>
              <w:t>HO Success Rate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14.47%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-0.02%</w:t>
            </w:r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5.02%</w:t>
            </w:r>
          </w:p>
        </w:tc>
        <w:tc>
          <w:tcPr>
            <w:tcW w:type="dxa" w:w="1728"/>
          </w:tcPr>
          <w:p>
            <w:r>
              <w:t>1.00%</w:t>
            </w:r>
          </w:p>
        </w:tc>
        <w:tc>
          <w:tcPr>
            <w:tcW w:type="dxa" w:w="1728"/>
          </w:tcPr>
          <w:p>
            <w:r>
              <w:t>-0.17%</w:t>
            </w:r>
          </w:p>
        </w:tc>
      </w:tr>
      <w:tr>
        <w:tc>
          <w:tcPr>
            <w:tcW w:type="dxa" w:w="1728"/>
          </w:tcPr>
          <w:p>
            <w:r>
              <w:t>RACH Success Rate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68.48%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0.30%</w:t>
            </w:r>
          </w:p>
        </w:tc>
      </w:tr>
      <w:tr>
        <w:tc>
          <w:tcPr>
            <w:tcW w:type="dxa" w:w="1728"/>
          </w:tcPr>
          <w:p>
            <w:r>
              <w:t>CSFB KPI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0.88%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0.02%</w:t>
            </w:r>
          </w:p>
        </w:tc>
      </w:tr>
      <w:tr>
        <w:tc>
          <w:tcPr>
            <w:tcW w:type="dxa" w:w="1728"/>
          </w:tcPr>
          <w:p>
            <w:r>
              <w:t>VoLTE KPIs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9.71%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0.05%</w:t>
            </w:r>
          </w:p>
        </w:tc>
      </w:tr>
      <w:tr>
        <w:tc>
          <w:tcPr>
            <w:tcW w:type="dxa" w:w="1728"/>
          </w:tcPr>
          <w:p>
            <w:r>
              <w:t>RRC Re-establishment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