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bookmarkStart w:id="2" w:name="_GoBack"/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1061720" cy="1486535"/>
            <wp:effectExtent l="0" t="0" r="5080" b="1206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72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2"/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4F328C99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 xml:space="preserve">                    （《Signal Processing》，CCFC在投）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 xml:space="preserve">    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作为第二作者参与稀疏二维阵列幅相误差校准与二维 DOA 估计的研究（Elsevier信号处理类期刊在投），主要负责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基于学习 Stanford CS336 课程后，从零实现小型 Transformer 语言模型训练与推理框架，完成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应用激光雷达 SLAM 技术实现机器人的自主定位、环境地图构建与动态路径规划；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456E02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412202C"/>
    <w:rsid w:val="144E09DA"/>
    <w:rsid w:val="14A10B0A"/>
    <w:rsid w:val="14BB6070"/>
    <w:rsid w:val="150B2427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6D547B"/>
    <w:rsid w:val="28C11323"/>
    <w:rsid w:val="28D92B11"/>
    <w:rsid w:val="295D104C"/>
    <w:rsid w:val="29F80D74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1478</Words>
  <Characters>2035</Characters>
  <Lines>22</Lines>
  <Paragraphs>6</Paragraphs>
  <TotalTime>3</TotalTime>
  <ScaleCrop>false</ScaleCrop>
  <LinksUpToDate>false</LinksUpToDate>
  <CharactersWithSpaces>2399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2026-04-11T12:01:38Z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