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12641"/>
          <w:sz w:val="60"/>
        </w:rPr>
        <w:t>ESPECIFICAÇÃO FUNCIONAL</w:t>
      </w:r>
    </w:p>
    <w:p>
      <w:pPr>
        <w:jc w:val="center"/>
      </w:pPr>
      <w:r>
        <w:rPr>
          <w:b/>
          <w:color w:val="0EA5E9"/>
          <w:sz w:val="42"/>
        </w:rPr>
        <w:t>Portal de Relatórios de Gestão HC-UFPE</w:t>
      </w:r>
    </w:p>
    <w:p>
      <w:pPr>
        <w:jc w:val="center"/>
      </w:pPr>
      <w:r>
        <w:rPr>
          <w:color w:val="64748B"/>
          <w:sz w:val="28"/>
        </w:rPr>
        <w:t>Versão 1.0</w:t>
      </w:r>
    </w:p>
    <w:p>
      <w:r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cantSplit/>
        </w:trPr>
        <w:tc>
          <w:tcPr>
            <w:tcW w:type="dxa" w:w="4929"/>
            <w:shd w:fill="F1F5F9"/>
          </w:tcPr>
          <w:p>
            <w:r>
              <w:rPr>
                <w:b/>
              </w:rPr>
              <w:t>Documento</w:t>
            </w:r>
          </w:p>
        </w:tc>
        <w:tc>
          <w:tcPr>
            <w:tcW w:type="dxa" w:w="4929"/>
          </w:tcPr>
          <w:p>
            <w:r>
              <w:t>Especificação Funcional</w:t>
            </w:r>
          </w:p>
        </w:tc>
      </w:tr>
      <w:tr>
        <w:trPr>
          <w:cantSplit/>
        </w:trPr>
        <w:tc>
          <w:tcPr>
            <w:tcW w:type="dxa" w:w="4929"/>
            <w:shd w:fill="F1F5F9"/>
          </w:tcPr>
          <w:p>
            <w:r>
              <w:rPr>
                <w:b/>
              </w:rPr>
              <w:t>Sistema</w:t>
            </w:r>
          </w:p>
        </w:tc>
        <w:tc>
          <w:tcPr>
            <w:tcW w:type="dxa" w:w="4929"/>
          </w:tcPr>
          <w:p>
            <w:r>
              <w:t>Relatório de Gestão HC-UFPE</w:t>
            </w:r>
          </w:p>
        </w:tc>
      </w:tr>
      <w:tr>
        <w:trPr>
          <w:cantSplit/>
        </w:trPr>
        <w:tc>
          <w:tcPr>
            <w:tcW w:type="dxa" w:w="4929"/>
            <w:shd w:fill="F1F5F9"/>
          </w:tcPr>
          <w:p>
            <w:r>
              <w:rPr>
                <w:b/>
              </w:rPr>
              <w:t>Finalidade</w:t>
            </w:r>
          </w:p>
        </w:tc>
        <w:tc>
          <w:tcPr>
            <w:tcW w:type="dxa" w:w="4929"/>
          </w:tcPr>
          <w:p>
            <w:r>
              <w:t>Referência para planejamento, desenvolvimento e validação funcional</w:t>
            </w:r>
          </w:p>
        </w:tc>
      </w:tr>
      <w:tr>
        <w:trPr>
          <w:cantSplit/>
        </w:trPr>
        <w:tc>
          <w:tcPr>
            <w:tcW w:type="dxa" w:w="4929"/>
            <w:shd w:fill="F1F5F9"/>
          </w:tcPr>
          <w:p>
            <w:r>
              <w:rPr>
                <w:b/>
              </w:rPr>
              <w:t>Plataforma de desenvolvimento</w:t>
            </w:r>
          </w:p>
        </w:tc>
        <w:tc>
          <w:tcPr>
            <w:tcW w:type="dxa" w:w="4929"/>
          </w:tcPr>
          <w:p>
            <w:r>
              <w:t>Antigravity / aplicação web</w:t>
            </w:r>
          </w:p>
        </w:tc>
      </w:tr>
      <w:tr>
        <w:trPr>
          <w:cantSplit/>
        </w:trPr>
        <w:tc>
          <w:tcPr>
            <w:tcW w:type="dxa" w:w="4929"/>
            <w:shd w:fill="F1F5F9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929"/>
          </w:tcPr>
          <w:p>
            <w:r>
              <w:t>Consolidado para desenvolvimento inicial</w:t>
            </w:r>
          </w:p>
        </w:tc>
      </w:tr>
    </w:tbl>
    <w:p>
      <w:r>
        <w:br/>
        <w:t>Este documento consolida o protótipo funcional inicialmente elaborado para o Portal de Relatórios de Gestão do HC-UFPE e as decisões de refinamento posteriores. Seu objetivo é reduzir ambiguidades antes da implementação, formalizando regras de negócio, perfis, estados, fluxos, requisitos, critérios de aceite e recomendações de arquitetura funcional.</w:t>
      </w:r>
    </w:p>
    <w:p>
      <w:r>
        <w:br w:type="page"/>
      </w:r>
    </w:p>
    <w:p>
      <w:pPr>
        <w:pStyle w:val="Heading1"/>
      </w:pPr>
      <w:r>
        <w:t>Controle do documento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  <w:cantSplit/>
        </w:trPr>
        <w:tc>
          <w:tcPr>
            <w:tcW w:type="dxa" w:w="3286"/>
            <w:shd w:fill="112641"/>
            <w:vAlign w:val="center"/>
          </w:tcPr>
          <w:p>
            <w:r>
              <w:rPr>
                <w:b/>
                <w:color w:val="FFFFFF"/>
                <w:sz w:val="18"/>
              </w:rPr>
              <w:t>Versão</w:t>
            </w:r>
          </w:p>
        </w:tc>
        <w:tc>
          <w:tcPr>
            <w:tcW w:type="dxa" w:w="3286"/>
            <w:shd w:fill="112641"/>
            <w:vAlign w:val="center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3286"/>
            <w:shd w:fill="112641"/>
            <w:vAlign w:val="center"/>
          </w:tcPr>
          <w:p>
            <w:r>
              <w:rPr>
                <w:b/>
                <w:color w:val="FFFFFF"/>
                <w:sz w:val="18"/>
              </w:rPr>
              <w:t>Descrição</w:t>
            </w:r>
          </w:p>
        </w:tc>
      </w:tr>
      <w:tr>
        <w:trPr>
          <w:cantSplit/>
        </w:trPr>
        <w:tc>
          <w:tcPr>
            <w:tcW w:type="dxa" w:w="3286"/>
            <w:vAlign w:val="top"/>
          </w:tcPr>
          <w:p>
            <w:r>
              <w:rPr>
                <w:sz w:val="17"/>
              </w:rPr>
              <w:t>1.0</w:t>
            </w:r>
          </w:p>
        </w:tc>
        <w:tc>
          <w:tcPr>
            <w:tcW w:type="dxa" w:w="3286"/>
            <w:vAlign w:val="top"/>
          </w:tcPr>
          <w:p>
            <w:r>
              <w:rPr>
                <w:sz w:val="17"/>
              </w:rPr>
              <w:t>Consolidada</w:t>
            </w:r>
          </w:p>
        </w:tc>
        <w:tc>
          <w:tcPr>
            <w:tcW w:type="dxa" w:w="3286"/>
            <w:vAlign w:val="top"/>
          </w:tcPr>
          <w:p>
            <w:r>
              <w:rPr>
                <w:sz w:val="17"/>
              </w:rPr>
              <w:t>Primeira especificação funcional estruturada, contemplando o protótipo original e os refinamentos aprovados.</w:t>
            </w:r>
          </w:p>
        </w:tc>
      </w:tr>
    </w:tbl>
    <w:p>
      <w:pPr>
        <w:pStyle w:val="Heading2"/>
      </w:pPr>
      <w:r>
        <w:t>Como utilizar esta especificação</w:t>
      </w:r>
    </w:p>
    <w:p>
      <w:pPr>
        <w:pStyle w:val="ListBullet"/>
      </w:pPr>
      <w:r>
        <w:t>As seções de requisitos funcionais (RF) e regras de negócio (RN) definem comportamentos esperados da aplicação.</w:t>
      </w:r>
    </w:p>
    <w:p>
      <w:pPr>
        <w:pStyle w:val="ListBullet"/>
      </w:pPr>
      <w:r>
        <w:t>As regras de autorização devem ser implementadas no backend e não apenas ocultadas na interface.</w:t>
      </w:r>
    </w:p>
    <w:p>
      <w:pPr>
        <w:pStyle w:val="ListBullet"/>
      </w:pPr>
      <w:r>
        <w:t>As recomendações técnicas orientam o desenvolvimento, mas não substituem decisões posteriores de arquitetura quando não houver impacto funcional.</w:t>
      </w:r>
    </w:p>
    <w:p>
      <w:pPr>
        <w:pStyle w:val="ListBullet"/>
      </w:pPr>
      <w:r>
        <w:t>Itens marcados como “Decisão aprovada” integram o escopo funcional desta versão.</w:t>
      </w:r>
    </w:p>
    <w:p>
      <w:pPr>
        <w:pStyle w:val="ListBullet"/>
      </w:pPr>
      <w:r>
        <w:t>Itens marcados como “Decisão futura” devem permanecer configuráveis ou não implementados até definição formal.</w:t>
      </w:r>
    </w:p>
    <w:p>
      <w:pPr>
        <w:pStyle w:val="Heading2"/>
      </w:pPr>
      <w:r>
        <w:t>Sumário estrutural</w:t>
      </w:r>
    </w:p>
    <w:p>
      <w:r>
        <w:t>1. Visão geral</w:t>
      </w:r>
    </w:p>
    <w:p>
      <w:r>
        <w:t>2. Objetivos e escopo</w:t>
      </w:r>
    </w:p>
    <w:p>
      <w:r>
        <w:t>3. Conceitos e glossário</w:t>
      </w:r>
    </w:p>
    <w:p>
      <w:r>
        <w:t>4. Modelo organizacional</w:t>
      </w:r>
    </w:p>
    <w:p>
      <w:r>
        <w:t>5. Perfis e controle de acesso</w:t>
      </w:r>
    </w:p>
    <w:p>
      <w:r>
        <w:t>6. Ciclo anual e configuração do exercício</w:t>
      </w:r>
    </w:p>
    <w:p>
      <w:r>
        <w:t>7. Entregas</w:t>
      </w:r>
    </w:p>
    <w:p>
      <w:r>
        <w:t>8. Indicadores e periodicidade</w:t>
      </w:r>
    </w:p>
    <w:p>
      <w:r>
        <w:t>9. Relatório bimestral</w:t>
      </w:r>
    </w:p>
    <w:p>
      <w:r>
        <w:t>10. Estados, salvamento, envio e edição</w:t>
      </w:r>
    </w:p>
    <w:p>
      <w:r>
        <w:t>11. Reabertura excepcional</w:t>
      </w:r>
    </w:p>
    <w:p>
      <w:r>
        <w:t>12. Destaques e dificuldades</w:t>
      </w:r>
    </w:p>
    <w:p>
      <w:r>
        <w:t>13. Feedback do Superintendente</w:t>
      </w:r>
    </w:p>
    <w:p>
      <w:r>
        <w:t>14. Visualização consolidada</w:t>
      </w:r>
    </w:p>
    <w:p>
      <w:r>
        <w:t>15. Dashboard de acompanhamento</w:t>
      </w:r>
    </w:p>
    <w:p>
      <w:r>
        <w:t>16. Notificações</w:t>
      </w:r>
    </w:p>
    <w:p>
      <w:r>
        <w:t>17. Auditoria e histórico</w:t>
      </w:r>
    </w:p>
    <w:p>
      <w:r>
        <w:t>18. Modelo de dados conceitual</w:t>
      </w:r>
    </w:p>
    <w:p>
      <w:r>
        <w:t>19. Requisitos não funcionais</w:t>
      </w:r>
    </w:p>
    <w:p>
      <w:r>
        <w:t>20. Critérios de aceite</w:t>
      </w:r>
    </w:p>
    <w:p>
      <w:r>
        <w:t>21. Estratégia recomendada de implementação</w:t>
      </w:r>
    </w:p>
    <w:p>
      <w:r>
        <w:t>22. Pendências e evoluções futuras</w:t>
      </w:r>
    </w:p>
    <w:p>
      <w:r>
        <w:br w:type="page"/>
      </w:r>
    </w:p>
    <w:p>
      <w:pPr>
        <w:pStyle w:val="Heading1"/>
      </w:pPr>
      <w:r>
        <w:t>1. Visão geral</w:t>
      </w:r>
    </w:p>
    <w:p>
      <w:r>
        <w:t>O Portal de Relatórios de Gestão HC-UFPE será uma aplicação web destinada ao planejamento anual, coleta bimestral, acompanhamento e consulta de informações de gestão das Unidades Organizacionais (UORGs) do Hospital das Clínicas da Universidade Federal de Pernambuco.</w:t>
      </w:r>
    </w:p>
    <w:p>
      <w:r>
        <w:t>Em cada ciclo bimestral, as chefias informarão quatro grupos principais de informação: entregas concluídas no período, resultados dos indicadores, principais destaques e principais dificuldades. O sistema consolidará esses dados ao longo do exercício e os disponibilizará conforme o nível hierárquico e o perfil de acesso do usuário.</w:t>
      </w:r>
    </w:p>
    <w:p>
      <w:pPr>
        <w:pStyle w:val="Decision"/>
      </w:pPr>
      <w:r>
        <w:t>DECISÃO APROVADA — O bimestre será a janela operacional padrão do relatório. A periodicidade própria de cada indicador determinará quais competências e quantos campos deverão ser solicitados dentro dessa janela.</w:t>
      </w:r>
    </w:p>
    <w:p>
      <w:pPr>
        <w:pStyle w:val="Heading1"/>
      </w:pPr>
      <w:r>
        <w:t>2. Objetivos e escopo</w:t>
      </w:r>
    </w:p>
    <w:p>
      <w:pPr>
        <w:pStyle w:val="Heading2"/>
      </w:pPr>
      <w:r>
        <w:t>2.1 Objetivos</w:t>
      </w:r>
    </w:p>
    <w:p>
      <w:pPr>
        <w:pStyle w:val="ListBullet"/>
      </w:pPr>
      <w:r>
        <w:t>Padronizar a coleta bimestral de informações de gestão.</w:t>
      </w:r>
    </w:p>
    <w:p>
      <w:pPr>
        <w:pStyle w:val="ListBullet"/>
      </w:pPr>
      <w:r>
        <w:t>Reduzir controles paralelos e consolidações manuais.</w:t>
      </w:r>
    </w:p>
    <w:p>
      <w:pPr>
        <w:pStyle w:val="ListBullet"/>
      </w:pPr>
      <w:r>
        <w:t>Permitir acompanhamento longitudinal das entregas e indicadores ao longo do ano.</w:t>
      </w:r>
    </w:p>
    <w:p>
      <w:pPr>
        <w:pStyle w:val="ListBullet"/>
      </w:pPr>
      <w:r>
        <w:t>Dar visibilidade hierárquica adequada a Chefes, Gerentes, Superintendente e Administradores.</w:t>
      </w:r>
    </w:p>
    <w:p>
      <w:pPr>
        <w:pStyle w:val="ListBullet"/>
      </w:pPr>
      <w:r>
        <w:t>Preservar histórico por exercício e por bimestre.</w:t>
      </w:r>
    </w:p>
    <w:p>
      <w:pPr>
        <w:pStyle w:val="ListBullet"/>
      </w:pPr>
      <w:r>
        <w:t>Permitir rastreabilidade de envios, alterações, reaberturas e intervenções administrativas.</w:t>
      </w:r>
    </w:p>
    <w:p>
      <w:pPr>
        <w:pStyle w:val="ListBullet"/>
      </w:pPr>
      <w:r>
        <w:t>Oferecer uma experiência de preenchimento orientada, com mensagens claras sobre periodicidade, competência e regras do relatório.</w:t>
      </w:r>
    </w:p>
    <w:p>
      <w:pPr>
        <w:pStyle w:val="Heading2"/>
      </w:pPr>
      <w:r>
        <w:t>2.2 Escopo funcional da v1.0</w:t>
      </w:r>
    </w:p>
    <w:p>
      <w:pPr>
        <w:pStyle w:val="ListBullet"/>
      </w:pPr>
      <w:r>
        <w:t>Autenticação via Active Directory (AD) com autorização local na aplicação.</w:t>
      </w:r>
    </w:p>
    <w:p>
      <w:pPr>
        <w:pStyle w:val="ListBullet"/>
      </w:pPr>
      <w:r>
        <w:t>Cadastro e gestão de usuários, perfis, Gerências e UORGs.</w:t>
      </w:r>
    </w:p>
    <w:p>
      <w:pPr>
        <w:pStyle w:val="ListBullet"/>
      </w:pPr>
      <w:r>
        <w:t>Configuração do exercício anual.</w:t>
      </w:r>
    </w:p>
    <w:p>
      <w:pPr>
        <w:pStyle w:val="ListBullet"/>
      </w:pPr>
      <w:r>
        <w:t>Cadastro e manutenção anual de entregas e indicadores.</w:t>
      </w:r>
    </w:p>
    <w:p>
      <w:pPr>
        <w:pStyle w:val="ListBullet"/>
      </w:pPr>
      <w:r>
        <w:t>Abertura e encerramento de períodos bimestrais.</w:t>
      </w:r>
    </w:p>
    <w:p>
      <w:pPr>
        <w:pStyle w:val="ListBullet"/>
      </w:pPr>
      <w:r>
        <w:t>Preenchimento, salvamento, envio, edição e reenvio de relatórios.</w:t>
      </w:r>
    </w:p>
    <w:p>
      <w:pPr>
        <w:pStyle w:val="ListBullet"/>
      </w:pPr>
      <w:r>
        <w:t>Reabertura excepcional de relatórios encerrados por UORG e bimestre.</w:t>
      </w:r>
    </w:p>
    <w:p>
      <w:pPr>
        <w:pStyle w:val="ListBullet"/>
      </w:pPr>
      <w:r>
        <w:t>Visualização consolidada anual/bimestral.</w:t>
      </w:r>
    </w:p>
    <w:p>
      <w:pPr>
        <w:pStyle w:val="ListBullet"/>
      </w:pPr>
      <w:r>
        <w:t>Feedback do Superintendente.</w:t>
      </w:r>
    </w:p>
    <w:p>
      <w:pPr>
        <w:pStyle w:val="ListBullet"/>
      </w:pPr>
      <w:r>
        <w:t>Dashboards de acompanhamento de enviados/pendentes.</w:t>
      </w:r>
    </w:p>
    <w:p>
      <w:pPr>
        <w:pStyle w:val="ListBullet"/>
      </w:pPr>
      <w:r>
        <w:t>Auditoria das ações críticas.</w:t>
      </w:r>
    </w:p>
    <w:p>
      <w:pPr>
        <w:pStyle w:val="ListBullet"/>
      </w:pPr>
      <w:r>
        <w:t>Histórico por exercício.</w:t>
      </w:r>
    </w:p>
    <w:p>
      <w:pPr>
        <w:pStyle w:val="Heading2"/>
      </w:pPr>
      <w:r>
        <w:t>2.3 Fora do escopo obrigatório inicial</w:t>
      </w:r>
    </w:p>
    <w:p>
      <w:pPr>
        <w:pStyle w:val="ListBullet"/>
      </w:pPr>
      <w:r>
        <w:t>Envio de e-mail institucional como mecanismo obrigatório de notificação.</w:t>
      </w:r>
    </w:p>
    <w:p>
      <w:pPr>
        <w:pStyle w:val="ListBullet"/>
      </w:pPr>
      <w:r>
        <w:t>Integração automática com outras bases corporativas além da autenticação AD.</w:t>
      </w:r>
    </w:p>
    <w:p>
      <w:pPr>
        <w:pStyle w:val="ListBullet"/>
      </w:pPr>
      <w:r>
        <w:t>Aplicativo móvel nativo.</w:t>
      </w:r>
    </w:p>
    <w:p>
      <w:pPr>
        <w:pStyle w:val="ListBullet"/>
      </w:pPr>
      <w:r>
        <w:t>Workflow formal de aprovação em múltiplas etapas após o envio do relatório.</w:t>
      </w:r>
    </w:p>
    <w:p>
      <w:pPr>
        <w:pStyle w:val="ListBullet"/>
      </w:pPr>
      <w:r>
        <w:t>Assinatura digital do relatório.</w:t>
      </w:r>
    </w:p>
    <w:p>
      <w:pPr>
        <w:pStyle w:val="Heading1"/>
      </w:pPr>
      <w:r>
        <w:t>3. Conceitos e glossário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  <w:cantSplit/>
        </w:trPr>
        <w:tc>
          <w:tcPr>
            <w:tcW w:type="dxa" w:w="4929"/>
            <w:shd w:fill="112641"/>
            <w:vAlign w:val="center"/>
          </w:tcPr>
          <w:p>
            <w:r>
              <w:rPr>
                <w:b/>
                <w:color w:val="FFFFFF"/>
                <w:sz w:val="18"/>
              </w:rPr>
              <w:t>Termo</w:t>
            </w:r>
          </w:p>
        </w:tc>
        <w:tc>
          <w:tcPr>
            <w:tcW w:type="dxa" w:w="4929"/>
            <w:shd w:fill="112641"/>
            <w:vAlign w:val="center"/>
          </w:tcPr>
          <w:p>
            <w:r>
              <w:rPr>
                <w:b/>
                <w:color w:val="FFFFFF"/>
                <w:sz w:val="18"/>
              </w:rPr>
              <w:t>Definição</w:t>
            </w:r>
          </w:p>
        </w:tc>
      </w:tr>
      <w:tr>
        <w:trPr>
          <w:cantSplit/>
        </w:trPr>
        <w:tc>
          <w:tcPr>
            <w:tcW w:type="dxa" w:w="4929"/>
            <w:vAlign w:val="top"/>
          </w:tcPr>
          <w:p>
            <w:r>
              <w:rPr>
                <w:sz w:val="17"/>
              </w:rPr>
              <w:t>Exercício</w:t>
            </w:r>
          </w:p>
        </w:tc>
        <w:tc>
          <w:tcPr>
            <w:tcW w:type="dxa" w:w="4929"/>
            <w:vAlign w:val="top"/>
          </w:tcPr>
          <w:p>
            <w:r>
              <w:rPr>
                <w:sz w:val="17"/>
              </w:rPr>
              <w:t>Ano de referência ao qual pertencem planejamento, entregas, indicadores, relatórios e resultados.</w:t>
            </w:r>
          </w:p>
        </w:tc>
      </w:tr>
      <w:tr>
        <w:trPr>
          <w:cantSplit/>
        </w:trPr>
        <w:tc>
          <w:tcPr>
            <w:tcW w:type="dxa" w:w="4929"/>
            <w:vAlign w:val="top"/>
          </w:tcPr>
          <w:p>
            <w:r>
              <w:rPr>
                <w:sz w:val="17"/>
              </w:rPr>
              <w:t>Bimestre (BI)</w:t>
            </w:r>
          </w:p>
        </w:tc>
        <w:tc>
          <w:tcPr>
            <w:tcW w:type="dxa" w:w="4929"/>
            <w:vAlign w:val="top"/>
          </w:tcPr>
          <w:p>
            <w:r>
              <w:rPr>
                <w:sz w:val="17"/>
              </w:rPr>
              <w:t>Janela de coleta com dois meses. O exercício possui seis bimestres.</w:t>
            </w:r>
          </w:p>
        </w:tc>
      </w:tr>
      <w:tr>
        <w:trPr>
          <w:cantSplit/>
        </w:trPr>
        <w:tc>
          <w:tcPr>
            <w:tcW w:type="dxa" w:w="4929"/>
            <w:vAlign w:val="top"/>
          </w:tcPr>
          <w:p>
            <w:r>
              <w:rPr>
                <w:sz w:val="17"/>
              </w:rPr>
              <w:t>UORG</w:t>
            </w:r>
          </w:p>
        </w:tc>
        <w:tc>
          <w:tcPr>
            <w:tcW w:type="dxa" w:w="4929"/>
            <w:vAlign w:val="top"/>
          </w:tcPr>
          <w:p>
            <w:r>
              <w:rPr>
                <w:sz w:val="17"/>
              </w:rPr>
              <w:t>Unidade Organizacional responsável por informar o relatório.</w:t>
            </w:r>
          </w:p>
        </w:tc>
      </w:tr>
      <w:tr>
        <w:trPr>
          <w:cantSplit/>
        </w:trPr>
        <w:tc>
          <w:tcPr>
            <w:tcW w:type="dxa" w:w="4929"/>
            <w:vAlign w:val="top"/>
          </w:tcPr>
          <w:p>
            <w:r>
              <w:rPr>
                <w:sz w:val="17"/>
              </w:rPr>
              <w:t>Gerência</w:t>
            </w:r>
          </w:p>
        </w:tc>
        <w:tc>
          <w:tcPr>
            <w:tcW w:type="dxa" w:w="4929"/>
            <w:vAlign w:val="top"/>
          </w:tcPr>
          <w:p>
            <w:r>
              <w:rPr>
                <w:sz w:val="17"/>
              </w:rPr>
              <w:t>Agrupamento hierárquico superior de UORGs.</w:t>
            </w:r>
          </w:p>
        </w:tc>
      </w:tr>
      <w:tr>
        <w:trPr>
          <w:cantSplit/>
        </w:trPr>
        <w:tc>
          <w:tcPr>
            <w:tcW w:type="dxa" w:w="4929"/>
            <w:vAlign w:val="top"/>
          </w:tcPr>
          <w:p>
            <w:r>
              <w:rPr>
                <w:sz w:val="17"/>
              </w:rPr>
              <w:t>Entrega</w:t>
            </w:r>
          </w:p>
        </w:tc>
        <w:tc>
          <w:tcPr>
            <w:tcW w:type="dxa" w:w="4929"/>
            <w:vAlign w:val="top"/>
          </w:tcPr>
          <w:p>
            <w:r>
              <w:rPr>
                <w:sz w:val="17"/>
              </w:rPr>
              <w:t>Resultado/ação prevista para conclusão ao longo do exercício.</w:t>
            </w:r>
          </w:p>
        </w:tc>
      </w:tr>
      <w:tr>
        <w:trPr>
          <w:cantSplit/>
        </w:trPr>
        <w:tc>
          <w:tcPr>
            <w:tcW w:type="dxa" w:w="4929"/>
            <w:vAlign w:val="top"/>
          </w:tcPr>
          <w:p>
            <w:r>
              <w:rPr>
                <w:sz w:val="17"/>
              </w:rPr>
              <w:t>Indicador</w:t>
            </w:r>
          </w:p>
        </w:tc>
        <w:tc>
          <w:tcPr>
            <w:tcW w:type="dxa" w:w="4929"/>
            <w:vAlign w:val="top"/>
          </w:tcPr>
          <w:p>
            <w:r>
              <w:rPr>
                <w:sz w:val="17"/>
              </w:rPr>
              <w:t>Métrica de acompanhamento com periodicidade, meta, unidade e critério de atingimento.</w:t>
            </w:r>
          </w:p>
        </w:tc>
      </w:tr>
      <w:tr>
        <w:trPr>
          <w:cantSplit/>
        </w:trPr>
        <w:tc>
          <w:tcPr>
            <w:tcW w:type="dxa" w:w="4929"/>
            <w:vAlign w:val="top"/>
          </w:tcPr>
          <w:p>
            <w:r>
              <w:rPr>
                <w:sz w:val="17"/>
              </w:rPr>
              <w:t>Competência</w:t>
            </w:r>
          </w:p>
        </w:tc>
        <w:tc>
          <w:tcPr>
            <w:tcW w:type="dxa" w:w="4929"/>
            <w:vAlign w:val="top"/>
          </w:tcPr>
          <w:p>
            <w:r>
              <w:rPr>
                <w:sz w:val="17"/>
              </w:rPr>
              <w:t>Período real ao qual um resultado de indicador se refere.</w:t>
            </w:r>
          </w:p>
        </w:tc>
      </w:tr>
      <w:tr>
        <w:trPr>
          <w:cantSplit/>
        </w:trPr>
        <w:tc>
          <w:tcPr>
            <w:tcW w:type="dxa" w:w="4929"/>
            <w:vAlign w:val="top"/>
          </w:tcPr>
          <w:p>
            <w:r>
              <w:rPr>
                <w:sz w:val="17"/>
              </w:rPr>
              <w:t>Janela regular</w:t>
            </w:r>
          </w:p>
        </w:tc>
        <w:tc>
          <w:tcPr>
            <w:tcW w:type="dxa" w:w="4929"/>
            <w:vAlign w:val="top"/>
          </w:tcPr>
          <w:p>
            <w:r>
              <w:rPr>
                <w:sz w:val="17"/>
              </w:rPr>
              <w:t>Período definido pelo Administrador em que o relatório do bimestre pode ser preenchido.</w:t>
            </w:r>
          </w:p>
        </w:tc>
      </w:tr>
      <w:tr>
        <w:trPr>
          <w:cantSplit/>
        </w:trPr>
        <w:tc>
          <w:tcPr>
            <w:tcW w:type="dxa" w:w="4929"/>
            <w:vAlign w:val="top"/>
          </w:tcPr>
          <w:p>
            <w:r>
              <w:rPr>
                <w:sz w:val="17"/>
              </w:rPr>
              <w:t>Prazo excepcional</w:t>
            </w:r>
          </w:p>
        </w:tc>
        <w:tc>
          <w:tcPr>
            <w:tcW w:type="dxa" w:w="4929"/>
            <w:vAlign w:val="top"/>
          </w:tcPr>
          <w:p>
            <w:r>
              <w:rPr>
                <w:sz w:val="17"/>
              </w:rPr>
              <w:t>Autorização específica concedida pelo Administrador para uma UORG preencher/editar um bimestre já encerrado.</w:t>
            </w:r>
          </w:p>
        </w:tc>
      </w:tr>
      <w:tr>
        <w:trPr>
          <w:cantSplit/>
        </w:trPr>
        <w:tc>
          <w:tcPr>
            <w:tcW w:type="dxa" w:w="4929"/>
            <w:vAlign w:val="top"/>
          </w:tcPr>
          <w:p>
            <w:r>
              <w:rPr>
                <w:sz w:val="17"/>
              </w:rPr>
              <w:t>Relatório</w:t>
            </w:r>
          </w:p>
        </w:tc>
        <w:tc>
          <w:tcPr>
            <w:tcW w:type="dxa" w:w="4929"/>
            <w:vAlign w:val="top"/>
          </w:tcPr>
          <w:p>
            <w:r>
              <w:rPr>
                <w:sz w:val="17"/>
              </w:rPr>
              <w:t>Conjunto de informações de uma UORG para um bimestre e exercício.</w:t>
            </w:r>
          </w:p>
        </w:tc>
      </w:tr>
      <w:tr>
        <w:trPr>
          <w:cantSplit/>
        </w:trPr>
        <w:tc>
          <w:tcPr>
            <w:tcW w:type="dxa" w:w="4929"/>
            <w:vAlign w:val="top"/>
          </w:tcPr>
          <w:p>
            <w:r>
              <w:rPr>
                <w:sz w:val="17"/>
              </w:rPr>
              <w:t>Rascunho</w:t>
            </w:r>
          </w:p>
        </w:tc>
        <w:tc>
          <w:tcPr>
            <w:tcW w:type="dxa" w:w="4929"/>
            <w:vAlign w:val="top"/>
          </w:tcPr>
          <w:p>
            <w:r>
              <w:rPr>
                <w:sz w:val="17"/>
              </w:rPr>
              <w:t>Relatório iniciado e salvo, mas ainda não formalmente enviado.</w:t>
            </w:r>
          </w:p>
        </w:tc>
      </w:tr>
      <w:tr>
        <w:trPr>
          <w:cantSplit/>
        </w:trPr>
        <w:tc>
          <w:tcPr>
            <w:tcW w:type="dxa" w:w="4929"/>
            <w:vAlign w:val="top"/>
          </w:tcPr>
          <w:p>
            <w:r>
              <w:rPr>
                <w:sz w:val="17"/>
              </w:rPr>
              <w:t>Reenvio</w:t>
            </w:r>
          </w:p>
        </w:tc>
        <w:tc>
          <w:tcPr>
            <w:tcW w:type="dxa" w:w="4929"/>
            <w:vAlign w:val="top"/>
          </w:tcPr>
          <w:p>
            <w:r>
              <w:rPr>
                <w:sz w:val="17"/>
              </w:rPr>
              <w:t>Nova confirmação formal após alteração de relatório previamente enviado durante janela permitida.</w:t>
            </w:r>
          </w:p>
        </w:tc>
      </w:tr>
    </w:tbl>
    <w:p>
      <w:pPr>
        <w:pStyle w:val="Heading1"/>
      </w:pPr>
      <w:r>
        <w:t>4. Modelo organizacional</w:t>
      </w:r>
    </w:p>
    <w:p>
      <w:pPr>
        <w:pStyle w:val="Heading2"/>
      </w:pPr>
      <w:r>
        <w:t>4.1 Gerências</w:t>
      </w:r>
    </w:p>
    <w:p>
      <w:pPr>
        <w:pStyle w:val="ListBullet"/>
      </w:pPr>
      <w:r>
        <w:t>Superintendência</w:t>
      </w:r>
    </w:p>
    <w:p>
      <w:pPr>
        <w:pStyle w:val="ListBullet"/>
      </w:pPr>
      <w:r>
        <w:t>Gerência Administrativa</w:t>
      </w:r>
    </w:p>
    <w:p>
      <w:pPr>
        <w:pStyle w:val="ListBullet"/>
      </w:pPr>
      <w:r>
        <w:t>Gerência de Atenção à Saúde</w:t>
      </w:r>
    </w:p>
    <w:p>
      <w:pPr>
        <w:pStyle w:val="ListBullet"/>
      </w:pPr>
      <w:r>
        <w:t>Gerência de Ensino e Pesquisa</w:t>
      </w:r>
    </w:p>
    <w:p>
      <w:pPr>
        <w:pStyle w:val="Heading2"/>
      </w:pPr>
      <w:r>
        <w:t>4.2 Carga inicial de Unidades Organizacionais</w:t>
      </w:r>
    </w:p>
    <w:p>
      <w:r>
        <w:t>As UORGs abaixo devem ser tratadas como carga inicial de dados e não como valores fixos no código. O Administrador deverá possuir meios de ativar/inativar unidades e manter a estrutura organizacional atual sem alterar o histórico dos exercícios anteriores.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  <w:cantSplit/>
        </w:trPr>
        <w:tc>
          <w:tcPr>
            <w:tcW w:type="dxa" w:w="3286"/>
            <w:shd w:fill="112641"/>
            <w:vAlign w:val="center"/>
          </w:tcPr>
          <w:p>
            <w:r>
              <w:rPr>
                <w:b/>
                <w:color w:val="FFFFFF"/>
                <w:sz w:val="18"/>
              </w:rPr>
              <w:t>Gerência</w:t>
            </w:r>
          </w:p>
        </w:tc>
        <w:tc>
          <w:tcPr>
            <w:tcW w:type="dxa" w:w="3286"/>
            <w:shd w:fill="112641"/>
            <w:vAlign w:val="center"/>
          </w:tcPr>
          <w:p>
            <w:r>
              <w:rPr>
                <w:b/>
                <w:color w:val="FFFFFF"/>
                <w:sz w:val="18"/>
              </w:rPr>
              <w:t>Unidade Organizacional</w:t>
            </w:r>
          </w:p>
        </w:tc>
        <w:tc>
          <w:tcPr>
            <w:tcW w:type="dxa" w:w="3286"/>
            <w:shd w:fill="112641"/>
            <w:vAlign w:val="center"/>
          </w:tcPr>
          <w:p>
            <w:r>
              <w:rPr>
                <w:b/>
                <w:color w:val="FFFFFF"/>
                <w:sz w:val="18"/>
              </w:rPr>
              <w:t>Perfil esperado na unidade</w:t>
            </w:r>
          </w:p>
        </w:tc>
      </w:tr>
      <w:tr>
        <w:trPr>
          <w:cantSplit/>
        </w:trPr>
        <w:tc>
          <w:tcPr>
            <w:tcW w:type="dxa" w:w="3286"/>
            <w:vAlign w:val="top"/>
          </w:tcPr>
          <w:p>
            <w:r>
              <w:rPr>
                <w:sz w:val="17"/>
              </w:rPr>
              <w:t>Superintendência</w:t>
            </w:r>
          </w:p>
        </w:tc>
        <w:tc>
          <w:tcPr>
            <w:tcW w:type="dxa" w:w="3286"/>
            <w:vAlign w:val="top"/>
          </w:tcPr>
          <w:p>
            <w:r>
              <w:rPr>
                <w:sz w:val="17"/>
              </w:rPr>
              <w:t>Superintendência</w:t>
            </w:r>
          </w:p>
        </w:tc>
        <w:tc>
          <w:tcPr>
            <w:tcW w:type="dxa" w:w="3286"/>
            <w:vAlign w:val="top"/>
          </w:tcPr>
          <w:p>
            <w:r>
              <w:rPr>
                <w:sz w:val="17"/>
              </w:rPr>
              <w:t>Superintendente</w:t>
            </w:r>
          </w:p>
        </w:tc>
      </w:tr>
      <w:tr>
        <w:trPr>
          <w:cantSplit/>
        </w:trPr>
        <w:tc>
          <w:tcPr>
            <w:tcW w:type="dxa" w:w="3286"/>
            <w:vAlign w:val="top"/>
          </w:tcPr>
          <w:p>
            <w:r>
              <w:rPr>
                <w:sz w:val="17"/>
              </w:rPr>
              <w:t>Superintendência</w:t>
            </w:r>
          </w:p>
        </w:tc>
        <w:tc>
          <w:tcPr>
            <w:tcW w:type="dxa" w:w="3286"/>
            <w:vAlign w:val="top"/>
          </w:tcPr>
          <w:p>
            <w:r>
              <w:rPr>
                <w:sz w:val="17"/>
              </w:rPr>
              <w:t>Setor de Gestão da Qualidade</w:t>
            </w:r>
          </w:p>
        </w:tc>
        <w:tc>
          <w:tcPr>
            <w:tcW w:type="dxa" w:w="3286"/>
            <w:vAlign w:val="top"/>
          </w:tcPr>
          <w:p>
            <w:r>
              <w:rPr>
                <w:sz w:val="17"/>
              </w:rPr>
              <w:t>Chefe</w:t>
            </w:r>
          </w:p>
        </w:tc>
      </w:tr>
      <w:tr>
        <w:trPr>
          <w:cantSplit/>
        </w:trPr>
        <w:tc>
          <w:tcPr>
            <w:tcW w:type="dxa" w:w="3286"/>
            <w:vAlign w:val="top"/>
          </w:tcPr>
          <w:p>
            <w:r>
              <w:rPr>
                <w:sz w:val="17"/>
              </w:rPr>
              <w:t>Superintendência</w:t>
            </w:r>
          </w:p>
        </w:tc>
        <w:tc>
          <w:tcPr>
            <w:tcW w:type="dxa" w:w="3286"/>
            <w:vAlign w:val="top"/>
          </w:tcPr>
          <w:p>
            <w:r>
              <w:rPr>
                <w:sz w:val="17"/>
              </w:rPr>
              <w:t>Setor de Governança e Estratégia</w:t>
            </w:r>
          </w:p>
        </w:tc>
        <w:tc>
          <w:tcPr>
            <w:tcW w:type="dxa" w:w="3286"/>
            <w:vAlign w:val="top"/>
          </w:tcPr>
          <w:p>
            <w:r>
              <w:rPr>
                <w:sz w:val="17"/>
              </w:rPr>
              <w:t>Chefe</w:t>
            </w:r>
          </w:p>
        </w:tc>
      </w:tr>
      <w:tr>
        <w:trPr>
          <w:cantSplit/>
        </w:trPr>
        <w:tc>
          <w:tcPr>
            <w:tcW w:type="dxa" w:w="3286"/>
            <w:vAlign w:val="top"/>
          </w:tcPr>
          <w:p>
            <w:r>
              <w:rPr>
                <w:sz w:val="17"/>
              </w:rPr>
              <w:t>Superintendência</w:t>
            </w:r>
          </w:p>
        </w:tc>
        <w:tc>
          <w:tcPr>
            <w:tcW w:type="dxa" w:w="3286"/>
            <w:vAlign w:val="top"/>
          </w:tcPr>
          <w:p>
            <w:r>
              <w:rPr>
                <w:sz w:val="17"/>
              </w:rPr>
              <w:t>Setor de Tecnologia da Informação e Saúde Digital</w:t>
            </w:r>
          </w:p>
        </w:tc>
        <w:tc>
          <w:tcPr>
            <w:tcW w:type="dxa" w:w="3286"/>
            <w:vAlign w:val="top"/>
          </w:tcPr>
          <w:p>
            <w:r>
              <w:rPr>
                <w:sz w:val="17"/>
              </w:rPr>
              <w:t>Chefe</w:t>
            </w:r>
          </w:p>
        </w:tc>
      </w:tr>
      <w:tr>
        <w:trPr>
          <w:cantSplit/>
        </w:trPr>
        <w:tc>
          <w:tcPr>
            <w:tcW w:type="dxa" w:w="3286"/>
            <w:vAlign w:val="top"/>
          </w:tcPr>
          <w:p>
            <w:r>
              <w:rPr>
                <w:sz w:val="17"/>
              </w:rPr>
              <w:t>Superintendência</w:t>
            </w:r>
          </w:p>
        </w:tc>
        <w:tc>
          <w:tcPr>
            <w:tcW w:type="dxa" w:w="3286"/>
            <w:vAlign w:val="top"/>
          </w:tcPr>
          <w:p>
            <w:r>
              <w:rPr>
                <w:sz w:val="17"/>
              </w:rPr>
              <w:t>Setor de Contratualização e Regulação</w:t>
            </w:r>
          </w:p>
        </w:tc>
        <w:tc>
          <w:tcPr>
            <w:tcW w:type="dxa" w:w="3286"/>
            <w:vAlign w:val="top"/>
          </w:tcPr>
          <w:p>
            <w:r>
              <w:rPr>
                <w:sz w:val="17"/>
              </w:rPr>
              <w:t>Chefe</w:t>
            </w:r>
          </w:p>
        </w:tc>
      </w:tr>
      <w:tr>
        <w:trPr>
          <w:cantSplit/>
        </w:trPr>
        <w:tc>
          <w:tcPr>
            <w:tcW w:type="dxa" w:w="3286"/>
            <w:vAlign w:val="top"/>
          </w:tcPr>
          <w:p>
            <w:r>
              <w:rPr>
                <w:sz w:val="17"/>
              </w:rPr>
              <w:t>Gerência Administrativa</w:t>
            </w:r>
          </w:p>
        </w:tc>
        <w:tc>
          <w:tcPr>
            <w:tcW w:type="dxa" w:w="3286"/>
            <w:vAlign w:val="top"/>
          </w:tcPr>
          <w:p>
            <w:r>
              <w:rPr>
                <w:sz w:val="17"/>
              </w:rPr>
              <w:t>Gerência Administrativa</w:t>
            </w:r>
          </w:p>
        </w:tc>
        <w:tc>
          <w:tcPr>
            <w:tcW w:type="dxa" w:w="3286"/>
            <w:vAlign w:val="top"/>
          </w:tcPr>
          <w:p>
            <w:r>
              <w:rPr>
                <w:sz w:val="17"/>
              </w:rPr>
              <w:t>Gerente</w:t>
            </w:r>
          </w:p>
        </w:tc>
      </w:tr>
      <w:tr>
        <w:trPr>
          <w:cantSplit/>
        </w:trPr>
        <w:tc>
          <w:tcPr>
            <w:tcW w:type="dxa" w:w="3286"/>
            <w:vAlign w:val="top"/>
          </w:tcPr>
          <w:p>
            <w:r>
              <w:rPr>
                <w:sz w:val="17"/>
              </w:rPr>
              <w:t>Gerência Administrativa</w:t>
            </w:r>
          </w:p>
        </w:tc>
        <w:tc>
          <w:tcPr>
            <w:tcW w:type="dxa" w:w="3286"/>
            <w:vAlign w:val="top"/>
          </w:tcPr>
          <w:p>
            <w:r>
              <w:rPr>
                <w:sz w:val="17"/>
              </w:rPr>
              <w:t>Divisão de Administração e Finanças</w:t>
            </w:r>
          </w:p>
        </w:tc>
        <w:tc>
          <w:tcPr>
            <w:tcW w:type="dxa" w:w="3286"/>
            <w:vAlign w:val="top"/>
          </w:tcPr>
          <w:p>
            <w:r>
              <w:rPr>
                <w:sz w:val="17"/>
              </w:rPr>
              <w:t>Chefe</w:t>
            </w:r>
          </w:p>
        </w:tc>
      </w:tr>
      <w:tr>
        <w:trPr>
          <w:cantSplit/>
        </w:trPr>
        <w:tc>
          <w:tcPr>
            <w:tcW w:type="dxa" w:w="3286"/>
            <w:vAlign w:val="top"/>
          </w:tcPr>
          <w:p>
            <w:r>
              <w:rPr>
                <w:sz w:val="17"/>
              </w:rPr>
              <w:t>Gerência Administrativa</w:t>
            </w:r>
          </w:p>
        </w:tc>
        <w:tc>
          <w:tcPr>
            <w:tcW w:type="dxa" w:w="3286"/>
            <w:vAlign w:val="top"/>
          </w:tcPr>
          <w:p>
            <w:r>
              <w:rPr>
                <w:sz w:val="17"/>
              </w:rPr>
              <w:t>Setor de Administração</w:t>
            </w:r>
          </w:p>
        </w:tc>
        <w:tc>
          <w:tcPr>
            <w:tcW w:type="dxa" w:w="3286"/>
            <w:vAlign w:val="top"/>
          </w:tcPr>
          <w:p>
            <w:r>
              <w:rPr>
                <w:sz w:val="17"/>
              </w:rPr>
              <w:t>Chefe</w:t>
            </w:r>
          </w:p>
        </w:tc>
      </w:tr>
      <w:tr>
        <w:trPr>
          <w:cantSplit/>
        </w:trPr>
        <w:tc>
          <w:tcPr>
            <w:tcW w:type="dxa" w:w="3286"/>
            <w:vAlign w:val="top"/>
          </w:tcPr>
          <w:p>
            <w:r>
              <w:rPr>
                <w:sz w:val="17"/>
              </w:rPr>
              <w:t>Gerência Administrativa</w:t>
            </w:r>
          </w:p>
        </w:tc>
        <w:tc>
          <w:tcPr>
            <w:tcW w:type="dxa" w:w="3286"/>
            <w:vAlign w:val="top"/>
          </w:tcPr>
          <w:p>
            <w:r>
              <w:rPr>
                <w:sz w:val="17"/>
              </w:rPr>
              <w:t>Setor de Gestão Orçamentária e Financeira</w:t>
            </w:r>
          </w:p>
        </w:tc>
        <w:tc>
          <w:tcPr>
            <w:tcW w:type="dxa" w:w="3286"/>
            <w:vAlign w:val="top"/>
          </w:tcPr>
          <w:p>
            <w:r>
              <w:rPr>
                <w:sz w:val="17"/>
              </w:rPr>
              <w:t>Chefe</w:t>
            </w:r>
          </w:p>
        </w:tc>
      </w:tr>
      <w:tr>
        <w:trPr>
          <w:cantSplit/>
        </w:trPr>
        <w:tc>
          <w:tcPr>
            <w:tcW w:type="dxa" w:w="3286"/>
            <w:vAlign w:val="top"/>
          </w:tcPr>
          <w:p>
            <w:r>
              <w:rPr>
                <w:sz w:val="17"/>
              </w:rPr>
              <w:t>Gerência Administrativa</w:t>
            </w:r>
          </w:p>
        </w:tc>
        <w:tc>
          <w:tcPr>
            <w:tcW w:type="dxa" w:w="3286"/>
            <w:vAlign w:val="top"/>
          </w:tcPr>
          <w:p>
            <w:r>
              <w:rPr>
                <w:sz w:val="17"/>
              </w:rPr>
              <w:t>Setor de Contabilidade</w:t>
            </w:r>
          </w:p>
        </w:tc>
        <w:tc>
          <w:tcPr>
            <w:tcW w:type="dxa" w:w="3286"/>
            <w:vAlign w:val="top"/>
          </w:tcPr>
          <w:p>
            <w:r>
              <w:rPr>
                <w:sz w:val="17"/>
              </w:rPr>
              <w:t>Chefe</w:t>
            </w:r>
          </w:p>
        </w:tc>
      </w:tr>
      <w:tr>
        <w:trPr>
          <w:cantSplit/>
        </w:trPr>
        <w:tc>
          <w:tcPr>
            <w:tcW w:type="dxa" w:w="3286"/>
            <w:vAlign w:val="top"/>
          </w:tcPr>
          <w:p>
            <w:r>
              <w:rPr>
                <w:sz w:val="17"/>
              </w:rPr>
              <w:t>Gerência Administrativa</w:t>
            </w:r>
          </w:p>
        </w:tc>
        <w:tc>
          <w:tcPr>
            <w:tcW w:type="dxa" w:w="3286"/>
            <w:vAlign w:val="top"/>
          </w:tcPr>
          <w:p>
            <w:r>
              <w:rPr>
                <w:sz w:val="17"/>
              </w:rPr>
              <w:t>Divisão de Logística e Infraestrutura</w:t>
            </w:r>
          </w:p>
        </w:tc>
        <w:tc>
          <w:tcPr>
            <w:tcW w:type="dxa" w:w="3286"/>
            <w:vAlign w:val="top"/>
          </w:tcPr>
          <w:p>
            <w:r>
              <w:rPr>
                <w:sz w:val="17"/>
              </w:rPr>
              <w:t>Chefe</w:t>
            </w:r>
          </w:p>
        </w:tc>
      </w:tr>
      <w:tr>
        <w:trPr>
          <w:cantSplit/>
        </w:trPr>
        <w:tc>
          <w:tcPr>
            <w:tcW w:type="dxa" w:w="3286"/>
            <w:vAlign w:val="top"/>
          </w:tcPr>
          <w:p>
            <w:r>
              <w:rPr>
                <w:sz w:val="17"/>
              </w:rPr>
              <w:t>Gerência Administrativa</w:t>
            </w:r>
          </w:p>
        </w:tc>
        <w:tc>
          <w:tcPr>
            <w:tcW w:type="dxa" w:w="3286"/>
            <w:vAlign w:val="top"/>
          </w:tcPr>
          <w:p>
            <w:r>
              <w:rPr>
                <w:sz w:val="17"/>
              </w:rPr>
              <w:t>Setor de Engenharia Clínica</w:t>
            </w:r>
          </w:p>
        </w:tc>
        <w:tc>
          <w:tcPr>
            <w:tcW w:type="dxa" w:w="3286"/>
            <w:vAlign w:val="top"/>
          </w:tcPr>
          <w:p>
            <w:r>
              <w:rPr>
                <w:sz w:val="17"/>
              </w:rPr>
              <w:t>Chefe</w:t>
            </w:r>
          </w:p>
        </w:tc>
      </w:tr>
      <w:tr>
        <w:trPr>
          <w:cantSplit/>
        </w:trPr>
        <w:tc>
          <w:tcPr>
            <w:tcW w:type="dxa" w:w="3286"/>
            <w:vAlign w:val="top"/>
          </w:tcPr>
          <w:p>
            <w:r>
              <w:rPr>
                <w:sz w:val="17"/>
              </w:rPr>
              <w:t>Gerência Administrativa</w:t>
            </w:r>
          </w:p>
        </w:tc>
        <w:tc>
          <w:tcPr>
            <w:tcW w:type="dxa" w:w="3286"/>
            <w:vAlign w:val="top"/>
          </w:tcPr>
          <w:p>
            <w:r>
              <w:rPr>
                <w:sz w:val="17"/>
              </w:rPr>
              <w:t>Setor de Infraestrutura Física</w:t>
            </w:r>
          </w:p>
        </w:tc>
        <w:tc>
          <w:tcPr>
            <w:tcW w:type="dxa" w:w="3286"/>
            <w:vAlign w:val="top"/>
          </w:tcPr>
          <w:p>
            <w:r>
              <w:rPr>
                <w:sz w:val="17"/>
              </w:rPr>
              <w:t>Chefe</w:t>
            </w:r>
          </w:p>
        </w:tc>
      </w:tr>
      <w:tr>
        <w:trPr>
          <w:cantSplit/>
        </w:trPr>
        <w:tc>
          <w:tcPr>
            <w:tcW w:type="dxa" w:w="3286"/>
            <w:vAlign w:val="top"/>
          </w:tcPr>
          <w:p>
            <w:r>
              <w:rPr>
                <w:sz w:val="17"/>
              </w:rPr>
              <w:t>Gerência Administrativa</w:t>
            </w:r>
          </w:p>
        </w:tc>
        <w:tc>
          <w:tcPr>
            <w:tcW w:type="dxa" w:w="3286"/>
            <w:vAlign w:val="top"/>
          </w:tcPr>
          <w:p>
            <w:r>
              <w:rPr>
                <w:sz w:val="17"/>
              </w:rPr>
              <w:t>Setor de Abastecimento Farmacêutico e Suprimentos</w:t>
            </w:r>
          </w:p>
        </w:tc>
        <w:tc>
          <w:tcPr>
            <w:tcW w:type="dxa" w:w="3286"/>
            <w:vAlign w:val="top"/>
          </w:tcPr>
          <w:p>
            <w:r>
              <w:rPr>
                <w:sz w:val="17"/>
              </w:rPr>
              <w:t>Chefe</w:t>
            </w:r>
          </w:p>
        </w:tc>
      </w:tr>
      <w:tr>
        <w:trPr>
          <w:cantSplit/>
        </w:trPr>
        <w:tc>
          <w:tcPr>
            <w:tcW w:type="dxa" w:w="3286"/>
            <w:vAlign w:val="top"/>
          </w:tcPr>
          <w:p>
            <w:r>
              <w:rPr>
                <w:sz w:val="17"/>
              </w:rPr>
              <w:t>Gerência Administrativa</w:t>
            </w:r>
          </w:p>
        </w:tc>
        <w:tc>
          <w:tcPr>
            <w:tcW w:type="dxa" w:w="3286"/>
            <w:vAlign w:val="top"/>
          </w:tcPr>
          <w:p>
            <w:r>
              <w:rPr>
                <w:sz w:val="17"/>
              </w:rPr>
              <w:t>Setor de Hotelaria Hospitalar</w:t>
            </w:r>
          </w:p>
        </w:tc>
        <w:tc>
          <w:tcPr>
            <w:tcW w:type="dxa" w:w="3286"/>
            <w:vAlign w:val="top"/>
          </w:tcPr>
          <w:p>
            <w:r>
              <w:rPr>
                <w:sz w:val="17"/>
              </w:rPr>
              <w:t>Chefe</w:t>
            </w:r>
          </w:p>
        </w:tc>
      </w:tr>
      <w:tr>
        <w:trPr>
          <w:cantSplit/>
        </w:trPr>
        <w:tc>
          <w:tcPr>
            <w:tcW w:type="dxa" w:w="3286"/>
            <w:vAlign w:val="top"/>
          </w:tcPr>
          <w:p>
            <w:r>
              <w:rPr>
                <w:sz w:val="17"/>
              </w:rPr>
              <w:t>Gerência Administrativa</w:t>
            </w:r>
          </w:p>
        </w:tc>
        <w:tc>
          <w:tcPr>
            <w:tcW w:type="dxa" w:w="3286"/>
            <w:vAlign w:val="top"/>
          </w:tcPr>
          <w:p>
            <w:r>
              <w:rPr>
                <w:sz w:val="17"/>
              </w:rPr>
              <w:t>Divisão de Gestão de Pessoas</w:t>
            </w:r>
          </w:p>
        </w:tc>
        <w:tc>
          <w:tcPr>
            <w:tcW w:type="dxa" w:w="3286"/>
            <w:vAlign w:val="top"/>
          </w:tcPr>
          <w:p>
            <w:r>
              <w:rPr>
                <w:sz w:val="17"/>
              </w:rPr>
              <w:t>Chefe</w:t>
            </w:r>
          </w:p>
        </w:tc>
      </w:tr>
      <w:tr>
        <w:trPr>
          <w:cantSplit/>
        </w:trPr>
        <w:tc>
          <w:tcPr>
            <w:tcW w:type="dxa" w:w="3286"/>
            <w:vAlign w:val="top"/>
          </w:tcPr>
          <w:p>
            <w:r>
              <w:rPr>
                <w:sz w:val="17"/>
              </w:rPr>
              <w:t>Gerência de Atenção à Saúde</w:t>
            </w:r>
          </w:p>
        </w:tc>
        <w:tc>
          <w:tcPr>
            <w:tcW w:type="dxa" w:w="3286"/>
            <w:vAlign w:val="top"/>
          </w:tcPr>
          <w:p>
            <w:r>
              <w:rPr>
                <w:sz w:val="17"/>
              </w:rPr>
              <w:t>Gerência de Atenção à Saúde</w:t>
            </w:r>
          </w:p>
        </w:tc>
        <w:tc>
          <w:tcPr>
            <w:tcW w:type="dxa" w:w="3286"/>
            <w:vAlign w:val="top"/>
          </w:tcPr>
          <w:p>
            <w:r>
              <w:rPr>
                <w:sz w:val="17"/>
              </w:rPr>
              <w:t>Gerente</w:t>
            </w:r>
          </w:p>
        </w:tc>
      </w:tr>
      <w:tr>
        <w:trPr>
          <w:cantSplit/>
        </w:trPr>
        <w:tc>
          <w:tcPr>
            <w:tcW w:type="dxa" w:w="3286"/>
            <w:vAlign w:val="top"/>
          </w:tcPr>
          <w:p>
            <w:r>
              <w:rPr>
                <w:sz w:val="17"/>
              </w:rPr>
              <w:t>Gerência de Atenção à Saúde</w:t>
            </w:r>
          </w:p>
        </w:tc>
        <w:tc>
          <w:tcPr>
            <w:tcW w:type="dxa" w:w="3286"/>
            <w:vAlign w:val="top"/>
          </w:tcPr>
          <w:p>
            <w:r>
              <w:rPr>
                <w:sz w:val="17"/>
              </w:rPr>
              <w:t>Divisão de Apoio Diagnóstico e Terapêutico</w:t>
            </w:r>
          </w:p>
        </w:tc>
        <w:tc>
          <w:tcPr>
            <w:tcW w:type="dxa" w:w="3286"/>
            <w:vAlign w:val="top"/>
          </w:tcPr>
          <w:p>
            <w:r>
              <w:rPr>
                <w:sz w:val="17"/>
              </w:rPr>
              <w:t>Chefe</w:t>
            </w:r>
          </w:p>
        </w:tc>
      </w:tr>
      <w:tr>
        <w:trPr>
          <w:cantSplit/>
        </w:trPr>
        <w:tc>
          <w:tcPr>
            <w:tcW w:type="dxa" w:w="3286"/>
            <w:vAlign w:val="top"/>
          </w:tcPr>
          <w:p>
            <w:r>
              <w:rPr>
                <w:sz w:val="17"/>
              </w:rPr>
              <w:t>Gerência de Atenção à Saúde</w:t>
            </w:r>
          </w:p>
        </w:tc>
        <w:tc>
          <w:tcPr>
            <w:tcW w:type="dxa" w:w="3286"/>
            <w:vAlign w:val="top"/>
          </w:tcPr>
          <w:p>
            <w:r>
              <w:rPr>
                <w:sz w:val="17"/>
              </w:rPr>
              <w:t>Setor de Farmácia Hospitalar</w:t>
            </w:r>
          </w:p>
        </w:tc>
        <w:tc>
          <w:tcPr>
            <w:tcW w:type="dxa" w:w="3286"/>
            <w:vAlign w:val="top"/>
          </w:tcPr>
          <w:p>
            <w:r>
              <w:rPr>
                <w:sz w:val="17"/>
              </w:rPr>
              <w:t>Chefe</w:t>
            </w:r>
          </w:p>
        </w:tc>
      </w:tr>
      <w:tr>
        <w:trPr>
          <w:cantSplit/>
        </w:trPr>
        <w:tc>
          <w:tcPr>
            <w:tcW w:type="dxa" w:w="3286"/>
            <w:vAlign w:val="top"/>
          </w:tcPr>
          <w:p>
            <w:r>
              <w:rPr>
                <w:sz w:val="17"/>
              </w:rPr>
              <w:t>Gerência de Atenção à Saúde</w:t>
            </w:r>
          </w:p>
        </w:tc>
        <w:tc>
          <w:tcPr>
            <w:tcW w:type="dxa" w:w="3286"/>
            <w:vAlign w:val="top"/>
          </w:tcPr>
          <w:p>
            <w:r>
              <w:rPr>
                <w:sz w:val="17"/>
              </w:rPr>
              <w:t>Setor de Apoio Diagnóstico e Terapêutico</w:t>
            </w:r>
          </w:p>
        </w:tc>
        <w:tc>
          <w:tcPr>
            <w:tcW w:type="dxa" w:w="3286"/>
            <w:vAlign w:val="top"/>
          </w:tcPr>
          <w:p>
            <w:r>
              <w:rPr>
                <w:sz w:val="17"/>
              </w:rPr>
              <w:t>Chefe</w:t>
            </w:r>
          </w:p>
        </w:tc>
      </w:tr>
      <w:tr>
        <w:trPr>
          <w:cantSplit/>
        </w:trPr>
        <w:tc>
          <w:tcPr>
            <w:tcW w:type="dxa" w:w="3286"/>
            <w:vAlign w:val="top"/>
          </w:tcPr>
          <w:p>
            <w:r>
              <w:rPr>
                <w:sz w:val="17"/>
              </w:rPr>
              <w:t>Gerência de Atenção à Saúde</w:t>
            </w:r>
          </w:p>
        </w:tc>
        <w:tc>
          <w:tcPr>
            <w:tcW w:type="dxa" w:w="3286"/>
            <w:vAlign w:val="top"/>
          </w:tcPr>
          <w:p>
            <w:r>
              <w:rPr>
                <w:sz w:val="17"/>
              </w:rPr>
              <w:t>Divisão de Gestão do Cuidado</w:t>
            </w:r>
          </w:p>
        </w:tc>
        <w:tc>
          <w:tcPr>
            <w:tcW w:type="dxa" w:w="3286"/>
            <w:vAlign w:val="top"/>
          </w:tcPr>
          <w:p>
            <w:r>
              <w:rPr>
                <w:sz w:val="17"/>
              </w:rPr>
              <w:t>Chefe</w:t>
            </w:r>
          </w:p>
        </w:tc>
      </w:tr>
      <w:tr>
        <w:trPr>
          <w:cantSplit/>
        </w:trPr>
        <w:tc>
          <w:tcPr>
            <w:tcW w:type="dxa" w:w="3286"/>
            <w:vAlign w:val="top"/>
          </w:tcPr>
          <w:p>
            <w:r>
              <w:rPr>
                <w:sz w:val="17"/>
              </w:rPr>
              <w:t>Gerência de Atenção à Saúde</w:t>
            </w:r>
          </w:p>
        </w:tc>
        <w:tc>
          <w:tcPr>
            <w:tcW w:type="dxa" w:w="3286"/>
            <w:vAlign w:val="top"/>
          </w:tcPr>
          <w:p>
            <w:r>
              <w:rPr>
                <w:sz w:val="17"/>
              </w:rPr>
              <w:t>Divisão Médica</w:t>
            </w:r>
          </w:p>
        </w:tc>
        <w:tc>
          <w:tcPr>
            <w:tcW w:type="dxa" w:w="3286"/>
            <w:vAlign w:val="top"/>
          </w:tcPr>
          <w:p>
            <w:r>
              <w:rPr>
                <w:sz w:val="17"/>
              </w:rPr>
              <w:t>Chefe</w:t>
            </w:r>
          </w:p>
        </w:tc>
      </w:tr>
      <w:tr>
        <w:trPr>
          <w:cantSplit/>
        </w:trPr>
        <w:tc>
          <w:tcPr>
            <w:tcW w:type="dxa" w:w="3286"/>
            <w:vAlign w:val="top"/>
          </w:tcPr>
          <w:p>
            <w:r>
              <w:rPr>
                <w:sz w:val="17"/>
              </w:rPr>
              <w:t>Gerência de Atenção à Saúde</w:t>
            </w:r>
          </w:p>
        </w:tc>
        <w:tc>
          <w:tcPr>
            <w:tcW w:type="dxa" w:w="3286"/>
            <w:vAlign w:val="top"/>
          </w:tcPr>
          <w:p>
            <w:r>
              <w:rPr>
                <w:sz w:val="17"/>
              </w:rPr>
              <w:t>Setor de Paciente Crítico</w:t>
            </w:r>
          </w:p>
        </w:tc>
        <w:tc>
          <w:tcPr>
            <w:tcW w:type="dxa" w:w="3286"/>
            <w:vAlign w:val="top"/>
          </w:tcPr>
          <w:p>
            <w:r>
              <w:rPr>
                <w:sz w:val="17"/>
              </w:rPr>
              <w:t>Chefe</w:t>
            </w:r>
          </w:p>
        </w:tc>
      </w:tr>
      <w:tr>
        <w:trPr>
          <w:cantSplit/>
        </w:trPr>
        <w:tc>
          <w:tcPr>
            <w:tcW w:type="dxa" w:w="3286"/>
            <w:vAlign w:val="top"/>
          </w:tcPr>
          <w:p>
            <w:r>
              <w:rPr>
                <w:sz w:val="17"/>
              </w:rPr>
              <w:t>Gerência de Atenção à Saúde</w:t>
            </w:r>
          </w:p>
        </w:tc>
        <w:tc>
          <w:tcPr>
            <w:tcW w:type="dxa" w:w="3286"/>
            <w:vAlign w:val="top"/>
          </w:tcPr>
          <w:p>
            <w:r>
              <w:rPr>
                <w:sz w:val="17"/>
              </w:rPr>
              <w:t>Divisão de Enfermagem</w:t>
            </w:r>
          </w:p>
        </w:tc>
        <w:tc>
          <w:tcPr>
            <w:tcW w:type="dxa" w:w="3286"/>
            <w:vAlign w:val="top"/>
          </w:tcPr>
          <w:p>
            <w:r>
              <w:rPr>
                <w:sz w:val="17"/>
              </w:rPr>
              <w:t>Chefe</w:t>
            </w:r>
          </w:p>
        </w:tc>
      </w:tr>
      <w:tr>
        <w:trPr>
          <w:cantSplit/>
        </w:trPr>
        <w:tc>
          <w:tcPr>
            <w:tcW w:type="dxa" w:w="3286"/>
            <w:vAlign w:val="top"/>
          </w:tcPr>
          <w:p>
            <w:r>
              <w:rPr>
                <w:sz w:val="17"/>
              </w:rPr>
              <w:t>Gerência de Ensino e Pesquisa</w:t>
            </w:r>
          </w:p>
        </w:tc>
        <w:tc>
          <w:tcPr>
            <w:tcW w:type="dxa" w:w="3286"/>
            <w:vAlign w:val="top"/>
          </w:tcPr>
          <w:p>
            <w:r>
              <w:rPr>
                <w:sz w:val="17"/>
              </w:rPr>
              <w:t>Gerência de Ensino e Pesquisa</w:t>
            </w:r>
          </w:p>
        </w:tc>
        <w:tc>
          <w:tcPr>
            <w:tcW w:type="dxa" w:w="3286"/>
            <w:vAlign w:val="top"/>
          </w:tcPr>
          <w:p>
            <w:r>
              <w:rPr>
                <w:sz w:val="17"/>
              </w:rPr>
              <w:t>Gerente</w:t>
            </w:r>
          </w:p>
        </w:tc>
      </w:tr>
      <w:tr>
        <w:trPr>
          <w:cantSplit/>
        </w:trPr>
        <w:tc>
          <w:tcPr>
            <w:tcW w:type="dxa" w:w="3286"/>
            <w:vAlign w:val="top"/>
          </w:tcPr>
          <w:p>
            <w:r>
              <w:rPr>
                <w:sz w:val="17"/>
              </w:rPr>
              <w:t>Gerência de Ensino e Pesquisa</w:t>
            </w:r>
          </w:p>
        </w:tc>
        <w:tc>
          <w:tcPr>
            <w:tcW w:type="dxa" w:w="3286"/>
            <w:vAlign w:val="top"/>
          </w:tcPr>
          <w:p>
            <w:r>
              <w:rPr>
                <w:sz w:val="17"/>
              </w:rPr>
              <w:t>Setor de Gestão do Ensino</w:t>
            </w:r>
          </w:p>
        </w:tc>
        <w:tc>
          <w:tcPr>
            <w:tcW w:type="dxa" w:w="3286"/>
            <w:vAlign w:val="top"/>
          </w:tcPr>
          <w:p>
            <w:r>
              <w:rPr>
                <w:sz w:val="17"/>
              </w:rPr>
              <w:t>Chefe</w:t>
            </w:r>
          </w:p>
        </w:tc>
      </w:tr>
      <w:tr>
        <w:trPr>
          <w:cantSplit/>
        </w:trPr>
        <w:tc>
          <w:tcPr>
            <w:tcW w:type="dxa" w:w="3286"/>
            <w:vAlign w:val="top"/>
          </w:tcPr>
          <w:p>
            <w:r>
              <w:rPr>
                <w:sz w:val="17"/>
              </w:rPr>
              <w:t>Gerência de Ensino e Pesquisa</w:t>
            </w:r>
          </w:p>
        </w:tc>
        <w:tc>
          <w:tcPr>
            <w:tcW w:type="dxa" w:w="3286"/>
            <w:vAlign w:val="top"/>
          </w:tcPr>
          <w:p>
            <w:r>
              <w:rPr>
                <w:sz w:val="17"/>
              </w:rPr>
              <w:t>Setor de Gestão da Pesquisa e da Inovação Tecnológica em Saúde</w:t>
            </w:r>
          </w:p>
        </w:tc>
        <w:tc>
          <w:tcPr>
            <w:tcW w:type="dxa" w:w="3286"/>
            <w:vAlign w:val="top"/>
          </w:tcPr>
          <w:p>
            <w:r>
              <w:rPr>
                <w:sz w:val="17"/>
              </w:rPr>
              <w:t>Chefe</w:t>
            </w:r>
          </w:p>
        </w:tc>
      </w:tr>
    </w:tbl>
    <w:p>
      <w:pPr>
        <w:pStyle w:val="Rule"/>
      </w:pPr>
      <w:r>
        <w:rPr>
          <w:b/>
        </w:rPr>
        <w:t xml:space="preserve">RN-ORG-01 — Histórico organizacional. </w:t>
      </w:r>
      <w:r>
        <w:t>Alterações futuras de vínculo, nome, ativação ou hierarquia de UORGs não podem modificar retroativamente relatórios e vínculos históricos de exercícios já registrados.</w:t>
      </w:r>
    </w:p>
    <w:p>
      <w:pPr>
        <w:pStyle w:val="Heading1"/>
      </w:pPr>
      <w:r>
        <w:t>5. Perfis e controle de acesso</w:t>
      </w:r>
    </w:p>
    <w:p>
      <w:pPr>
        <w:pStyle w:val="Heading2"/>
      </w:pPr>
      <w:r>
        <w:t>5.1 Princípio de autenticação e autorização</w:t>
      </w:r>
    </w:p>
    <w:p>
      <w:pPr>
        <w:pStyle w:val="Decision"/>
      </w:pPr>
      <w:r>
        <w:t>DECISÃO APROVADA — O Active Directory autentica a identidade. A aplicação é responsável por autorizar o acesso, validar se o username está cadastrado e determinar perfil, Gerência e UORG.</w:t>
      </w:r>
    </w:p>
    <w:p>
      <w:pPr>
        <w:pStyle w:val="Rule"/>
      </w:pPr>
      <w:r>
        <w:rPr>
          <w:b/>
        </w:rPr>
        <w:t xml:space="preserve">RN-ACL-01 — Pré-cadastro obrigatório. </w:t>
      </w:r>
      <w:r>
        <w:t>Somente usernames previamente cadastrados no portal poderão acessar a aplicação após autenticação válida no AD.</w:t>
      </w:r>
    </w:p>
    <w:p>
      <w:pPr>
        <w:pStyle w:val="Rule"/>
      </w:pPr>
      <w:r>
        <w:rPr>
          <w:b/>
        </w:rPr>
        <w:t xml:space="preserve">RN-ACL-02 — Autorização no servidor. </w:t>
      </w:r>
      <w:r>
        <w:t>Restrições de acesso devem ser verificadas no backend/API. Ocultar menus no frontend não é suficiente como mecanismo de segurança.</w:t>
      </w:r>
    </w:p>
    <w:p>
      <w:pPr>
        <w:pStyle w:val="Heading2"/>
      </w:pPr>
      <w:r>
        <w:t>5.2 Perfis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  <w:cantSplit/>
        </w:trPr>
        <w:tc>
          <w:tcPr>
            <w:tcW w:type="dxa" w:w="3286"/>
            <w:shd w:fill="112641"/>
            <w:vAlign w:val="center"/>
          </w:tcPr>
          <w:p>
            <w:r>
              <w:rPr>
                <w:b/>
                <w:color w:val="FFFFFF"/>
                <w:sz w:val="18"/>
              </w:rPr>
              <w:t>Perfil</w:t>
            </w:r>
          </w:p>
        </w:tc>
        <w:tc>
          <w:tcPr>
            <w:tcW w:type="dxa" w:w="3286"/>
            <w:shd w:fill="112641"/>
            <w:vAlign w:val="center"/>
          </w:tcPr>
          <w:p>
            <w:r>
              <w:rPr>
                <w:b/>
                <w:color w:val="FFFFFF"/>
                <w:sz w:val="18"/>
              </w:rPr>
              <w:t>Escopo de dados</w:t>
            </w:r>
          </w:p>
        </w:tc>
        <w:tc>
          <w:tcPr>
            <w:tcW w:type="dxa" w:w="3286"/>
            <w:shd w:fill="112641"/>
            <w:vAlign w:val="center"/>
          </w:tcPr>
          <w:p>
            <w:r>
              <w:rPr>
                <w:b/>
                <w:color w:val="FFFFFF"/>
                <w:sz w:val="18"/>
              </w:rPr>
              <w:t>Principais capacidades</w:t>
            </w:r>
          </w:p>
        </w:tc>
      </w:tr>
      <w:tr>
        <w:trPr>
          <w:cantSplit/>
        </w:trPr>
        <w:tc>
          <w:tcPr>
            <w:tcW w:type="dxa" w:w="3286"/>
            <w:vAlign w:val="top"/>
          </w:tcPr>
          <w:p>
            <w:r>
              <w:rPr>
                <w:sz w:val="17"/>
              </w:rPr>
              <w:t>Administrador</w:t>
            </w:r>
          </w:p>
        </w:tc>
        <w:tc>
          <w:tcPr>
            <w:tcW w:type="dxa" w:w="3286"/>
            <w:vAlign w:val="top"/>
          </w:tcPr>
          <w:p>
            <w:r>
              <w:rPr>
                <w:sz w:val="17"/>
              </w:rPr>
              <w:t>Todas as Gerências/UORGs/exercícios</w:t>
            </w:r>
          </w:p>
        </w:tc>
        <w:tc>
          <w:tcPr>
            <w:tcW w:type="dxa" w:w="3286"/>
            <w:vAlign w:val="top"/>
          </w:tcPr>
          <w:p>
            <w:r>
              <w:rPr>
                <w:sz w:val="17"/>
              </w:rPr>
              <w:t>Usuários, estrutura organizacional, configuração do exercício, janelas, edição administrativa, reabertura excepcional, visualização global.</w:t>
            </w:r>
          </w:p>
        </w:tc>
      </w:tr>
      <w:tr>
        <w:trPr>
          <w:cantSplit/>
        </w:trPr>
        <w:tc>
          <w:tcPr>
            <w:tcW w:type="dxa" w:w="3286"/>
            <w:vAlign w:val="top"/>
          </w:tcPr>
          <w:p>
            <w:r>
              <w:rPr>
                <w:sz w:val="17"/>
              </w:rPr>
              <w:t>Superintendente</w:t>
            </w:r>
          </w:p>
        </w:tc>
        <w:tc>
          <w:tcPr>
            <w:tcW w:type="dxa" w:w="3286"/>
            <w:vAlign w:val="top"/>
          </w:tcPr>
          <w:p>
            <w:r>
              <w:rPr>
                <w:sz w:val="17"/>
              </w:rPr>
              <w:t>Todas as Gerências/UORGs</w:t>
            </w:r>
          </w:p>
        </w:tc>
        <w:tc>
          <w:tcPr>
            <w:tcW w:type="dxa" w:w="3286"/>
            <w:vAlign w:val="top"/>
          </w:tcPr>
          <w:p>
            <w:r>
              <w:rPr>
                <w:sz w:val="17"/>
              </w:rPr>
              <w:t>Visualização global, navegação entre relatórios, dashboard de acompanhamento e feedback.</w:t>
            </w:r>
          </w:p>
        </w:tc>
      </w:tr>
      <w:tr>
        <w:trPr>
          <w:cantSplit/>
        </w:trPr>
        <w:tc>
          <w:tcPr>
            <w:tcW w:type="dxa" w:w="3286"/>
            <w:vAlign w:val="top"/>
          </w:tcPr>
          <w:p>
            <w:r>
              <w:rPr>
                <w:sz w:val="17"/>
              </w:rPr>
              <w:t>Gerente</w:t>
            </w:r>
          </w:p>
        </w:tc>
        <w:tc>
          <w:tcPr>
            <w:tcW w:type="dxa" w:w="3286"/>
            <w:vAlign w:val="top"/>
          </w:tcPr>
          <w:p>
            <w:r>
              <w:rPr>
                <w:sz w:val="17"/>
              </w:rPr>
              <w:t>Somente UORGs vinculadas à própria Gerência</w:t>
            </w:r>
          </w:p>
        </w:tc>
        <w:tc>
          <w:tcPr>
            <w:tcW w:type="dxa" w:w="3286"/>
            <w:vAlign w:val="top"/>
          </w:tcPr>
          <w:p>
            <w:r>
              <w:rPr>
                <w:sz w:val="17"/>
              </w:rPr>
              <w:t>Visualização e acompanhamento de relatórios da Gerência.</w:t>
            </w:r>
          </w:p>
        </w:tc>
      </w:tr>
      <w:tr>
        <w:trPr>
          <w:cantSplit/>
        </w:trPr>
        <w:tc>
          <w:tcPr>
            <w:tcW w:type="dxa" w:w="3286"/>
            <w:vAlign w:val="top"/>
          </w:tcPr>
          <w:p>
            <w:r>
              <w:rPr>
                <w:sz w:val="17"/>
              </w:rPr>
              <w:t>Chefe</w:t>
            </w:r>
          </w:p>
        </w:tc>
        <w:tc>
          <w:tcPr>
            <w:tcW w:type="dxa" w:w="3286"/>
            <w:vAlign w:val="top"/>
          </w:tcPr>
          <w:p>
            <w:r>
              <w:rPr>
                <w:sz w:val="17"/>
              </w:rPr>
              <w:t>Somente sua própria UORG</w:t>
            </w:r>
          </w:p>
        </w:tc>
        <w:tc>
          <w:tcPr>
            <w:tcW w:type="dxa" w:w="3286"/>
            <w:vAlign w:val="top"/>
          </w:tcPr>
          <w:p>
            <w:r>
              <w:rPr>
                <w:sz w:val="17"/>
              </w:rPr>
              <w:t>Planejamento anual quando autorizado, preenchimento/edição do relatório vigente, visualização própria e feedback recebido.</w:t>
            </w:r>
          </w:p>
        </w:tc>
      </w:tr>
    </w:tbl>
    <w:p>
      <w:pPr>
        <w:pStyle w:val="Heading2"/>
      </w:pPr>
      <w:r>
        <w:t>5.3 Matriz de permissões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rPr>
          <w:tblHeader w:val="true"/>
          <w:cantSplit/>
        </w:trPr>
        <w:tc>
          <w:tcPr>
            <w:tcW w:type="dxa" w:w="1972"/>
            <w:shd w:fill="112641"/>
            <w:vAlign w:val="center"/>
          </w:tcPr>
          <w:p>
            <w:r>
              <w:rPr>
                <w:b/>
                <w:color w:val="FFFFFF"/>
                <w:sz w:val="18"/>
              </w:rPr>
              <w:t>Ação</w:t>
            </w:r>
          </w:p>
        </w:tc>
        <w:tc>
          <w:tcPr>
            <w:tcW w:type="dxa" w:w="1972"/>
            <w:shd w:fill="112641"/>
            <w:vAlign w:val="center"/>
          </w:tcPr>
          <w:p>
            <w:r>
              <w:rPr>
                <w:b/>
                <w:color w:val="FFFFFF"/>
                <w:sz w:val="18"/>
              </w:rPr>
              <w:t>Administrador</w:t>
            </w:r>
          </w:p>
        </w:tc>
        <w:tc>
          <w:tcPr>
            <w:tcW w:type="dxa" w:w="1972"/>
            <w:shd w:fill="112641"/>
            <w:vAlign w:val="center"/>
          </w:tcPr>
          <w:p>
            <w:r>
              <w:rPr>
                <w:b/>
                <w:color w:val="FFFFFF"/>
                <w:sz w:val="18"/>
              </w:rPr>
              <w:t>Superintendente</w:t>
            </w:r>
          </w:p>
        </w:tc>
        <w:tc>
          <w:tcPr>
            <w:tcW w:type="dxa" w:w="1972"/>
            <w:shd w:fill="112641"/>
            <w:vAlign w:val="center"/>
          </w:tcPr>
          <w:p>
            <w:r>
              <w:rPr>
                <w:b/>
                <w:color w:val="FFFFFF"/>
                <w:sz w:val="18"/>
              </w:rPr>
              <w:t>Gerente</w:t>
            </w:r>
          </w:p>
        </w:tc>
        <w:tc>
          <w:tcPr>
            <w:tcW w:type="dxa" w:w="1972"/>
            <w:shd w:fill="112641"/>
            <w:vAlign w:val="center"/>
          </w:tcPr>
          <w:p>
            <w:r>
              <w:rPr>
                <w:b/>
                <w:color w:val="FFFFFF"/>
                <w:sz w:val="18"/>
              </w:rPr>
              <w:t>Chefe</w:t>
            </w:r>
          </w:p>
        </w:tc>
      </w:tr>
      <w:tr>
        <w:trPr>
          <w:cantSplit/>
        </w:trPr>
        <w:tc>
          <w:tcPr>
            <w:tcW w:type="dxa" w:w="1972"/>
            <w:vAlign w:val="top"/>
          </w:tcPr>
          <w:p>
            <w:r>
              <w:rPr>
                <w:sz w:val="17"/>
              </w:rPr>
              <w:t>Cadastrar/editar usuários</w:t>
            </w:r>
          </w:p>
        </w:tc>
        <w:tc>
          <w:tcPr>
            <w:tcW w:type="dxa" w:w="1972"/>
            <w:vAlign w:val="top"/>
          </w:tcPr>
          <w:p>
            <w:r>
              <w:rPr>
                <w:sz w:val="17"/>
              </w:rPr>
              <w:t>Sim</w:t>
            </w:r>
          </w:p>
        </w:tc>
        <w:tc>
          <w:tcPr>
            <w:tcW w:type="dxa" w:w="1972"/>
            <w:vAlign w:val="top"/>
          </w:tcPr>
          <w:p>
            <w:r>
              <w:rPr>
                <w:sz w:val="17"/>
              </w:rPr>
              <w:t>Não</w:t>
            </w:r>
          </w:p>
        </w:tc>
        <w:tc>
          <w:tcPr>
            <w:tcW w:type="dxa" w:w="1972"/>
            <w:vAlign w:val="top"/>
          </w:tcPr>
          <w:p>
            <w:r>
              <w:rPr>
                <w:sz w:val="17"/>
              </w:rPr>
              <w:t>Não</w:t>
            </w:r>
          </w:p>
        </w:tc>
        <w:tc>
          <w:tcPr>
            <w:tcW w:type="dxa" w:w="1972"/>
            <w:vAlign w:val="top"/>
          </w:tcPr>
          <w:p>
            <w:r>
              <w:rPr>
                <w:sz w:val="17"/>
              </w:rPr>
              <w:t>Não</w:t>
            </w:r>
          </w:p>
        </w:tc>
      </w:tr>
      <w:tr>
        <w:trPr>
          <w:cantSplit/>
        </w:trPr>
        <w:tc>
          <w:tcPr>
            <w:tcW w:type="dxa" w:w="1972"/>
            <w:vAlign w:val="top"/>
          </w:tcPr>
          <w:p>
            <w:r>
              <w:rPr>
                <w:sz w:val="17"/>
              </w:rPr>
              <w:t>Manter Gerências/UORGs</w:t>
            </w:r>
          </w:p>
        </w:tc>
        <w:tc>
          <w:tcPr>
            <w:tcW w:type="dxa" w:w="1972"/>
            <w:vAlign w:val="top"/>
          </w:tcPr>
          <w:p>
            <w:r>
              <w:rPr>
                <w:sz w:val="17"/>
              </w:rPr>
              <w:t>Sim</w:t>
            </w:r>
          </w:p>
        </w:tc>
        <w:tc>
          <w:tcPr>
            <w:tcW w:type="dxa" w:w="1972"/>
            <w:vAlign w:val="top"/>
          </w:tcPr>
          <w:p>
            <w:r>
              <w:rPr>
                <w:sz w:val="17"/>
              </w:rPr>
              <w:t>Não</w:t>
            </w:r>
          </w:p>
        </w:tc>
        <w:tc>
          <w:tcPr>
            <w:tcW w:type="dxa" w:w="1972"/>
            <w:vAlign w:val="top"/>
          </w:tcPr>
          <w:p>
            <w:r>
              <w:rPr>
                <w:sz w:val="17"/>
              </w:rPr>
              <w:t>Não</w:t>
            </w:r>
          </w:p>
        </w:tc>
        <w:tc>
          <w:tcPr>
            <w:tcW w:type="dxa" w:w="1972"/>
            <w:vAlign w:val="top"/>
          </w:tcPr>
          <w:p>
            <w:r>
              <w:rPr>
                <w:sz w:val="17"/>
              </w:rPr>
              <w:t>Não</w:t>
            </w:r>
          </w:p>
        </w:tc>
      </w:tr>
      <w:tr>
        <w:trPr>
          <w:cantSplit/>
        </w:trPr>
        <w:tc>
          <w:tcPr>
            <w:tcW w:type="dxa" w:w="1972"/>
            <w:vAlign w:val="top"/>
          </w:tcPr>
          <w:p>
            <w:r>
              <w:rPr>
                <w:sz w:val="17"/>
              </w:rPr>
              <w:t>Configurar exercício</w:t>
            </w:r>
          </w:p>
        </w:tc>
        <w:tc>
          <w:tcPr>
            <w:tcW w:type="dxa" w:w="1972"/>
            <w:vAlign w:val="top"/>
          </w:tcPr>
          <w:p>
            <w:r>
              <w:rPr>
                <w:sz w:val="17"/>
              </w:rPr>
              <w:t>Sim</w:t>
            </w:r>
          </w:p>
        </w:tc>
        <w:tc>
          <w:tcPr>
            <w:tcW w:type="dxa" w:w="1972"/>
            <w:vAlign w:val="top"/>
          </w:tcPr>
          <w:p>
            <w:r>
              <w:rPr>
                <w:sz w:val="17"/>
              </w:rPr>
              <w:t>Não</w:t>
            </w:r>
          </w:p>
        </w:tc>
        <w:tc>
          <w:tcPr>
            <w:tcW w:type="dxa" w:w="1972"/>
            <w:vAlign w:val="top"/>
          </w:tcPr>
          <w:p>
            <w:r>
              <w:rPr>
                <w:sz w:val="17"/>
              </w:rPr>
              <w:t>Não</w:t>
            </w:r>
          </w:p>
        </w:tc>
        <w:tc>
          <w:tcPr>
            <w:tcW w:type="dxa" w:w="1972"/>
            <w:vAlign w:val="top"/>
          </w:tcPr>
          <w:p>
            <w:r>
              <w:rPr>
                <w:sz w:val="17"/>
              </w:rPr>
              <w:t>Não</w:t>
            </w:r>
          </w:p>
        </w:tc>
      </w:tr>
      <w:tr>
        <w:trPr>
          <w:cantSplit/>
        </w:trPr>
        <w:tc>
          <w:tcPr>
            <w:tcW w:type="dxa" w:w="1972"/>
            <w:vAlign w:val="top"/>
          </w:tcPr>
          <w:p>
            <w:r>
              <w:rPr>
                <w:sz w:val="17"/>
              </w:rPr>
              <w:t>Abrir/fechar bimestre</w:t>
            </w:r>
          </w:p>
        </w:tc>
        <w:tc>
          <w:tcPr>
            <w:tcW w:type="dxa" w:w="1972"/>
            <w:vAlign w:val="top"/>
          </w:tcPr>
          <w:p>
            <w:r>
              <w:rPr>
                <w:sz w:val="17"/>
              </w:rPr>
              <w:t>Sim</w:t>
            </w:r>
          </w:p>
        </w:tc>
        <w:tc>
          <w:tcPr>
            <w:tcW w:type="dxa" w:w="1972"/>
            <w:vAlign w:val="top"/>
          </w:tcPr>
          <w:p>
            <w:r>
              <w:rPr>
                <w:sz w:val="17"/>
              </w:rPr>
              <w:t>Não</w:t>
            </w:r>
          </w:p>
        </w:tc>
        <w:tc>
          <w:tcPr>
            <w:tcW w:type="dxa" w:w="1972"/>
            <w:vAlign w:val="top"/>
          </w:tcPr>
          <w:p>
            <w:r>
              <w:rPr>
                <w:sz w:val="17"/>
              </w:rPr>
              <w:t>Não</w:t>
            </w:r>
          </w:p>
        </w:tc>
        <w:tc>
          <w:tcPr>
            <w:tcW w:type="dxa" w:w="1972"/>
            <w:vAlign w:val="top"/>
          </w:tcPr>
          <w:p>
            <w:r>
              <w:rPr>
                <w:sz w:val="17"/>
              </w:rPr>
              <w:t>Não</w:t>
            </w:r>
          </w:p>
        </w:tc>
      </w:tr>
      <w:tr>
        <w:trPr>
          <w:cantSplit/>
        </w:trPr>
        <w:tc>
          <w:tcPr>
            <w:tcW w:type="dxa" w:w="1972"/>
            <w:vAlign w:val="top"/>
          </w:tcPr>
          <w:p>
            <w:r>
              <w:rPr>
                <w:sz w:val="17"/>
              </w:rPr>
              <w:t>Conceder prazo excepcional</w:t>
            </w:r>
          </w:p>
        </w:tc>
        <w:tc>
          <w:tcPr>
            <w:tcW w:type="dxa" w:w="1972"/>
            <w:vAlign w:val="top"/>
          </w:tcPr>
          <w:p>
            <w:r>
              <w:rPr>
                <w:sz w:val="17"/>
              </w:rPr>
              <w:t>Sim</w:t>
            </w:r>
          </w:p>
        </w:tc>
        <w:tc>
          <w:tcPr>
            <w:tcW w:type="dxa" w:w="1972"/>
            <w:vAlign w:val="top"/>
          </w:tcPr>
          <w:p>
            <w:r>
              <w:rPr>
                <w:sz w:val="17"/>
              </w:rPr>
              <w:t>Não</w:t>
            </w:r>
          </w:p>
        </w:tc>
        <w:tc>
          <w:tcPr>
            <w:tcW w:type="dxa" w:w="1972"/>
            <w:vAlign w:val="top"/>
          </w:tcPr>
          <w:p>
            <w:r>
              <w:rPr>
                <w:sz w:val="17"/>
              </w:rPr>
              <w:t>Não</w:t>
            </w:r>
          </w:p>
        </w:tc>
        <w:tc>
          <w:tcPr>
            <w:tcW w:type="dxa" w:w="1972"/>
            <w:vAlign w:val="top"/>
          </w:tcPr>
          <w:p>
            <w:r>
              <w:rPr>
                <w:sz w:val="17"/>
              </w:rPr>
              <w:t>Não</w:t>
            </w:r>
          </w:p>
        </w:tc>
      </w:tr>
      <w:tr>
        <w:trPr>
          <w:cantSplit/>
        </w:trPr>
        <w:tc>
          <w:tcPr>
            <w:tcW w:type="dxa" w:w="1972"/>
            <w:vAlign w:val="top"/>
          </w:tcPr>
          <w:p>
            <w:r>
              <w:rPr>
                <w:sz w:val="17"/>
              </w:rPr>
              <w:t>Cadastrar entregas/indicadores da UORG</w:t>
            </w:r>
          </w:p>
        </w:tc>
        <w:tc>
          <w:tcPr>
            <w:tcW w:type="dxa" w:w="1972"/>
            <w:vAlign w:val="top"/>
          </w:tcPr>
          <w:p>
            <w:r>
              <w:rPr>
                <w:sz w:val="17"/>
              </w:rPr>
              <w:t>Sim</w:t>
            </w:r>
          </w:p>
        </w:tc>
        <w:tc>
          <w:tcPr>
            <w:tcW w:type="dxa" w:w="1972"/>
            <w:vAlign w:val="top"/>
          </w:tcPr>
          <w:p>
            <w:r>
              <w:rPr>
                <w:sz w:val="17"/>
              </w:rPr>
              <w:t>Não</w:t>
            </w:r>
          </w:p>
        </w:tc>
        <w:tc>
          <w:tcPr>
            <w:tcW w:type="dxa" w:w="1972"/>
            <w:vAlign w:val="top"/>
          </w:tcPr>
          <w:p>
            <w:r>
              <w:rPr>
                <w:sz w:val="17"/>
              </w:rPr>
              <w:t>Não</w:t>
            </w:r>
          </w:p>
        </w:tc>
        <w:tc>
          <w:tcPr>
            <w:tcW w:type="dxa" w:w="1972"/>
            <w:vAlign w:val="top"/>
          </w:tcPr>
          <w:p>
            <w:r>
              <w:rPr>
                <w:sz w:val="17"/>
              </w:rPr>
              <w:t>Quando habilitado</w:t>
            </w:r>
          </w:p>
        </w:tc>
      </w:tr>
      <w:tr>
        <w:trPr>
          <w:cantSplit/>
        </w:trPr>
        <w:tc>
          <w:tcPr>
            <w:tcW w:type="dxa" w:w="1972"/>
            <w:vAlign w:val="top"/>
          </w:tcPr>
          <w:p>
            <w:r>
              <w:rPr>
                <w:sz w:val="17"/>
              </w:rPr>
              <w:t>Editar planejamento anual</w:t>
            </w:r>
          </w:p>
        </w:tc>
        <w:tc>
          <w:tcPr>
            <w:tcW w:type="dxa" w:w="1972"/>
            <w:vAlign w:val="top"/>
          </w:tcPr>
          <w:p>
            <w:r>
              <w:rPr>
                <w:sz w:val="17"/>
              </w:rPr>
              <w:t>Sim</w:t>
            </w:r>
          </w:p>
        </w:tc>
        <w:tc>
          <w:tcPr>
            <w:tcW w:type="dxa" w:w="1972"/>
            <w:vAlign w:val="top"/>
          </w:tcPr>
          <w:p>
            <w:r>
              <w:rPr>
                <w:sz w:val="17"/>
              </w:rPr>
              <w:t>Não</w:t>
            </w:r>
          </w:p>
        </w:tc>
        <w:tc>
          <w:tcPr>
            <w:tcW w:type="dxa" w:w="1972"/>
            <w:vAlign w:val="top"/>
          </w:tcPr>
          <w:p>
            <w:r>
              <w:rPr>
                <w:sz w:val="17"/>
              </w:rPr>
              <w:t>Não</w:t>
            </w:r>
          </w:p>
        </w:tc>
        <w:tc>
          <w:tcPr>
            <w:tcW w:type="dxa" w:w="1972"/>
            <w:vAlign w:val="top"/>
          </w:tcPr>
          <w:p>
            <w:r>
              <w:rPr>
                <w:sz w:val="17"/>
              </w:rPr>
              <w:t>Quando habilitado</w:t>
            </w:r>
          </w:p>
        </w:tc>
      </w:tr>
      <w:tr>
        <w:trPr>
          <w:cantSplit/>
        </w:trPr>
        <w:tc>
          <w:tcPr>
            <w:tcW w:type="dxa" w:w="1972"/>
            <w:vAlign w:val="top"/>
          </w:tcPr>
          <w:p>
            <w:r>
              <w:rPr>
                <w:sz w:val="17"/>
              </w:rPr>
              <w:t>Preencher relatório</w:t>
            </w:r>
          </w:p>
        </w:tc>
        <w:tc>
          <w:tcPr>
            <w:tcW w:type="dxa" w:w="1972"/>
            <w:vAlign w:val="top"/>
          </w:tcPr>
          <w:p>
            <w:r>
              <w:rPr>
                <w:sz w:val="17"/>
              </w:rPr>
              <w:t>Sim (administrativo)</w:t>
            </w:r>
          </w:p>
        </w:tc>
        <w:tc>
          <w:tcPr>
            <w:tcW w:type="dxa" w:w="1972"/>
            <w:vAlign w:val="top"/>
          </w:tcPr>
          <w:p>
            <w:r>
              <w:rPr>
                <w:sz w:val="17"/>
              </w:rPr>
              <w:t>Não</w:t>
            </w:r>
          </w:p>
        </w:tc>
        <w:tc>
          <w:tcPr>
            <w:tcW w:type="dxa" w:w="1972"/>
            <w:vAlign w:val="top"/>
          </w:tcPr>
          <w:p>
            <w:r>
              <w:rPr>
                <w:sz w:val="17"/>
              </w:rPr>
              <w:t>Não</w:t>
            </w:r>
          </w:p>
        </w:tc>
        <w:tc>
          <w:tcPr>
            <w:tcW w:type="dxa" w:w="1972"/>
            <w:vAlign w:val="top"/>
          </w:tcPr>
          <w:p>
            <w:r>
              <w:rPr>
                <w:sz w:val="17"/>
              </w:rPr>
              <w:t>Sim, quando permitido</w:t>
            </w:r>
          </w:p>
        </w:tc>
      </w:tr>
      <w:tr>
        <w:trPr>
          <w:cantSplit/>
        </w:trPr>
        <w:tc>
          <w:tcPr>
            <w:tcW w:type="dxa" w:w="1972"/>
            <w:vAlign w:val="top"/>
          </w:tcPr>
          <w:p>
            <w:r>
              <w:rPr>
                <w:sz w:val="17"/>
              </w:rPr>
              <w:t>Editar relatório encerrado</w:t>
            </w:r>
          </w:p>
        </w:tc>
        <w:tc>
          <w:tcPr>
            <w:tcW w:type="dxa" w:w="1972"/>
            <w:vAlign w:val="top"/>
          </w:tcPr>
          <w:p>
            <w:r>
              <w:rPr>
                <w:sz w:val="17"/>
              </w:rPr>
              <w:t>Sim</w:t>
            </w:r>
          </w:p>
        </w:tc>
        <w:tc>
          <w:tcPr>
            <w:tcW w:type="dxa" w:w="1972"/>
            <w:vAlign w:val="top"/>
          </w:tcPr>
          <w:p>
            <w:r>
              <w:rPr>
                <w:sz w:val="17"/>
              </w:rPr>
              <w:t>Não</w:t>
            </w:r>
          </w:p>
        </w:tc>
        <w:tc>
          <w:tcPr>
            <w:tcW w:type="dxa" w:w="1972"/>
            <w:vAlign w:val="top"/>
          </w:tcPr>
          <w:p>
            <w:r>
              <w:rPr>
                <w:sz w:val="17"/>
              </w:rPr>
              <w:t>Não</w:t>
            </w:r>
          </w:p>
        </w:tc>
        <w:tc>
          <w:tcPr>
            <w:tcW w:type="dxa" w:w="1972"/>
            <w:vAlign w:val="top"/>
          </w:tcPr>
          <w:p>
            <w:r>
              <w:rPr>
                <w:sz w:val="17"/>
              </w:rPr>
              <w:t>Somente mediante prazo excepcional</w:t>
            </w:r>
          </w:p>
        </w:tc>
      </w:tr>
      <w:tr>
        <w:trPr>
          <w:cantSplit/>
        </w:trPr>
        <w:tc>
          <w:tcPr>
            <w:tcW w:type="dxa" w:w="1972"/>
            <w:vAlign w:val="top"/>
          </w:tcPr>
          <w:p>
            <w:r>
              <w:rPr>
                <w:sz w:val="17"/>
              </w:rPr>
              <w:t>Visualizar todas as UORGs</w:t>
            </w:r>
          </w:p>
        </w:tc>
        <w:tc>
          <w:tcPr>
            <w:tcW w:type="dxa" w:w="1972"/>
            <w:vAlign w:val="top"/>
          </w:tcPr>
          <w:p>
            <w:r>
              <w:rPr>
                <w:sz w:val="17"/>
              </w:rPr>
              <w:t>Sim</w:t>
            </w:r>
          </w:p>
        </w:tc>
        <w:tc>
          <w:tcPr>
            <w:tcW w:type="dxa" w:w="1972"/>
            <w:vAlign w:val="top"/>
          </w:tcPr>
          <w:p>
            <w:r>
              <w:rPr>
                <w:sz w:val="17"/>
              </w:rPr>
              <w:t>Sim</w:t>
            </w:r>
          </w:p>
        </w:tc>
        <w:tc>
          <w:tcPr>
            <w:tcW w:type="dxa" w:w="1972"/>
            <w:vAlign w:val="top"/>
          </w:tcPr>
          <w:p>
            <w:r>
              <w:rPr>
                <w:sz w:val="17"/>
              </w:rPr>
              <w:t>Não</w:t>
            </w:r>
          </w:p>
        </w:tc>
        <w:tc>
          <w:tcPr>
            <w:tcW w:type="dxa" w:w="1972"/>
            <w:vAlign w:val="top"/>
          </w:tcPr>
          <w:p>
            <w:r>
              <w:rPr>
                <w:sz w:val="17"/>
              </w:rPr>
              <w:t>Não</w:t>
            </w:r>
          </w:p>
        </w:tc>
      </w:tr>
      <w:tr>
        <w:trPr>
          <w:cantSplit/>
        </w:trPr>
        <w:tc>
          <w:tcPr>
            <w:tcW w:type="dxa" w:w="1972"/>
            <w:vAlign w:val="top"/>
          </w:tcPr>
          <w:p>
            <w:r>
              <w:rPr>
                <w:sz w:val="17"/>
              </w:rPr>
              <w:t>Visualizar UORGs da Gerência</w:t>
            </w:r>
          </w:p>
        </w:tc>
        <w:tc>
          <w:tcPr>
            <w:tcW w:type="dxa" w:w="1972"/>
            <w:vAlign w:val="top"/>
          </w:tcPr>
          <w:p>
            <w:r>
              <w:rPr>
                <w:sz w:val="17"/>
              </w:rPr>
              <w:t>Sim</w:t>
            </w:r>
          </w:p>
        </w:tc>
        <w:tc>
          <w:tcPr>
            <w:tcW w:type="dxa" w:w="1972"/>
            <w:vAlign w:val="top"/>
          </w:tcPr>
          <w:p>
            <w:r>
              <w:rPr>
                <w:sz w:val="17"/>
              </w:rPr>
              <w:t>Sim</w:t>
            </w:r>
          </w:p>
        </w:tc>
        <w:tc>
          <w:tcPr>
            <w:tcW w:type="dxa" w:w="1972"/>
            <w:vAlign w:val="top"/>
          </w:tcPr>
          <w:p>
            <w:r>
              <w:rPr>
                <w:sz w:val="17"/>
              </w:rPr>
              <w:t>Sim</w:t>
            </w:r>
          </w:p>
        </w:tc>
        <w:tc>
          <w:tcPr>
            <w:tcW w:type="dxa" w:w="1972"/>
            <w:vAlign w:val="top"/>
          </w:tcPr>
          <w:p>
            <w:r>
              <w:rPr>
                <w:sz w:val="17"/>
              </w:rPr>
              <w:t>Não</w:t>
            </w:r>
          </w:p>
        </w:tc>
      </w:tr>
      <w:tr>
        <w:trPr>
          <w:cantSplit/>
        </w:trPr>
        <w:tc>
          <w:tcPr>
            <w:tcW w:type="dxa" w:w="1972"/>
            <w:vAlign w:val="top"/>
          </w:tcPr>
          <w:p>
            <w:r>
              <w:rPr>
                <w:sz w:val="17"/>
              </w:rPr>
              <w:t>Registrar feedback</w:t>
            </w:r>
          </w:p>
        </w:tc>
        <w:tc>
          <w:tcPr>
            <w:tcW w:type="dxa" w:w="1972"/>
            <w:vAlign w:val="top"/>
          </w:tcPr>
          <w:p>
            <w:r>
              <w:rPr>
                <w:sz w:val="17"/>
              </w:rPr>
              <w:t>Não (salvo evolução futura)</w:t>
            </w:r>
          </w:p>
        </w:tc>
        <w:tc>
          <w:tcPr>
            <w:tcW w:type="dxa" w:w="1972"/>
            <w:vAlign w:val="top"/>
          </w:tcPr>
          <w:p>
            <w:r>
              <w:rPr>
                <w:sz w:val="17"/>
              </w:rPr>
              <w:t>Sim</w:t>
            </w:r>
          </w:p>
        </w:tc>
        <w:tc>
          <w:tcPr>
            <w:tcW w:type="dxa" w:w="1972"/>
            <w:vAlign w:val="top"/>
          </w:tcPr>
          <w:p>
            <w:r>
              <w:rPr>
                <w:sz w:val="17"/>
              </w:rPr>
              <w:t>Não</w:t>
            </w:r>
          </w:p>
        </w:tc>
        <w:tc>
          <w:tcPr>
            <w:tcW w:type="dxa" w:w="1972"/>
            <w:vAlign w:val="top"/>
          </w:tcPr>
          <w:p>
            <w:r>
              <w:rPr>
                <w:sz w:val="17"/>
              </w:rPr>
              <w:t>Não</w:t>
            </w:r>
          </w:p>
        </w:tc>
      </w:tr>
      <w:tr>
        <w:trPr>
          <w:cantSplit/>
        </w:trPr>
        <w:tc>
          <w:tcPr>
            <w:tcW w:type="dxa" w:w="1972"/>
            <w:vAlign w:val="top"/>
          </w:tcPr>
          <w:p>
            <w:r>
              <w:rPr>
                <w:sz w:val="17"/>
              </w:rPr>
              <w:t>Editar feedback próprio</w:t>
            </w:r>
          </w:p>
        </w:tc>
        <w:tc>
          <w:tcPr>
            <w:tcW w:type="dxa" w:w="1972"/>
            <w:vAlign w:val="top"/>
          </w:tcPr>
          <w:p>
            <w:r>
              <w:rPr>
                <w:sz w:val="17"/>
              </w:rPr>
              <w:t>Não</w:t>
            </w:r>
          </w:p>
        </w:tc>
        <w:tc>
          <w:tcPr>
            <w:tcW w:type="dxa" w:w="1972"/>
            <w:vAlign w:val="top"/>
          </w:tcPr>
          <w:p>
            <w:r>
              <w:rPr>
                <w:sz w:val="17"/>
              </w:rPr>
              <w:t>Sim</w:t>
            </w:r>
          </w:p>
        </w:tc>
        <w:tc>
          <w:tcPr>
            <w:tcW w:type="dxa" w:w="1972"/>
            <w:vAlign w:val="top"/>
          </w:tcPr>
          <w:p>
            <w:r>
              <w:rPr>
                <w:sz w:val="17"/>
              </w:rPr>
              <w:t>Não</w:t>
            </w:r>
          </w:p>
        </w:tc>
        <w:tc>
          <w:tcPr>
            <w:tcW w:type="dxa" w:w="1972"/>
            <w:vAlign w:val="top"/>
          </w:tcPr>
          <w:p>
            <w:r>
              <w:rPr>
                <w:sz w:val="17"/>
              </w:rPr>
              <w:t>Não</w:t>
            </w:r>
          </w:p>
        </w:tc>
      </w:tr>
    </w:tbl>
    <w:p>
      <w:pPr>
        <w:pStyle w:val="Heading1"/>
      </w:pPr>
      <w:r>
        <w:t>6. Ciclo anual e configuração do exercício</w:t>
      </w:r>
    </w:p>
    <w:p>
      <w:r>
        <w:t>O exercício deverá ser uma entidade central. Entregas, indicadores, relatórios, janelas, resultados e históricos precisam estar vinculados explicitamente ao ano de referência.</w:t>
      </w:r>
    </w:p>
    <w:p>
      <w:pPr>
        <w:pStyle w:val="Heading2"/>
      </w:pPr>
      <w:r>
        <w:t>6.1 Estados sugeridos do exercício</w:t>
      </w:r>
    </w:p>
    <w:p>
      <w:pPr>
        <w:pStyle w:val="ListBullet"/>
      </w:pPr>
      <w:r>
        <w:t>Em configuração</w:t>
      </w:r>
    </w:p>
    <w:p>
      <w:pPr>
        <w:pStyle w:val="ListBullet"/>
      </w:pPr>
      <w:r>
        <w:t>Planejamento aberto</w:t>
      </w:r>
    </w:p>
    <w:p>
      <w:pPr>
        <w:pStyle w:val="ListBullet"/>
      </w:pPr>
      <w:r>
        <w:t>Em execução</w:t>
      </w:r>
    </w:p>
    <w:p>
      <w:pPr>
        <w:pStyle w:val="ListBullet"/>
      </w:pPr>
      <w:r>
        <w:t>Encerrado</w:t>
      </w:r>
    </w:p>
    <w:p>
      <w:pPr>
        <w:pStyle w:val="Heading2"/>
      </w:pPr>
      <w:r>
        <w:t>6.2 Configuração pelo Administrador</w:t>
      </w:r>
    </w:p>
    <w:p>
      <w:pPr>
        <w:pStyle w:val="Heading3"/>
      </w:pPr>
      <w:r>
        <w:t>RF-EXE-01 — Criar exercício</w:t>
      </w:r>
    </w:p>
    <w:p>
      <w:r>
        <w:t>Permitir criar um novo ano de referência sem sobrescrever dados de anos anteriores.</w:t>
      </w:r>
    </w:p>
    <w:p>
      <w:r>
        <w:rPr>
          <w:b/>
        </w:rPr>
        <w:t xml:space="preserve">Prioridade: </w:t>
      </w:r>
      <w:r>
        <w:t>Obrigatório</w:t>
      </w:r>
    </w:p>
    <w:p>
      <w:pPr>
        <w:pStyle w:val="Heading3"/>
      </w:pPr>
      <w:r>
        <w:t>RF-EXE-02 — Definir participantes</w:t>
      </w:r>
    </w:p>
    <w:p>
      <w:r>
        <w:t>Permitir selecionar quais UORGs participarão daquele exercício, preservando uma fotografia histórica da estrutura aplicável.</w:t>
      </w:r>
    </w:p>
    <w:p>
      <w:r>
        <w:rPr>
          <w:b/>
        </w:rPr>
        <w:t xml:space="preserve">Prioridade: </w:t>
      </w:r>
      <w:r>
        <w:t>Obrigatório</w:t>
      </w:r>
    </w:p>
    <w:p>
      <w:pPr>
        <w:pStyle w:val="Heading3"/>
      </w:pPr>
      <w:r>
        <w:t>RF-EXE-03 — Definir regras de planejamento</w:t>
      </w:r>
    </w:p>
    <w:p>
      <w:r>
        <w:t>Permitir informar a quantidade obrigatória de entregas por UORG e manter a regra de 1 a 3 indicadores, salvo configuração futura diferente.</w:t>
      </w:r>
    </w:p>
    <w:p>
      <w:r>
        <w:rPr>
          <w:b/>
        </w:rPr>
        <w:t xml:space="preserve">Prioridade: </w:t>
      </w:r>
      <w:r>
        <w:t>Obrigatório</w:t>
      </w:r>
    </w:p>
    <w:p>
      <w:pPr>
        <w:pStyle w:val="Heading3"/>
      </w:pPr>
      <w:r>
        <w:t>RF-EXE-04 — Calendário bimestral</w:t>
      </w:r>
    </w:p>
    <w:p>
      <w:r>
        <w:t>Permitir registrar datas previstas de abertura e encerramento para cada um dos seis bimestres; a efetiva disponibilização continua controlada pelo Administrador.</w:t>
      </w:r>
    </w:p>
    <w:p>
      <w:r>
        <w:rPr>
          <w:b/>
        </w:rPr>
        <w:t xml:space="preserve">Prioridade: </w:t>
      </w:r>
      <w:r>
        <w:t>Obrigatório</w:t>
      </w:r>
    </w:p>
    <w:p>
      <w:pPr>
        <w:pStyle w:val="Rule"/>
      </w:pPr>
      <w:r>
        <w:rPr>
          <w:b/>
        </w:rPr>
        <w:t xml:space="preserve">RN-EXE-01 — Isolamento histórico. </w:t>
      </w:r>
      <w:r>
        <w:t>Dados de um exercício não podem ser sobrescritos por configuração do exercício seguinte.</w:t>
      </w:r>
    </w:p>
    <w:p>
      <w:pPr>
        <w:pStyle w:val="Heading1"/>
      </w:pPr>
      <w:r>
        <w:t>7. Entregas</w:t>
      </w:r>
    </w:p>
    <w:p>
      <w:pPr>
        <w:pStyle w:val="Heading2"/>
      </w:pPr>
      <w:r>
        <w:t>7.1 Cadastro anual</w:t>
      </w:r>
    </w:p>
    <w:p>
      <w:pPr>
        <w:pStyle w:val="Heading3"/>
      </w:pPr>
      <w:r>
        <w:t>RF-ENT-01 — Quantidade obrigatória</w:t>
      </w:r>
    </w:p>
    <w:p>
      <w:r>
        <w:t>Ao habilitar o planejamento anual, o Administrador deverá definir a quantidade obrigatória de entregas esperadas para a UORG ou para o conjunto selecionado.</w:t>
      </w:r>
    </w:p>
    <w:p>
      <w:r>
        <w:rPr>
          <w:b/>
        </w:rPr>
        <w:t xml:space="preserve">Prioridade: </w:t>
      </w:r>
      <w:r>
        <w:t>Obrigatório</w:t>
      </w:r>
    </w:p>
    <w:p>
      <w:pPr>
        <w:pStyle w:val="Heading3"/>
      </w:pPr>
      <w:r>
        <w:t>RF-ENT-02 — Cadastro pelo Chefe</w:t>
      </w:r>
    </w:p>
    <w:p>
      <w:r>
        <w:t>Quando autorizado, o Chefe deverá cadastrar exatamente a quantidade requerida de entregas para o exercício.</w:t>
      </w:r>
    </w:p>
    <w:p>
      <w:r>
        <w:rPr>
          <w:b/>
        </w:rPr>
        <w:t xml:space="preserve">Prioridade: </w:t>
      </w:r>
      <w:r>
        <w:t>Obrigatório</w:t>
      </w:r>
    </w:p>
    <w:p>
      <w:pPr>
        <w:pStyle w:val="Heading3"/>
      </w:pPr>
      <w:r>
        <w:t>RF-ENT-03 — Edição durante janela de planejamento</w:t>
      </w:r>
    </w:p>
    <w:p>
      <w:r>
        <w:t>O Chefe poderá alterar entregas enquanto a edição do planejamento estiver habilitada pelo Administrador.</w:t>
      </w:r>
    </w:p>
    <w:p>
      <w:r>
        <w:rPr>
          <w:b/>
        </w:rPr>
        <w:t xml:space="preserve">Prioridade: </w:t>
      </w:r>
      <w:r>
        <w:t>Obrigatório</w:t>
      </w:r>
    </w:p>
    <w:p>
      <w:pPr>
        <w:pStyle w:val="Heading2"/>
      </w:pPr>
      <w:r>
        <w:t>7.2 Conclusão durante o relatório</w:t>
      </w:r>
    </w:p>
    <w:p>
      <w:pPr>
        <w:pStyle w:val="Heading3"/>
      </w:pPr>
      <w:r>
        <w:t>RF-ENT-04 — Marcar conclusão</w:t>
      </w:r>
    </w:p>
    <w:p>
      <w:r>
        <w:t>Durante um relatório bimestral, o Chefe visualizará apenas entregas ainda pendentes e poderá marcá-las como concluídas por checkbox ou controle equivalente.</w:t>
      </w:r>
    </w:p>
    <w:p>
      <w:r>
        <w:rPr>
          <w:b/>
        </w:rPr>
        <w:t xml:space="preserve">Prioridade: </w:t>
      </w:r>
      <w:r>
        <w:t>Obrigatório</w:t>
      </w:r>
    </w:p>
    <w:p>
      <w:pPr>
        <w:pStyle w:val="Rule"/>
      </w:pPr>
      <w:r>
        <w:rPr>
          <w:b/>
        </w:rPr>
        <w:t xml:space="preserve">RN-ENT-01 — Conclusão única. </w:t>
      </w:r>
      <w:r>
        <w:t>Uma entrega concluída em determinado bimestre não deve voltar a ser solicitada nos bimestres seguintes.</w:t>
      </w:r>
    </w:p>
    <w:p>
      <w:pPr>
        <w:pStyle w:val="Rule"/>
      </w:pPr>
      <w:r>
        <w:rPr>
          <w:b/>
        </w:rPr>
        <w:t xml:space="preserve">RN-ENT-02 — Competência de conclusão. </w:t>
      </w:r>
      <w:r>
        <w:t>Ao concluir a entrega, o sistema deve registrar exercício, bimestre de conclusão, data/hora e usuário responsável pelo registro.</w:t>
      </w:r>
    </w:p>
    <w:p>
      <w:pPr>
        <w:pStyle w:val="Heading3"/>
      </w:pPr>
      <w:r>
        <w:t>RF-ENT-05 — Confirmação de conclusão</w:t>
      </w:r>
    </w:p>
    <w:p>
      <w:r>
        <w:t>Antes da confirmação final do envio, a interface deve deixar claro que a entrega marcada como concluída deixará de aparecer para preenchimento futuro.</w:t>
      </w:r>
    </w:p>
    <w:p>
      <w:r>
        <w:rPr>
          <w:b/>
        </w:rPr>
        <w:t xml:space="preserve">Prioridade: </w:t>
      </w:r>
      <w:r>
        <w:t>Obrigatório</w:t>
      </w:r>
    </w:p>
    <w:p>
      <w:pPr>
        <w:pStyle w:val="Heading2"/>
      </w:pPr>
      <w:r>
        <w:t>7.3 Alteração estrutural após início do exercício</w:t>
      </w:r>
    </w:p>
    <w:p>
      <w:pPr>
        <w:pStyle w:val="Decision"/>
      </w:pPr>
      <w:r>
        <w:t>DECISÃO APROVADA — Entregas que já possuam histórico em relatórios não devem ser excluídas fisicamente. Devem poder ser inativadas, preservando a trilha histórica.</w:t>
      </w:r>
    </w:p>
    <w:p>
      <w:pPr>
        <w:pStyle w:val="Rule"/>
      </w:pPr>
      <w:r>
        <w:rPr>
          <w:b/>
        </w:rPr>
        <w:t xml:space="preserve">RN-ENT-03 — Preservação histórica. </w:t>
      </w:r>
      <w:r>
        <w:t>Uma entrega referenciada por relatório anterior não pode ser removida de forma destrutiva.</w:t>
      </w:r>
    </w:p>
    <w:p>
      <w:pPr>
        <w:pStyle w:val="Heading1"/>
      </w:pPr>
      <w:r>
        <w:t>8. Indicadores e periodicidade</w:t>
      </w:r>
    </w:p>
    <w:p>
      <w:pPr>
        <w:pStyle w:val="Heading2"/>
      </w:pPr>
      <w:r>
        <w:t>8.1 Cadastro anual do indicador</w:t>
      </w:r>
    </w:p>
    <w:p>
      <w:pPr>
        <w:pStyle w:val="Heading3"/>
      </w:pPr>
      <w:r>
        <w:t>RF-IND-01 — Quantidade por UORG</w:t>
      </w:r>
    </w:p>
    <w:p>
      <w:r>
        <w:t>O Chefe deverá propor no mínimo 1 e no máximo 3 indicadores quando o cadastro estiver habilitado.</w:t>
      </w:r>
    </w:p>
    <w:p>
      <w:r>
        <w:rPr>
          <w:b/>
        </w:rPr>
        <w:t xml:space="preserve">Prioridade: </w:t>
      </w:r>
      <w:r>
        <w:t>Obrigatório</w:t>
      </w:r>
    </w:p>
    <w:p>
      <w:pPr>
        <w:pStyle w:val="Heading3"/>
      </w:pPr>
      <w:r>
        <w:t>RF-IND-02 — Campos do indicador</w:t>
      </w:r>
    </w:p>
    <w:p>
      <w:r>
        <w:t>Cada indicador deverá possuir, no mínimo: nome, meta, unidade de medida, critério/operador da meta, periodicidade e descrição opcional.</w:t>
      </w:r>
    </w:p>
    <w:p>
      <w:r>
        <w:rPr>
          <w:b/>
        </w:rPr>
        <w:t xml:space="preserve">Prioridade: </w:t>
      </w:r>
      <w:r>
        <w:t>Obrigatório</w:t>
      </w:r>
    </w:p>
    <w:p>
      <w:pPr>
        <w:pStyle w:val="Heading3"/>
      </w:pPr>
      <w:r>
        <w:t>RF-IND-03 — Meta numérica</w:t>
      </w:r>
    </w:p>
    <w:p>
      <w:r>
        <w:t>O valor da meta deverá ser armazenado como número, e não como texto formatado. A unidade e o operador deverão ser campos separados.</w:t>
      </w:r>
    </w:p>
    <w:p>
      <w:r>
        <w:rPr>
          <w:b/>
        </w:rPr>
        <w:t xml:space="preserve">Prioridade: </w:t>
      </w:r>
      <w:r>
        <w:t>Obrigatório</w:t>
      </w:r>
    </w:p>
    <w:p>
      <w:pPr>
        <w:pStyle w:val="Heading3"/>
      </w:pPr>
      <w:r>
        <w:t>RF-IND-04 — Operador da meta</w:t>
      </w:r>
    </w:p>
    <w:p>
      <w:r>
        <w:t>Disponibilizar inicialmente os operadores ≥, ≤ e =. A arquitetura deve permitir expansão futura para outros critérios, como intervalo.</w:t>
      </w:r>
    </w:p>
    <w:p>
      <w:r>
        <w:rPr>
          <w:b/>
        </w:rPr>
        <w:t xml:space="preserve">Prioridade: </w:t>
      </w:r>
      <w:r>
        <w:t>Obrigatório</w:t>
      </w:r>
    </w:p>
    <w:p>
      <w:pPr>
        <w:pStyle w:val="Heading3"/>
      </w:pPr>
      <w:r>
        <w:t>RF-IND-05 — Unidade de medida</w:t>
      </w:r>
    </w:p>
    <w:p>
      <w:r>
        <w:t>Permitir unidades como %, R$, dias, horas, pacientes, procedimentos, unidades e texto personalizado.</w:t>
      </w:r>
    </w:p>
    <w:p>
      <w:r>
        <w:rPr>
          <w:b/>
        </w:rPr>
        <w:t xml:space="preserve">Prioridade: </w:t>
      </w:r>
      <w:r>
        <w:t>Obrigatório</w:t>
      </w:r>
    </w:p>
    <w:p>
      <w:pPr>
        <w:pStyle w:val="Rule"/>
      </w:pPr>
      <w:r>
        <w:rPr>
          <w:b/>
        </w:rPr>
        <w:t xml:space="preserve">RN-IND-01 — Cálculo de atingimento. </w:t>
      </w:r>
      <w:r>
        <w:t>O sistema deve avaliar automaticamente se a meta foi atingida usando resultado, valor da meta e operador configurado.</w:t>
      </w:r>
    </w:p>
    <w:p>
      <w:pPr>
        <w:pStyle w:val="Heading2"/>
      </w:pPr>
      <w:r>
        <w:t>8.2 Periodicidades suportadas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rPr>
          <w:tblHeader w:val="true"/>
          <w:cantSplit/>
        </w:trPr>
        <w:tc>
          <w:tcPr>
            <w:tcW w:type="dxa" w:w="2465"/>
            <w:shd w:fill="112641"/>
            <w:vAlign w:val="center"/>
          </w:tcPr>
          <w:p>
            <w:r>
              <w:rPr>
                <w:b/>
                <w:color w:val="FFFFFF"/>
                <w:sz w:val="18"/>
              </w:rPr>
              <w:t>Periodicidade</w:t>
            </w:r>
          </w:p>
        </w:tc>
        <w:tc>
          <w:tcPr>
            <w:tcW w:type="dxa" w:w="2465"/>
            <w:shd w:fill="112641"/>
            <w:vAlign w:val="center"/>
          </w:tcPr>
          <w:p>
            <w:r>
              <w:rPr>
                <w:b/>
                <w:color w:val="FFFFFF"/>
                <w:sz w:val="18"/>
              </w:rPr>
              <w:t>Bimestres em que solicita resultado</w:t>
            </w:r>
          </w:p>
        </w:tc>
        <w:tc>
          <w:tcPr>
            <w:tcW w:type="dxa" w:w="2465"/>
            <w:shd w:fill="112641"/>
            <w:vAlign w:val="center"/>
          </w:tcPr>
          <w:p>
            <w:r>
              <w:rPr>
                <w:b/>
                <w:color w:val="FFFFFF"/>
                <w:sz w:val="18"/>
              </w:rPr>
              <w:t>Quantidade de campos</w:t>
            </w:r>
          </w:p>
        </w:tc>
        <w:tc>
          <w:tcPr>
            <w:tcW w:type="dxa" w:w="2465"/>
            <w:shd w:fill="112641"/>
            <w:vAlign w:val="center"/>
          </w:tcPr>
          <w:p>
            <w:r>
              <w:rPr>
                <w:b/>
                <w:color w:val="FFFFFF"/>
                <w:sz w:val="18"/>
              </w:rPr>
              <w:t>Competência</w:t>
            </w:r>
          </w:p>
        </w:tc>
      </w:tr>
      <w:tr>
        <w:trPr>
          <w:cantSplit/>
        </w:trPr>
        <w:tc>
          <w:tcPr>
            <w:tcW w:type="dxa" w:w="2465"/>
            <w:vAlign w:val="top"/>
          </w:tcPr>
          <w:p>
            <w:r>
              <w:rPr>
                <w:sz w:val="17"/>
              </w:rPr>
              <w:t>Mensal</w:t>
            </w:r>
          </w:p>
        </w:tc>
        <w:tc>
          <w:tcPr>
            <w:tcW w:type="dxa" w:w="2465"/>
            <w:vAlign w:val="top"/>
          </w:tcPr>
          <w:p>
            <w:r>
              <w:rPr>
                <w:sz w:val="17"/>
              </w:rPr>
              <w:t>1º ao 6º BI</w:t>
            </w:r>
          </w:p>
        </w:tc>
        <w:tc>
          <w:tcPr>
            <w:tcW w:type="dxa" w:w="2465"/>
            <w:vAlign w:val="top"/>
          </w:tcPr>
          <w:p>
            <w:r>
              <w:rPr>
                <w:sz w:val="17"/>
              </w:rPr>
              <w:t>2 por bimestre</w:t>
            </w:r>
          </w:p>
        </w:tc>
        <w:tc>
          <w:tcPr>
            <w:tcW w:type="dxa" w:w="2465"/>
            <w:vAlign w:val="top"/>
          </w:tcPr>
          <w:p>
            <w:r>
              <w:rPr>
                <w:sz w:val="17"/>
              </w:rPr>
              <w:t>Cada mês do bimestre</w:t>
            </w:r>
          </w:p>
        </w:tc>
      </w:tr>
      <w:tr>
        <w:trPr>
          <w:cantSplit/>
        </w:trPr>
        <w:tc>
          <w:tcPr>
            <w:tcW w:type="dxa" w:w="2465"/>
            <w:vAlign w:val="top"/>
          </w:tcPr>
          <w:p>
            <w:r>
              <w:rPr>
                <w:sz w:val="17"/>
              </w:rPr>
              <w:t>Bimestral</w:t>
            </w:r>
          </w:p>
        </w:tc>
        <w:tc>
          <w:tcPr>
            <w:tcW w:type="dxa" w:w="2465"/>
            <w:vAlign w:val="top"/>
          </w:tcPr>
          <w:p>
            <w:r>
              <w:rPr>
                <w:sz w:val="17"/>
              </w:rPr>
              <w:t>1º ao 6º BI</w:t>
            </w:r>
          </w:p>
        </w:tc>
        <w:tc>
          <w:tcPr>
            <w:tcW w:type="dxa" w:w="2465"/>
            <w:vAlign w:val="top"/>
          </w:tcPr>
          <w:p>
            <w:r>
              <w:rPr>
                <w:sz w:val="17"/>
              </w:rPr>
              <w:t>1 por bimestre</w:t>
            </w:r>
          </w:p>
        </w:tc>
        <w:tc>
          <w:tcPr>
            <w:tcW w:type="dxa" w:w="2465"/>
            <w:vAlign w:val="top"/>
          </w:tcPr>
          <w:p>
            <w:r>
              <w:rPr>
                <w:sz w:val="17"/>
              </w:rPr>
              <w:t>Os dois meses do BI</w:t>
            </w:r>
          </w:p>
        </w:tc>
      </w:tr>
      <w:tr>
        <w:trPr>
          <w:cantSplit/>
        </w:trPr>
        <w:tc>
          <w:tcPr>
            <w:tcW w:type="dxa" w:w="2465"/>
            <w:vAlign w:val="top"/>
          </w:tcPr>
          <w:p>
            <w:r>
              <w:rPr>
                <w:sz w:val="17"/>
              </w:rPr>
              <w:t>Trimestral</w:t>
            </w:r>
          </w:p>
        </w:tc>
        <w:tc>
          <w:tcPr>
            <w:tcW w:type="dxa" w:w="2465"/>
            <w:vAlign w:val="top"/>
          </w:tcPr>
          <w:p>
            <w:r>
              <w:rPr>
                <w:sz w:val="17"/>
              </w:rPr>
              <w:t>2º, 3º, 5º e 6º BI</w:t>
            </w:r>
          </w:p>
        </w:tc>
        <w:tc>
          <w:tcPr>
            <w:tcW w:type="dxa" w:w="2465"/>
            <w:vAlign w:val="top"/>
          </w:tcPr>
          <w:p>
            <w:r>
              <w:rPr>
                <w:sz w:val="17"/>
              </w:rPr>
              <w:t>1 quando houver fechamento de trimestre</w:t>
            </w:r>
          </w:p>
        </w:tc>
        <w:tc>
          <w:tcPr>
            <w:tcW w:type="dxa" w:w="2465"/>
            <w:vAlign w:val="top"/>
          </w:tcPr>
          <w:p>
            <w:r>
              <w:rPr>
                <w:sz w:val="17"/>
              </w:rPr>
              <w:t>1º tri jan-mar; 2º tri abr-jun; 3º tri jul-set; 4º tri out-dez</w:t>
            </w:r>
          </w:p>
        </w:tc>
      </w:tr>
      <w:tr>
        <w:trPr>
          <w:cantSplit/>
        </w:trPr>
        <w:tc>
          <w:tcPr>
            <w:tcW w:type="dxa" w:w="2465"/>
            <w:vAlign w:val="top"/>
          </w:tcPr>
          <w:p>
            <w:r>
              <w:rPr>
                <w:sz w:val="17"/>
              </w:rPr>
              <w:t>Quadrimestral</w:t>
            </w:r>
          </w:p>
        </w:tc>
        <w:tc>
          <w:tcPr>
            <w:tcW w:type="dxa" w:w="2465"/>
            <w:vAlign w:val="top"/>
          </w:tcPr>
          <w:p>
            <w:r>
              <w:rPr>
                <w:sz w:val="17"/>
              </w:rPr>
              <w:t>2º, 4º e 6º BI</w:t>
            </w:r>
          </w:p>
        </w:tc>
        <w:tc>
          <w:tcPr>
            <w:tcW w:type="dxa" w:w="2465"/>
            <w:vAlign w:val="top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2465"/>
            <w:vAlign w:val="top"/>
          </w:tcPr>
          <w:p>
            <w:r>
              <w:rPr>
                <w:sz w:val="17"/>
              </w:rPr>
              <w:t>Jan-abr; mai-ago; set-dez</w:t>
            </w:r>
          </w:p>
        </w:tc>
      </w:tr>
      <w:tr>
        <w:trPr>
          <w:cantSplit/>
        </w:trPr>
        <w:tc>
          <w:tcPr>
            <w:tcW w:type="dxa" w:w="2465"/>
            <w:vAlign w:val="top"/>
          </w:tcPr>
          <w:p>
            <w:r>
              <w:rPr>
                <w:sz w:val="17"/>
              </w:rPr>
              <w:t>Semestral</w:t>
            </w:r>
          </w:p>
        </w:tc>
        <w:tc>
          <w:tcPr>
            <w:tcW w:type="dxa" w:w="2465"/>
            <w:vAlign w:val="top"/>
          </w:tcPr>
          <w:p>
            <w:r>
              <w:rPr>
                <w:sz w:val="17"/>
              </w:rPr>
              <w:t>3º e 6º BI</w:t>
            </w:r>
          </w:p>
        </w:tc>
        <w:tc>
          <w:tcPr>
            <w:tcW w:type="dxa" w:w="2465"/>
            <w:vAlign w:val="top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2465"/>
            <w:vAlign w:val="top"/>
          </w:tcPr>
          <w:p>
            <w:r>
              <w:rPr>
                <w:sz w:val="17"/>
              </w:rPr>
              <w:t>Jan-jun; jul-dez</w:t>
            </w:r>
          </w:p>
        </w:tc>
      </w:tr>
    </w:tbl>
    <w:p>
      <w:pPr>
        <w:pStyle w:val="Heading2"/>
      </w:pPr>
      <w:r>
        <w:t>8.3 Regra de competência</w:t>
      </w:r>
    </w:p>
    <w:p>
      <w:pPr>
        <w:pStyle w:val="Rule"/>
      </w:pPr>
      <w:r>
        <w:rPr>
          <w:b/>
        </w:rPr>
        <w:t xml:space="preserve">RN-IND-02 — Janela de coleta versus competência. </w:t>
      </w:r>
      <w:r>
        <w:t>O bimestre define quando a informação será coletada. A competência define a qual período real o resultado pertence. Esses dois conceitos devem ser armazenados e exibidos separadamente.</w:t>
      </w:r>
    </w:p>
    <w:p>
      <w:pPr>
        <w:pStyle w:val="Rule"/>
      </w:pPr>
      <w:r>
        <w:rPr>
          <w:b/>
        </w:rPr>
        <w:t xml:space="preserve">RN-IND-03 — Indicador mensal. </w:t>
      </w:r>
      <w:r>
        <w:t>Cada bimestre deve solicitar dois valores mensais distintos, preservados individualmente para gráficos e histórico.</w:t>
      </w:r>
    </w:p>
    <w:p>
      <w:pPr>
        <w:pStyle w:val="Rule"/>
      </w:pPr>
      <w:r>
        <w:rPr>
          <w:b/>
        </w:rPr>
        <w:t xml:space="preserve">RN-IND-04 — Indicador trimestral. </w:t>
      </w:r>
      <w:r>
        <w:t>Como trimestre e bimestre não se alinham, o resultado trimestral será solicitado no bimestre que contém o encerramento do trimestre: 2º BI para jan-mar; 3º BI para abr-jun; 5º BI para jul-set; 6º BI para out-dez.</w:t>
      </w:r>
    </w:p>
    <w:p>
      <w:pPr>
        <w:pStyle w:val="Rule"/>
      </w:pPr>
      <w:r>
        <w:rPr>
          <w:b/>
        </w:rPr>
        <w:t xml:space="preserve">RN-IND-05 — Não aplicável. </w:t>
      </w:r>
      <w:r>
        <w:t>Quando a periodicidade não exigir resultado no bimestre em questão, o indicador não deve ser tratado como pendente. Seu estado funcional será “não aplicável ao período”.</w:t>
      </w:r>
    </w:p>
    <w:p>
      <w:pPr>
        <w:pStyle w:val="Heading2"/>
      </w:pPr>
      <w:r>
        <w:t>8.4 Orientações contextuais ao usuário</w:t>
      </w:r>
    </w:p>
    <w:p>
      <w:pPr>
        <w:pStyle w:val="Decision"/>
      </w:pPr>
      <w:r>
        <w:t>DECISÃO APROVADA — A interface deverá explicar explicitamente periodicidade, competência e quantidade de campos no momento do preenchimento. O usuário não deverá calcular ou deduzir quando um indicador deve ser informado.</w:t>
      </w:r>
    </w:p>
    <w:p>
      <w:pPr>
        <w:pStyle w:val="Heading3"/>
      </w:pPr>
      <w:r>
        <w:t>RF-IND-06 — Mensagem contextual</w:t>
      </w:r>
    </w:p>
    <w:p>
      <w:r>
        <w:t>Para cada indicador solicitado no relatório, exibir nome, periodicidade, meta, unidade, competência e uma orientação curta sobre o que deve ser informado.</w:t>
      </w:r>
    </w:p>
    <w:p>
      <w:r>
        <w:rPr>
          <w:b/>
        </w:rPr>
        <w:t xml:space="preserve">Prioridade: </w:t>
      </w:r>
      <w:r>
        <w:t>Obrigatório</w:t>
      </w:r>
    </w:p>
    <w:p>
      <w:pPr>
        <w:pStyle w:val="Heading3"/>
      </w:pPr>
      <w:r>
        <w:t>RF-IND-07 — Mensagens dinâmicas</w:t>
      </w:r>
    </w:p>
    <w:p>
      <w:r>
        <w:t>As orientações devem ser produzidas de forma centralizada a partir da regra de periodicidade/competência, evitando textos contraditórios distribuídos pelo frontend.</w:t>
      </w:r>
    </w:p>
    <w:p>
      <w:r>
        <w:rPr>
          <w:b/>
        </w:rPr>
        <w:t xml:space="preserve">Prioridade: </w:t>
      </w:r>
      <w:r>
        <w:t>Obrigatório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  <w:cantSplit/>
        </w:trPr>
        <w:tc>
          <w:tcPr>
            <w:tcW w:type="dxa" w:w="4929"/>
            <w:shd w:fill="112641"/>
            <w:vAlign w:val="center"/>
          </w:tcPr>
          <w:p>
            <w:r>
              <w:rPr>
                <w:b/>
                <w:color w:val="FFFFFF"/>
                <w:sz w:val="18"/>
              </w:rPr>
              <w:t>Situação</w:t>
            </w:r>
          </w:p>
        </w:tc>
        <w:tc>
          <w:tcPr>
            <w:tcW w:type="dxa" w:w="4929"/>
            <w:shd w:fill="112641"/>
            <w:vAlign w:val="center"/>
          </w:tcPr>
          <w:p>
            <w:r>
              <w:rPr>
                <w:b/>
                <w:color w:val="FFFFFF"/>
                <w:sz w:val="18"/>
              </w:rPr>
              <w:t>Mensagem orientativa sugerida</w:t>
            </w:r>
          </w:p>
        </w:tc>
      </w:tr>
      <w:tr>
        <w:trPr>
          <w:cantSplit/>
        </w:trPr>
        <w:tc>
          <w:tcPr>
            <w:tcW w:type="dxa" w:w="4929"/>
            <w:vAlign w:val="top"/>
          </w:tcPr>
          <w:p>
            <w:r>
              <w:rPr>
                <w:sz w:val="17"/>
              </w:rPr>
              <w:t>Mensal no 2º BI</w:t>
            </w:r>
          </w:p>
        </w:tc>
        <w:tc>
          <w:tcPr>
            <w:tcW w:type="dxa" w:w="4929"/>
            <w:vAlign w:val="top"/>
          </w:tcPr>
          <w:p>
            <w:r>
              <w:rPr>
                <w:sz w:val="17"/>
              </w:rPr>
              <w:t>Este indicador possui periodicidade mensal. Informe separadamente os resultados de março e abril referentes ao 2º bimestre.</w:t>
            </w:r>
          </w:p>
        </w:tc>
      </w:tr>
      <w:tr>
        <w:trPr>
          <w:cantSplit/>
        </w:trPr>
        <w:tc>
          <w:tcPr>
            <w:tcW w:type="dxa" w:w="4929"/>
            <w:vAlign w:val="top"/>
          </w:tcPr>
          <w:p>
            <w:r>
              <w:rPr>
                <w:sz w:val="17"/>
              </w:rPr>
              <w:t>Bimestral no 2º BI</w:t>
            </w:r>
          </w:p>
        </w:tc>
        <w:tc>
          <w:tcPr>
            <w:tcW w:type="dxa" w:w="4929"/>
            <w:vAlign w:val="top"/>
          </w:tcPr>
          <w:p>
            <w:r>
              <w:rPr>
                <w:sz w:val="17"/>
              </w:rPr>
              <w:t>Este indicador possui periodicidade bimestral. Informe o resultado correspondente ao período de março e abril.</w:t>
            </w:r>
          </w:p>
        </w:tc>
      </w:tr>
      <w:tr>
        <w:trPr>
          <w:cantSplit/>
        </w:trPr>
        <w:tc>
          <w:tcPr>
            <w:tcW w:type="dxa" w:w="4929"/>
            <w:vAlign w:val="top"/>
          </w:tcPr>
          <w:p>
            <w:r>
              <w:rPr>
                <w:sz w:val="17"/>
              </w:rPr>
              <w:t>Trimestral no 2º BI</w:t>
            </w:r>
          </w:p>
        </w:tc>
        <w:tc>
          <w:tcPr>
            <w:tcW w:type="dxa" w:w="4929"/>
            <w:vAlign w:val="top"/>
          </w:tcPr>
          <w:p>
            <w:r>
              <w:rPr>
                <w:sz w:val="17"/>
              </w:rPr>
              <w:t>Este indicador possui periodicidade trimestral. Informe o resultado do 1º trimestre, correspondente ao período de janeiro a março.</w:t>
            </w:r>
          </w:p>
        </w:tc>
      </w:tr>
      <w:tr>
        <w:trPr>
          <w:cantSplit/>
        </w:trPr>
        <w:tc>
          <w:tcPr>
            <w:tcW w:type="dxa" w:w="4929"/>
            <w:vAlign w:val="top"/>
          </w:tcPr>
          <w:p>
            <w:r>
              <w:rPr>
                <w:sz w:val="17"/>
              </w:rPr>
              <w:t>Quadrimestral no 4º BI</w:t>
            </w:r>
          </w:p>
        </w:tc>
        <w:tc>
          <w:tcPr>
            <w:tcW w:type="dxa" w:w="4929"/>
            <w:vAlign w:val="top"/>
          </w:tcPr>
          <w:p>
            <w:r>
              <w:rPr>
                <w:sz w:val="17"/>
              </w:rPr>
              <w:t>Este indicador possui periodicidade quadrimestral. Informe o resultado do 2º quadrimestre, correspondente ao período de maio a agosto.</w:t>
            </w:r>
          </w:p>
        </w:tc>
      </w:tr>
      <w:tr>
        <w:trPr>
          <w:cantSplit/>
        </w:trPr>
        <w:tc>
          <w:tcPr>
            <w:tcW w:type="dxa" w:w="4929"/>
            <w:vAlign w:val="top"/>
          </w:tcPr>
          <w:p>
            <w:r>
              <w:rPr>
                <w:sz w:val="17"/>
              </w:rPr>
              <w:t>Semestral no 3º BI</w:t>
            </w:r>
          </w:p>
        </w:tc>
        <w:tc>
          <w:tcPr>
            <w:tcW w:type="dxa" w:w="4929"/>
            <w:vAlign w:val="top"/>
          </w:tcPr>
          <w:p>
            <w:r>
              <w:rPr>
                <w:sz w:val="17"/>
              </w:rPr>
              <w:t>Este indicador possui periodicidade semestral. Informe o resultado do 1º semestre, correspondente ao período de janeiro a junho.</w:t>
            </w:r>
          </w:p>
        </w:tc>
      </w:tr>
    </w:tbl>
    <w:p>
      <w:pPr>
        <w:pStyle w:val="Heading2"/>
      </w:pPr>
      <w:r>
        <w:t>8.5 Resultado ainda não disponível</w:t>
      </w:r>
    </w:p>
    <w:p>
      <w:pPr>
        <w:pStyle w:val="Heading3"/>
      </w:pPr>
      <w:r>
        <w:t>RF-IND-08 — Indisponibilidade justificada</w:t>
      </w:r>
    </w:p>
    <w:p>
      <w:r>
        <w:t>Além do campo numérico, permitir marcar “Resultado ainda não disponível”. Quando marcado, o sistema deve distinguir essa condição de um simples campo esquecido.</w:t>
      </w:r>
    </w:p>
    <w:p>
      <w:r>
        <w:rPr>
          <w:b/>
        </w:rPr>
        <w:t xml:space="preserve">Prioridade: </w:t>
      </w:r>
      <w:r>
        <w:t>Obrigatório</w:t>
      </w:r>
    </w:p>
    <w:p>
      <w:pPr>
        <w:pStyle w:val="Heading3"/>
      </w:pPr>
      <w:r>
        <w:t>RF-IND-09 — Justificativa</w:t>
      </w:r>
    </w:p>
    <w:p>
      <w:r>
        <w:t>Permitir justificativa curta para resultado indisponível. Recomenda-se torná-la obrigatória quando o usuário marcar explicitamente a indisponibilidade.</w:t>
      </w:r>
    </w:p>
    <w:p>
      <w:r>
        <w:rPr>
          <w:b/>
        </w:rPr>
        <w:t xml:space="preserve">Prioridade: </w:t>
      </w:r>
      <w:r>
        <w:t>Obrigatório</w:t>
      </w:r>
    </w:p>
    <w:p>
      <w:pPr>
        <w:pStyle w:val="Decision"/>
      </w:pPr>
      <w:r>
        <w:t>DECISÃO APROVADA — Campo vazio, resultado indisponível e indicador não aplicável são estados diferentes e não devem ser tratados de forma equivalente.</w:t>
      </w:r>
    </w:p>
    <w:p>
      <w:pPr>
        <w:pStyle w:val="Heading2"/>
      </w:pPr>
      <w:r>
        <w:t>8.6 Alteração após existência de resultados</w:t>
      </w:r>
    </w:p>
    <w:p>
      <w:pPr>
        <w:pStyle w:val="Rule"/>
      </w:pPr>
      <w:r>
        <w:rPr>
          <w:b/>
        </w:rPr>
        <w:t xml:space="preserve">RN-IND-06 — Inativação em vez de exclusão. </w:t>
      </w:r>
      <w:r>
        <w:t>Indicadores que já possuam resultados registrados não podem ser excluídos de forma destrutiva. Devem poder ser inativados para os períodos futuros, preservando os resultados anteriores.</w:t>
      </w:r>
    </w:p>
    <w:p>
      <w:pPr>
        <w:pStyle w:val="Heading1"/>
      </w:pPr>
      <w:r>
        <w:t>9. Relatório bimestral</w:t>
      </w:r>
    </w:p>
    <w:p>
      <w:pPr>
        <w:pStyle w:val="Heading2"/>
      </w:pPr>
      <w:r>
        <w:t>9.1 Conteúdo</w:t>
      </w:r>
    </w:p>
    <w:p>
      <w:r>
        <w:t>Cada relatório bimestral de uma UORG deverá reunir:</w:t>
      </w:r>
    </w:p>
    <w:p>
      <w:pPr>
        <w:pStyle w:val="ListBullet"/>
      </w:pPr>
      <w:r>
        <w:t>Entregas pendentes elegíveis para conclusão naquele BI.</w:t>
      </w:r>
    </w:p>
    <w:p>
      <w:pPr>
        <w:pStyle w:val="ListBullet"/>
      </w:pPr>
      <w:r>
        <w:t>Resultados dos indicadores aplicáveis segundo periodicidade e competência.</w:t>
      </w:r>
    </w:p>
    <w:p>
      <w:pPr>
        <w:pStyle w:val="ListBullet"/>
      </w:pPr>
      <w:r>
        <w:t>Destaques do bimestre.</w:t>
      </w:r>
    </w:p>
    <w:p>
      <w:pPr>
        <w:pStyle w:val="ListBullet"/>
      </w:pPr>
      <w:r>
        <w:t>Dificuldades do bimestre.</w:t>
      </w:r>
    </w:p>
    <w:p>
      <w:pPr>
        <w:pStyle w:val="ListBullet"/>
      </w:pPr>
      <w:r>
        <w:t>Feedback do Superintendente, quando existente, na visualização do relatório.</w:t>
      </w:r>
    </w:p>
    <w:p>
      <w:pPr>
        <w:pStyle w:val="Heading2"/>
      </w:pPr>
      <w:r>
        <w:t>9.2 Abertura regular</w:t>
      </w:r>
    </w:p>
    <w:p>
      <w:pPr>
        <w:pStyle w:val="Heading3"/>
      </w:pPr>
      <w:r>
        <w:t>RF-REL-01 — Liberar bimestre</w:t>
      </w:r>
    </w:p>
    <w:p>
      <w:r>
        <w:t>O Administrador deverá selecionar o exercício, bimestre e janela de preenchimento. Durante essa janela, o Chefe visualizará a ação “Responder relatório” como opção prioritária.</w:t>
      </w:r>
    </w:p>
    <w:p>
      <w:r>
        <w:rPr>
          <w:b/>
        </w:rPr>
        <w:t xml:space="preserve">Prioridade: </w:t>
      </w:r>
      <w:r>
        <w:t>Obrigatório</w:t>
      </w:r>
    </w:p>
    <w:p>
      <w:pPr>
        <w:pStyle w:val="Heading3"/>
      </w:pPr>
      <w:r>
        <w:t>RF-REL-02 — Escopo da abertura</w:t>
      </w:r>
    </w:p>
    <w:p>
      <w:r>
        <w:t>A especificação deve permitir, no mínimo, abertura geral do bimestre. A arquitetura pode suportar filtros por UORG caso isso seja desejado posteriormente.</w:t>
      </w:r>
    </w:p>
    <w:p>
      <w:r>
        <w:rPr>
          <w:b/>
        </w:rPr>
        <w:t xml:space="preserve">Prioridade: </w:t>
      </w:r>
      <w:r>
        <w:t>Obrigatório</w:t>
      </w:r>
    </w:p>
    <w:p>
      <w:pPr>
        <w:pStyle w:val="Heading2"/>
      </w:pPr>
      <w:r>
        <w:t>9.3 Validação para envio</w:t>
      </w:r>
    </w:p>
    <w:p>
      <w:pPr>
        <w:pStyle w:val="Heading3"/>
      </w:pPr>
      <w:r>
        <w:t>RF-REL-03 — Campos obrigatórios</w:t>
      </w:r>
    </w:p>
    <w:p>
      <w:r>
        <w:t>Destaques e dificuldades são obrigatórios. Resultados de indicadores devem respeitar sua aplicabilidade; quando não disponíveis, utilizar o estado específico de indisponibilidade.</w:t>
      </w:r>
    </w:p>
    <w:p>
      <w:r>
        <w:rPr>
          <w:b/>
        </w:rPr>
        <w:t xml:space="preserve">Prioridade: </w:t>
      </w:r>
      <w:r>
        <w:t>Obrigatório</w:t>
      </w:r>
    </w:p>
    <w:p>
      <w:pPr>
        <w:pStyle w:val="Heading3"/>
      </w:pPr>
      <w:r>
        <w:t>RF-REL-04 — Resumo antes do envio</w:t>
      </w:r>
    </w:p>
    <w:p>
      <w:r>
        <w:t>Antes da confirmação formal, recomenda-se apresentar um resumo das informações e alertas de pendências.</w:t>
      </w:r>
    </w:p>
    <w:p>
      <w:r>
        <w:rPr>
          <w:b/>
        </w:rPr>
        <w:t xml:space="preserve">Prioridade: </w:t>
      </w:r>
      <w:r>
        <w:t>Obrigatório</w:t>
      </w:r>
    </w:p>
    <w:p>
      <w:pPr>
        <w:pStyle w:val="Heading1"/>
      </w:pPr>
      <w:r>
        <w:t>10. Estados, salvamento, envio e edição</w:t>
      </w:r>
    </w:p>
    <w:p>
      <w:pPr>
        <w:pStyle w:val="Heading2"/>
      </w:pPr>
      <w:r>
        <w:t>10.1 Estados do relatório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  <w:cantSplit/>
        </w:trPr>
        <w:tc>
          <w:tcPr>
            <w:tcW w:type="dxa" w:w="4929"/>
            <w:shd w:fill="112641"/>
            <w:vAlign w:val="center"/>
          </w:tcPr>
          <w:p>
            <w:r>
              <w:rPr>
                <w:b/>
                <w:color w:val="FFFFFF"/>
                <w:sz w:val="18"/>
              </w:rPr>
              <w:t>Estado</w:t>
            </w:r>
          </w:p>
        </w:tc>
        <w:tc>
          <w:tcPr>
            <w:tcW w:type="dxa" w:w="4929"/>
            <w:shd w:fill="112641"/>
            <w:vAlign w:val="center"/>
          </w:tcPr>
          <w:p>
            <w:r>
              <w:rPr>
                <w:b/>
                <w:color w:val="FFFFFF"/>
                <w:sz w:val="18"/>
              </w:rPr>
              <w:t>Descrição</w:t>
            </w:r>
          </w:p>
        </w:tc>
      </w:tr>
      <w:tr>
        <w:trPr>
          <w:cantSplit/>
        </w:trPr>
        <w:tc>
          <w:tcPr>
            <w:tcW w:type="dxa" w:w="4929"/>
            <w:vAlign w:val="top"/>
          </w:tcPr>
          <w:p>
            <w:r>
              <w:rPr>
                <w:sz w:val="17"/>
              </w:rPr>
              <w:t>Não iniciado</w:t>
            </w:r>
          </w:p>
        </w:tc>
        <w:tc>
          <w:tcPr>
            <w:tcW w:type="dxa" w:w="4929"/>
            <w:vAlign w:val="top"/>
          </w:tcPr>
          <w:p>
            <w:r>
              <w:rPr>
                <w:sz w:val="17"/>
              </w:rPr>
              <w:t>Janela está disponível, mas nenhum conteúdo foi salvo para a UORG/bimestre.</w:t>
            </w:r>
          </w:p>
        </w:tc>
      </w:tr>
      <w:tr>
        <w:trPr>
          <w:cantSplit/>
        </w:trPr>
        <w:tc>
          <w:tcPr>
            <w:tcW w:type="dxa" w:w="4929"/>
            <w:vAlign w:val="top"/>
          </w:tcPr>
          <w:p>
            <w:r>
              <w:rPr>
                <w:sz w:val="17"/>
              </w:rPr>
              <w:t>Em preenchimento</w:t>
            </w:r>
          </w:p>
        </w:tc>
        <w:tc>
          <w:tcPr>
            <w:tcW w:type="dxa" w:w="4929"/>
            <w:vAlign w:val="top"/>
          </w:tcPr>
          <w:p>
            <w:r>
              <w:rPr>
                <w:sz w:val="17"/>
              </w:rPr>
              <w:t>Há rascunho salvo, mas ainda não ocorreu envio formal.</w:t>
            </w:r>
          </w:p>
        </w:tc>
      </w:tr>
      <w:tr>
        <w:trPr>
          <w:cantSplit/>
        </w:trPr>
        <w:tc>
          <w:tcPr>
            <w:tcW w:type="dxa" w:w="4929"/>
            <w:vAlign w:val="top"/>
          </w:tcPr>
          <w:p>
            <w:r>
              <w:rPr>
                <w:sz w:val="17"/>
              </w:rPr>
              <w:t>Enviado</w:t>
            </w:r>
          </w:p>
        </w:tc>
        <w:tc>
          <w:tcPr>
            <w:tcW w:type="dxa" w:w="4929"/>
            <w:vAlign w:val="top"/>
          </w:tcPr>
          <w:p>
            <w:r>
              <w:rPr>
                <w:sz w:val="17"/>
              </w:rPr>
              <w:t>O Chefe confirmou a submissão formal. Pode haver edição posterior enquanto a janela estiver aberta.</w:t>
            </w:r>
          </w:p>
        </w:tc>
      </w:tr>
      <w:tr>
        <w:trPr>
          <w:cantSplit/>
        </w:trPr>
        <w:tc>
          <w:tcPr>
            <w:tcW w:type="dxa" w:w="4929"/>
            <w:vAlign w:val="top"/>
          </w:tcPr>
          <w:p>
            <w:r>
              <w:rPr>
                <w:sz w:val="17"/>
              </w:rPr>
              <w:t>Encerrado</w:t>
            </w:r>
          </w:p>
        </w:tc>
        <w:tc>
          <w:tcPr>
            <w:tcW w:type="dxa" w:w="4929"/>
            <w:vAlign w:val="top"/>
          </w:tcPr>
          <w:p>
            <w:r>
              <w:rPr>
                <w:sz w:val="17"/>
              </w:rPr>
              <w:t>A janela regular ou excepcional terminou; o Chefe não pode editar sem nova autorização excepcional.</w:t>
            </w:r>
          </w:p>
        </w:tc>
      </w:tr>
    </w:tbl>
    <w:p>
      <w:pPr>
        <w:pStyle w:val="Heading2"/>
      </w:pPr>
      <w:r>
        <w:t>10.2 Salvamento</w:t>
      </w:r>
    </w:p>
    <w:p>
      <w:pPr>
        <w:pStyle w:val="Heading3"/>
      </w:pPr>
      <w:r>
        <w:t>RF-REL-05 — Salvamento automático</w:t>
      </w:r>
    </w:p>
    <w:p>
      <w:r>
        <w:t>Salvar periodicamente o rascunho durante o preenchimento para reduzir risco de perda de dados.</w:t>
      </w:r>
    </w:p>
    <w:p>
      <w:r>
        <w:rPr>
          <w:b/>
        </w:rPr>
        <w:t xml:space="preserve">Prioridade: </w:t>
      </w:r>
      <w:r>
        <w:t>Obrigatório</w:t>
      </w:r>
    </w:p>
    <w:p>
      <w:pPr>
        <w:pStyle w:val="Heading3"/>
      </w:pPr>
      <w:r>
        <w:t>RF-REL-06 — Salvar e continuar depois</w:t>
      </w:r>
    </w:p>
    <w:p>
      <w:r>
        <w:t>Disponibilizar ação explícita para salvar sem enviar.</w:t>
      </w:r>
    </w:p>
    <w:p>
      <w:r>
        <w:rPr>
          <w:b/>
        </w:rPr>
        <w:t xml:space="preserve">Prioridade: </w:t>
      </w:r>
      <w:r>
        <w:t>Obrigatório</w:t>
      </w:r>
    </w:p>
    <w:p>
      <w:pPr>
        <w:pStyle w:val="Rule"/>
      </w:pPr>
      <w:r>
        <w:rPr>
          <w:b/>
        </w:rPr>
        <w:t xml:space="preserve">RN-REL-01 — Salvar não é enviar. </w:t>
      </w:r>
      <w:r>
        <w:t>Salvar um rascunho não caracteriza entrega do relatório nem deve ser considerado “enviado” no dashboard.</w:t>
      </w:r>
    </w:p>
    <w:p>
      <w:pPr>
        <w:pStyle w:val="Heading2"/>
      </w:pPr>
      <w:r>
        <w:t>10.3 Envio</w:t>
      </w:r>
    </w:p>
    <w:p>
      <w:pPr>
        <w:pStyle w:val="Heading3"/>
      </w:pPr>
      <w:r>
        <w:t>RF-REL-07 — Envio formal</w:t>
      </w:r>
    </w:p>
    <w:p>
      <w:r>
        <w:t>O envio deve ser uma ação explícita do Chefe, sujeita à validação dos campos obrigatórios.</w:t>
      </w:r>
    </w:p>
    <w:p>
      <w:r>
        <w:rPr>
          <w:b/>
        </w:rPr>
        <w:t xml:space="preserve">Prioridade: </w:t>
      </w:r>
      <w:r>
        <w:t>Obrigatório</w:t>
      </w:r>
    </w:p>
    <w:p>
      <w:pPr>
        <w:pStyle w:val="Heading3"/>
      </w:pPr>
      <w:r>
        <w:t>RF-REL-08 — Confirmação</w:t>
      </w:r>
    </w:p>
    <w:p>
      <w:r>
        <w:t>Exibir confirmação clara antes do envio, informando que alterações posteriores ainda serão possíveis enquanto o prazo permanecer aberto.</w:t>
      </w:r>
    </w:p>
    <w:p>
      <w:r>
        <w:rPr>
          <w:b/>
        </w:rPr>
        <w:t xml:space="preserve">Prioridade: </w:t>
      </w:r>
      <w:r>
        <w:t>Obrigatório</w:t>
      </w:r>
    </w:p>
    <w:p>
      <w:pPr>
        <w:pStyle w:val="Heading2"/>
      </w:pPr>
      <w:r>
        <w:t>10.4 Edição posterior pelo Chefe</w:t>
      </w:r>
    </w:p>
    <w:p>
      <w:pPr>
        <w:pStyle w:val="Decision"/>
      </w:pPr>
      <w:r>
        <w:t>DECISÃO APROVADA — Após enviar, o Chefe poderá editar o relatório do bimestre vigente enquanto a janela continuar aberta.</w:t>
      </w:r>
    </w:p>
    <w:p>
      <w:pPr>
        <w:pStyle w:val="Heading3"/>
      </w:pPr>
      <w:r>
        <w:t>RF-REL-09 — Editar enviado</w:t>
      </w:r>
    </w:p>
    <w:p>
      <w:r>
        <w:t>Relatório enviado e ainda dentro da janela deve oferecer ação de edição.</w:t>
      </w:r>
    </w:p>
    <w:p>
      <w:r>
        <w:rPr>
          <w:b/>
        </w:rPr>
        <w:t xml:space="preserve">Prioridade: </w:t>
      </w:r>
      <w:r>
        <w:t>Obrigatório</w:t>
      </w:r>
    </w:p>
    <w:p>
      <w:pPr>
        <w:pStyle w:val="Heading3"/>
      </w:pPr>
      <w:r>
        <w:t>RF-REL-10 — Reenvio após alteração</w:t>
      </w:r>
    </w:p>
    <w:p>
      <w:r>
        <w:t>Alterações em relatório já enviado devem exigir uma nova confirmação/reenvio para caracterizar a versão oficialmente submetida.</w:t>
      </w:r>
    </w:p>
    <w:p>
      <w:r>
        <w:rPr>
          <w:b/>
        </w:rPr>
        <w:t xml:space="preserve">Prioridade: </w:t>
      </w:r>
      <w:r>
        <w:t>Obrigatório</w:t>
      </w:r>
    </w:p>
    <w:p>
      <w:pPr>
        <w:pStyle w:val="Heading3"/>
      </w:pPr>
      <w:r>
        <w:t>RF-REL-11 — Alterações não reenviadas</w:t>
      </w:r>
    </w:p>
    <w:p>
      <w:r>
        <w:t>Se houver mudanças salvas depois do último envio, a interface deve indicar claramente que existem alterações ainda não reenviadas.</w:t>
      </w:r>
    </w:p>
    <w:p>
      <w:r>
        <w:rPr>
          <w:b/>
        </w:rPr>
        <w:t xml:space="preserve">Prioridade: </w:t>
      </w:r>
      <w:r>
        <w:t>Obrigatório</w:t>
      </w:r>
    </w:p>
    <w:p>
      <w:pPr>
        <w:pStyle w:val="Rule"/>
      </w:pPr>
      <w:r>
        <w:rPr>
          <w:b/>
        </w:rPr>
        <w:t xml:space="preserve">RN-REL-02 — Status após reenvio. </w:t>
      </w:r>
      <w:r>
        <w:t>Após editar e reenviar, o relatório permanece com status “Enviado”, atualizando data/hora e versão da submissão.</w:t>
      </w:r>
    </w:p>
    <w:p>
      <w:pPr>
        <w:pStyle w:val="Heading2"/>
      </w:pPr>
      <w:r>
        <w:t>10.5 Bimestres anteriores</w:t>
      </w:r>
    </w:p>
    <w:p>
      <w:pPr>
        <w:pStyle w:val="Decision"/>
      </w:pPr>
      <w:r>
        <w:t>DECISÃO APROVADA — O Chefe não pode alterar diretamente respostas de bimestres anteriores encerrados. O Administrador pode realizar alteração administrativa, ou conceder prazo excepcional para que a UORG volte a preencher/editar aquele bimestre.</w:t>
      </w:r>
    </w:p>
    <w:p>
      <w:pPr>
        <w:pStyle w:val="Rule"/>
      </w:pPr>
      <w:r>
        <w:rPr>
          <w:b/>
        </w:rPr>
        <w:t xml:space="preserve">RN-REL-03 — Privilégio administrativo. </w:t>
      </w:r>
      <w:r>
        <w:t>O Administrador poderá editar registros de relatórios encerrados, com auditoria obrigatória.</w:t>
      </w:r>
    </w:p>
    <w:p>
      <w:pPr>
        <w:pStyle w:val="Heading1"/>
      </w:pPr>
      <w:r>
        <w:t>11. Reabertura excepcional / prazo excepcional</w:t>
      </w:r>
    </w:p>
    <w:p>
      <w:pPr>
        <w:pStyle w:val="Heading2"/>
      </w:pPr>
      <w:r>
        <w:t>11.1 Conceito</w:t>
      </w:r>
    </w:p>
    <w:p>
      <w:r>
        <w:t>A funcionalidade deve atender situações em que a chefia não conseguiu responder no prazo regular — por exemplo, férias, afastamento ou impossibilidade operacional do substituto. Em vez de reabrir todo o bimestre para a organização, o Administrador concederá uma exceção temporária e específica.</w:t>
      </w:r>
    </w:p>
    <w:p>
      <w:pPr>
        <w:pStyle w:val="Decision"/>
      </w:pPr>
      <w:r>
        <w:t>DECISÃO APROVADA — A ação administrativa será conceitualmente tratada como “Conceder prazo excepcional”, vinculada à UORG e não a um usuário específico.</w:t>
      </w:r>
    </w:p>
    <w:p>
      <w:pPr>
        <w:pStyle w:val="Heading3"/>
      </w:pPr>
      <w:r>
        <w:t>RF-PEX-01 — Conceder prazo excepcional</w:t>
      </w:r>
    </w:p>
    <w:p>
      <w:r>
        <w:t>Permitir selecionar exercício, bimestre já encerrado, UORG, início e fim da nova janela.</w:t>
      </w:r>
    </w:p>
    <w:p>
      <w:r>
        <w:rPr>
          <w:b/>
        </w:rPr>
        <w:t xml:space="preserve">Prioridade: </w:t>
      </w:r>
      <w:r>
        <w:t>Obrigatório</w:t>
      </w:r>
    </w:p>
    <w:p>
      <w:pPr>
        <w:pStyle w:val="Heading3"/>
      </w:pPr>
      <w:r>
        <w:t>RF-PEX-02 — Motivo</w:t>
      </w:r>
    </w:p>
    <w:p>
      <w:r>
        <w:t>Permitir registrar motivo para a concessão. Recomenda-se torná-lo obrigatório para fins de governança.</w:t>
      </w:r>
    </w:p>
    <w:p>
      <w:r>
        <w:rPr>
          <w:b/>
        </w:rPr>
        <w:t xml:space="preserve">Prioridade: </w:t>
      </w:r>
      <w:r>
        <w:t>Obrigatório</w:t>
      </w:r>
    </w:p>
    <w:p>
      <w:pPr>
        <w:pStyle w:val="Heading3"/>
      </w:pPr>
      <w:r>
        <w:t>RF-PEX-03 — Escopo restrito</w:t>
      </w:r>
    </w:p>
    <w:p>
      <w:r>
        <w:t>A exceção não poderá reabrir outros bimestres ou outras UORGs não selecionadas.</w:t>
      </w:r>
    </w:p>
    <w:p>
      <w:r>
        <w:rPr>
          <w:b/>
        </w:rPr>
        <w:t xml:space="preserve">Prioridade: </w:t>
      </w:r>
      <w:r>
        <w:t>Obrigatório</w:t>
      </w:r>
    </w:p>
    <w:p>
      <w:pPr>
        <w:pStyle w:val="Heading3"/>
      </w:pPr>
      <w:r>
        <w:t>RF-PEX-04 — Acesso pela UORG</w:t>
      </w:r>
    </w:p>
    <w:p>
      <w:r>
        <w:t>Durante a janela excepcional, o Chefe atual autorizado daquela UORG poderá preencher/editar o relatório, independentemente de ser o mesmo usuário que ocupava a função no período original.</w:t>
      </w:r>
    </w:p>
    <w:p>
      <w:r>
        <w:rPr>
          <w:b/>
        </w:rPr>
        <w:t xml:space="preserve">Prioridade: </w:t>
      </w:r>
      <w:r>
        <w:t>Obrigatório</w:t>
      </w:r>
    </w:p>
    <w:p>
      <w:pPr>
        <w:pStyle w:val="Heading3"/>
      </w:pPr>
      <w:r>
        <w:t>RF-PEX-05 — Novo envio</w:t>
      </w:r>
    </w:p>
    <w:p>
      <w:r>
        <w:t>Se o relatório nunca foi enviado, permitir envio inicial. Se já foi enviado, permitir edição e reenvio.</w:t>
      </w:r>
    </w:p>
    <w:p>
      <w:r>
        <w:rPr>
          <w:b/>
        </w:rPr>
        <w:t xml:space="preserve">Prioridade: </w:t>
      </w:r>
      <w:r>
        <w:t>Obrigatório</w:t>
      </w:r>
    </w:p>
    <w:p>
      <w:pPr>
        <w:pStyle w:val="Heading3"/>
      </w:pPr>
      <w:r>
        <w:t>RF-PEX-06 — Encerramento automático</w:t>
      </w:r>
    </w:p>
    <w:p>
      <w:r>
        <w:t>Ao final da janela excepcional, o relatório deve voltar a ficar bloqueado para o Chefe.</w:t>
      </w:r>
    </w:p>
    <w:p>
      <w:r>
        <w:rPr>
          <w:b/>
        </w:rPr>
        <w:t xml:space="preserve">Prioridade: </w:t>
      </w:r>
      <w:r>
        <w:t>Obrigatório</w:t>
      </w:r>
    </w:p>
    <w:p>
      <w:pPr>
        <w:pStyle w:val="Heading3"/>
      </w:pPr>
      <w:r>
        <w:t>RF-PEX-07 — Mensagem visual</w:t>
      </w:r>
    </w:p>
    <w:p>
      <w:r>
        <w:t>Exibir alerta claro de que se trata de prazo excepcional e informar a nova data/hora limite.</w:t>
      </w:r>
    </w:p>
    <w:p>
      <w:r>
        <w:rPr>
          <w:b/>
        </w:rPr>
        <w:t xml:space="preserve">Prioridade: </w:t>
      </w:r>
      <w:r>
        <w:t>Obrigatório</w:t>
      </w:r>
    </w:p>
    <w:p>
      <w:pPr>
        <w:pStyle w:val="Rule"/>
      </w:pPr>
      <w:r>
        <w:rPr>
          <w:b/>
        </w:rPr>
        <w:t xml:space="preserve">RN-PEX-01 — Bimestre permanece encerrado globalmente. </w:t>
      </w:r>
      <w:r>
        <w:t>Conceder prazo excepcional não altera o estado geral do bimestre para outras unidades.</w:t>
      </w:r>
    </w:p>
    <w:p>
      <w:pPr>
        <w:pStyle w:val="Rule"/>
      </w:pPr>
      <w:r>
        <w:rPr>
          <w:b/>
        </w:rPr>
        <w:t xml:space="preserve">RN-PEX-02 — Auditoria. </w:t>
      </w:r>
      <w:r>
        <w:t>Concessão, motivo, Administrador responsável, alterações, reenvio e encerramento devem ser registrados.</w:t>
      </w:r>
    </w:p>
    <w:p>
      <w:pPr>
        <w:pStyle w:val="Heading1"/>
      </w:pPr>
      <w:r>
        <w:t>12. Destaques e dificuldades</w:t>
      </w:r>
    </w:p>
    <w:p>
      <w:pPr>
        <w:pStyle w:val="Heading3"/>
      </w:pPr>
      <w:r>
        <w:t>RF-TXT-01 — Destaques</w:t>
      </w:r>
    </w:p>
    <w:p>
      <w:r>
        <w:t>O relatório deverá possuir campo textual obrigatório para principais destaques do bimestre.</w:t>
      </w:r>
    </w:p>
    <w:p>
      <w:r>
        <w:rPr>
          <w:b/>
        </w:rPr>
        <w:t xml:space="preserve">Prioridade: </w:t>
      </w:r>
      <w:r>
        <w:t>Obrigatório</w:t>
      </w:r>
    </w:p>
    <w:p>
      <w:pPr>
        <w:pStyle w:val="Heading3"/>
      </w:pPr>
      <w:r>
        <w:t>RF-TXT-02 — Dificuldades</w:t>
      </w:r>
    </w:p>
    <w:p>
      <w:r>
        <w:t>O relatório deverá possuir campo textual obrigatório para principais dificuldades do bimestre.</w:t>
      </w:r>
    </w:p>
    <w:p>
      <w:r>
        <w:rPr>
          <w:b/>
        </w:rPr>
        <w:t xml:space="preserve">Prioridade: </w:t>
      </w:r>
      <w:r>
        <w:t>Obrigatório</w:t>
      </w:r>
    </w:p>
    <w:p>
      <w:pPr>
        <w:pStyle w:val="Heading3"/>
      </w:pPr>
      <w:r>
        <w:t>RF-TXT-03 — Rascunho</w:t>
      </w:r>
    </w:p>
    <w:p>
      <w:r>
        <w:t>Os campos textuais devem participar do salvamento automático e do histórico de versões.</w:t>
      </w:r>
    </w:p>
    <w:p>
      <w:r>
        <w:rPr>
          <w:b/>
        </w:rPr>
        <w:t xml:space="preserve">Prioridade: </w:t>
      </w:r>
      <w:r>
        <w:t>Obrigatório</w:t>
      </w:r>
    </w:p>
    <w:p>
      <w:pPr>
        <w:pStyle w:val="Heading3"/>
      </w:pPr>
      <w:r>
        <w:t>RF-TXT-04 — Timeline</w:t>
      </w:r>
    </w:p>
    <w:p>
      <w:r>
        <w:t>Na visualização consolidada, destaques e dificuldades devem ser apresentados em linha do tempo por bimestre.</w:t>
      </w:r>
    </w:p>
    <w:p>
      <w:r>
        <w:rPr>
          <w:b/>
        </w:rPr>
        <w:t xml:space="preserve">Prioridade: </w:t>
      </w:r>
      <w:r>
        <w:t>Obrigatório</w:t>
      </w:r>
    </w:p>
    <w:p>
      <w:pPr>
        <w:pStyle w:val="Heading1"/>
      </w:pPr>
      <w:r>
        <w:t>13. Feedback do Superintendente</w:t>
      </w:r>
    </w:p>
    <w:p>
      <w:pPr>
        <w:pStyle w:val="Heading3"/>
      </w:pPr>
      <w:r>
        <w:t>RF-FBK-01 — Registrar feedback</w:t>
      </w:r>
    </w:p>
    <w:p>
      <w:r>
        <w:t>O Superintendente poderá registrar comentário textual ao final do relatório visualizado.</w:t>
      </w:r>
    </w:p>
    <w:p>
      <w:r>
        <w:rPr>
          <w:b/>
        </w:rPr>
        <w:t xml:space="preserve">Prioridade: </w:t>
      </w:r>
      <w:r>
        <w:t>Obrigatório</w:t>
      </w:r>
    </w:p>
    <w:p>
      <w:pPr>
        <w:pStyle w:val="Heading3"/>
      </w:pPr>
      <w:r>
        <w:t>RF-FBK-02 — Visibilidade</w:t>
      </w:r>
    </w:p>
    <w:p>
      <w:r>
        <w:t>O feedback deverá ficar visível ao Chefe da UORG correspondente e aos perfis com acesso ao relatório.</w:t>
      </w:r>
    </w:p>
    <w:p>
      <w:r>
        <w:rPr>
          <w:b/>
        </w:rPr>
        <w:t xml:space="preserve">Prioridade: </w:t>
      </w:r>
      <w:r>
        <w:t>Obrigatório</w:t>
      </w:r>
    </w:p>
    <w:p>
      <w:pPr>
        <w:pStyle w:val="Heading3"/>
      </w:pPr>
      <w:r>
        <w:t>RF-FBK-03 — Edição independente da janela</w:t>
      </w:r>
    </w:p>
    <w:p>
      <w:r>
        <w:t>O Superintendente poderá editar seu próprio feedback independentemente do prazo regular de preenchimento do relatório.</w:t>
      </w:r>
    </w:p>
    <w:p>
      <w:r>
        <w:rPr>
          <w:b/>
        </w:rPr>
        <w:t xml:space="preserve">Prioridade: </w:t>
      </w:r>
      <w:r>
        <w:t>Obrigatório</w:t>
      </w:r>
    </w:p>
    <w:p>
      <w:pPr>
        <w:pStyle w:val="Rule"/>
      </w:pPr>
      <w:r>
        <w:rPr>
          <w:b/>
        </w:rPr>
        <w:t xml:space="preserve">RN-FBK-01 — Integridade. </w:t>
      </w:r>
      <w:r>
        <w:t>O Chefe não pode editar ou excluir feedback do Superintendente.</w:t>
      </w:r>
    </w:p>
    <w:p>
      <w:pPr>
        <w:pStyle w:val="Heading3"/>
      </w:pPr>
      <w:r>
        <w:t>RF-FBK-04 — Notificação</w:t>
      </w:r>
    </w:p>
    <w:p>
      <w:r>
        <w:t>Quando houver central de notificações ativa, registrar notificação para a UORG quando novo feedback for incluído ou alterado de forma relevante.</w:t>
      </w:r>
    </w:p>
    <w:p>
      <w:r>
        <w:rPr>
          <w:b/>
        </w:rPr>
        <w:t xml:space="preserve">Prioridade: </w:t>
      </w:r>
      <w:r>
        <w:t>Obrigatório</w:t>
      </w:r>
    </w:p>
    <w:p>
      <w:pPr>
        <w:pStyle w:val="Heading1"/>
      </w:pPr>
      <w:r>
        <w:t>14. Visualização consolidada dos relatórios</w:t>
      </w:r>
    </w:p>
    <w:p>
      <w:pPr>
        <w:pStyle w:val="Heading2"/>
      </w:pPr>
      <w:r>
        <w:t>14.1 Componente único de visualização</w:t>
      </w:r>
    </w:p>
    <w:p>
      <w:pPr>
        <w:pStyle w:val="Decision"/>
      </w:pPr>
      <w:r>
        <w:t>DECISÃO APROVADA — Administrador, Superintendente, Gerente e Chefe devem reutilizar a mesma estrutura funcional de visualização, com filtros e capacidades condicionados pelo perfil, evitando duplicação de telas.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  <w:cantSplit/>
        </w:trPr>
        <w:tc>
          <w:tcPr>
            <w:tcW w:type="dxa" w:w="3286"/>
            <w:shd w:fill="112641"/>
            <w:vAlign w:val="center"/>
          </w:tcPr>
          <w:p>
            <w:r>
              <w:rPr>
                <w:b/>
                <w:color w:val="FFFFFF"/>
                <w:sz w:val="18"/>
              </w:rPr>
              <w:t>Perfil</w:t>
            </w:r>
          </w:p>
        </w:tc>
        <w:tc>
          <w:tcPr>
            <w:tcW w:type="dxa" w:w="3286"/>
            <w:shd w:fill="112641"/>
            <w:vAlign w:val="center"/>
          </w:tcPr>
          <w:p>
            <w:r>
              <w:rPr>
                <w:b/>
                <w:color w:val="FFFFFF"/>
                <w:sz w:val="18"/>
              </w:rPr>
              <w:t>Filtros disponíveis</w:t>
            </w:r>
          </w:p>
        </w:tc>
        <w:tc>
          <w:tcPr>
            <w:tcW w:type="dxa" w:w="3286"/>
            <w:shd w:fill="112641"/>
            <w:vAlign w:val="center"/>
          </w:tcPr>
          <w:p>
            <w:r>
              <w:rPr>
                <w:b/>
                <w:color w:val="FFFFFF"/>
                <w:sz w:val="18"/>
              </w:rPr>
              <w:t>Escopo</w:t>
            </w:r>
          </w:p>
        </w:tc>
      </w:tr>
      <w:tr>
        <w:trPr>
          <w:cantSplit/>
        </w:trPr>
        <w:tc>
          <w:tcPr>
            <w:tcW w:type="dxa" w:w="3286"/>
            <w:vAlign w:val="top"/>
          </w:tcPr>
          <w:p>
            <w:r>
              <w:rPr>
                <w:sz w:val="17"/>
              </w:rPr>
              <w:t>Administrador</w:t>
            </w:r>
          </w:p>
        </w:tc>
        <w:tc>
          <w:tcPr>
            <w:tcW w:type="dxa" w:w="3286"/>
            <w:vAlign w:val="top"/>
          </w:tcPr>
          <w:p>
            <w:r>
              <w:rPr>
                <w:sz w:val="17"/>
              </w:rPr>
              <w:t>Gerência &gt; UORG &gt; Bimestre &gt; Exercício</w:t>
            </w:r>
          </w:p>
        </w:tc>
        <w:tc>
          <w:tcPr>
            <w:tcW w:type="dxa" w:w="3286"/>
            <w:vAlign w:val="top"/>
          </w:tcPr>
          <w:p>
            <w:r>
              <w:rPr>
                <w:sz w:val="17"/>
              </w:rPr>
              <w:t>Todos</w:t>
            </w:r>
          </w:p>
        </w:tc>
      </w:tr>
      <w:tr>
        <w:trPr>
          <w:cantSplit/>
        </w:trPr>
        <w:tc>
          <w:tcPr>
            <w:tcW w:type="dxa" w:w="3286"/>
            <w:vAlign w:val="top"/>
          </w:tcPr>
          <w:p>
            <w:r>
              <w:rPr>
                <w:sz w:val="17"/>
              </w:rPr>
              <w:t>Superintendente</w:t>
            </w:r>
          </w:p>
        </w:tc>
        <w:tc>
          <w:tcPr>
            <w:tcW w:type="dxa" w:w="3286"/>
            <w:vAlign w:val="top"/>
          </w:tcPr>
          <w:p>
            <w:r>
              <w:rPr>
                <w:sz w:val="17"/>
              </w:rPr>
              <w:t>Gerência &gt; UORG &gt; Bimestre &gt; Exercício</w:t>
            </w:r>
          </w:p>
        </w:tc>
        <w:tc>
          <w:tcPr>
            <w:tcW w:type="dxa" w:w="3286"/>
            <w:vAlign w:val="top"/>
          </w:tcPr>
          <w:p>
            <w:r>
              <w:rPr>
                <w:sz w:val="17"/>
              </w:rPr>
              <w:t>Todos</w:t>
            </w:r>
          </w:p>
        </w:tc>
      </w:tr>
      <w:tr>
        <w:trPr>
          <w:cantSplit/>
        </w:trPr>
        <w:tc>
          <w:tcPr>
            <w:tcW w:type="dxa" w:w="3286"/>
            <w:vAlign w:val="top"/>
          </w:tcPr>
          <w:p>
            <w:r>
              <w:rPr>
                <w:sz w:val="17"/>
              </w:rPr>
              <w:t>Gerente</w:t>
            </w:r>
          </w:p>
        </w:tc>
        <w:tc>
          <w:tcPr>
            <w:tcW w:type="dxa" w:w="3286"/>
            <w:vAlign w:val="top"/>
          </w:tcPr>
          <w:p>
            <w:r>
              <w:rPr>
                <w:sz w:val="17"/>
              </w:rPr>
              <w:t>UORG &gt; Bimestre &gt; Exercício</w:t>
            </w:r>
          </w:p>
        </w:tc>
        <w:tc>
          <w:tcPr>
            <w:tcW w:type="dxa" w:w="3286"/>
            <w:vAlign w:val="top"/>
          </w:tcPr>
          <w:p>
            <w:r>
              <w:rPr>
                <w:sz w:val="17"/>
              </w:rPr>
              <w:t>Apenas própria Gerência</w:t>
            </w:r>
          </w:p>
        </w:tc>
      </w:tr>
      <w:tr>
        <w:trPr>
          <w:cantSplit/>
        </w:trPr>
        <w:tc>
          <w:tcPr>
            <w:tcW w:type="dxa" w:w="3286"/>
            <w:vAlign w:val="top"/>
          </w:tcPr>
          <w:p>
            <w:r>
              <w:rPr>
                <w:sz w:val="17"/>
              </w:rPr>
              <w:t>Chefe</w:t>
            </w:r>
          </w:p>
        </w:tc>
        <w:tc>
          <w:tcPr>
            <w:tcW w:type="dxa" w:w="3286"/>
            <w:vAlign w:val="top"/>
          </w:tcPr>
          <w:p>
            <w:r>
              <w:rPr>
                <w:sz w:val="17"/>
              </w:rPr>
              <w:t>Bimestre &gt; Exercício</w:t>
            </w:r>
          </w:p>
        </w:tc>
        <w:tc>
          <w:tcPr>
            <w:tcW w:type="dxa" w:w="3286"/>
            <w:vAlign w:val="top"/>
          </w:tcPr>
          <w:p>
            <w:r>
              <w:rPr>
                <w:sz w:val="17"/>
              </w:rPr>
              <w:t>Apenas própria UORG</w:t>
            </w:r>
          </w:p>
        </w:tc>
      </w:tr>
    </w:tbl>
    <w:p>
      <w:pPr>
        <w:pStyle w:val="Heading2"/>
      </w:pPr>
      <w:r>
        <w:t>14.2 Elementos da visualização</w:t>
      </w:r>
    </w:p>
    <w:p>
      <w:pPr>
        <w:pStyle w:val="ListBullet"/>
      </w:pPr>
      <w:r>
        <w:t>Indicador visual dos bimestres já respondidos, com destaque em verde.</w:t>
      </w:r>
    </w:p>
    <w:p>
      <w:pPr>
        <w:pStyle w:val="ListBullet"/>
      </w:pPr>
      <w:r>
        <w:t>Entregas planejadas no exercício e timeline da conclusão por bimestre.</w:t>
      </w:r>
    </w:p>
    <w:p>
      <w:pPr>
        <w:pStyle w:val="ListBullet"/>
      </w:pPr>
      <w:r>
        <w:t>Gráficos dos indicadores com linha/critério de meta e destaque de períodos em que a meta foi atingida.</w:t>
      </w:r>
    </w:p>
    <w:p>
      <w:pPr>
        <w:pStyle w:val="ListBullet"/>
      </w:pPr>
      <w:r>
        <w:t>Tooltip ou popup com descrição do indicador, quando existente.</w:t>
      </w:r>
    </w:p>
    <w:p>
      <w:pPr>
        <w:pStyle w:val="ListBullet"/>
      </w:pPr>
      <w:r>
        <w:t>Destaques em timeline por bimestre.</w:t>
      </w:r>
    </w:p>
    <w:p>
      <w:pPr>
        <w:pStyle w:val="ListBullet"/>
      </w:pPr>
      <w:r>
        <w:t>Dificuldades em timeline por bimestre.</w:t>
      </w:r>
    </w:p>
    <w:p>
      <w:pPr>
        <w:pStyle w:val="ListBullet"/>
      </w:pPr>
      <w:r>
        <w:t>Feedback do Superintendente, quando existente.</w:t>
      </w:r>
    </w:p>
    <w:p>
      <w:pPr>
        <w:pStyle w:val="ListBullet"/>
      </w:pPr>
      <w:r>
        <w:t>Metadados de envio quando úteis: data/hora, versão e situação do relatório.</w:t>
      </w:r>
    </w:p>
    <w:p>
      <w:pPr>
        <w:pStyle w:val="Heading2"/>
      </w:pPr>
      <w:r>
        <w:t>14.3 Navegação sequencial</w:t>
      </w:r>
    </w:p>
    <w:p>
      <w:pPr>
        <w:pStyle w:val="Heading3"/>
      </w:pPr>
      <w:r>
        <w:t>RF-VIS-01 — Próximo relatório</w:t>
      </w:r>
    </w:p>
    <w:p>
      <w:r>
        <w:t>Disponibilizar controle para avançar para o próximo relatório conforme filtros ativos.</w:t>
      </w:r>
    </w:p>
    <w:p>
      <w:r>
        <w:rPr>
          <w:b/>
        </w:rPr>
        <w:t xml:space="preserve">Prioridade: </w:t>
      </w:r>
      <w:r>
        <w:t>Obrigatório</w:t>
      </w:r>
    </w:p>
    <w:p>
      <w:pPr>
        <w:pStyle w:val="Rule"/>
      </w:pPr>
      <w:r>
        <w:rPr>
          <w:b/>
        </w:rPr>
        <w:t xml:space="preserve">RN-VIS-01 — Hierarquia de filtros. </w:t>
      </w:r>
      <w:r>
        <w:t>Quando aplicável, respeitar Gerência &gt; UORG &gt; Bimestre. Se um bimestre estiver filtrado, a navegação deve percorrer apenas relatórios correspondentes ao filtro.</w:t>
      </w:r>
    </w:p>
    <w:p>
      <w:pPr>
        <w:pStyle w:val="Heading2"/>
      </w:pPr>
      <w:r>
        <w:t>14.4 Indicadores nos gráficos</w:t>
      </w:r>
    </w:p>
    <w:p>
      <w:pPr>
        <w:pStyle w:val="Heading3"/>
      </w:pPr>
      <w:r>
        <w:t>RF-VIS-02 — Competência real</w:t>
      </w:r>
    </w:p>
    <w:p>
      <w:r>
        <w:t>Gráficos devem utilizar a competência real dos resultados. Indicadores mensais devem preservar os pontos mensais em vez de reduzir obrigatoriamente a uma média bimestral.</w:t>
      </w:r>
    </w:p>
    <w:p>
      <w:r>
        <w:rPr>
          <w:b/>
        </w:rPr>
        <w:t xml:space="preserve">Prioridade: </w:t>
      </w:r>
      <w:r>
        <w:t>Obrigatório</w:t>
      </w:r>
    </w:p>
    <w:p>
      <w:pPr>
        <w:pStyle w:val="Heading3"/>
      </w:pPr>
      <w:r>
        <w:t>RF-VIS-03 — Tooltip contextual</w:t>
      </w:r>
    </w:p>
    <w:p>
      <w:r>
        <w:t>Para indicadores cuja coleta ocorre em BI diferente da duração da competência, o tooltip deve explicar ambos. Exemplo: “1º trimestre (jan-mar/2026), informado durante o 2º BI”.</w:t>
      </w:r>
    </w:p>
    <w:p>
      <w:r>
        <w:rPr>
          <w:b/>
        </w:rPr>
        <w:t xml:space="preserve">Prioridade: </w:t>
      </w:r>
      <w:r>
        <w:t>Obrigatório</w:t>
      </w:r>
    </w:p>
    <w:p>
      <w:pPr>
        <w:pStyle w:val="Heading1"/>
      </w:pPr>
      <w:r>
        <w:t>15. Dashboard de acompanhamento</w:t>
      </w:r>
    </w:p>
    <w:p>
      <w:pPr>
        <w:pStyle w:val="Heading2"/>
      </w:pPr>
      <w:r>
        <w:t>15.1 Matriz UORG × Bimestre</w:t>
      </w:r>
    </w:p>
    <w:p>
      <w:pPr>
        <w:pStyle w:val="Heading3"/>
      </w:pPr>
      <w:r>
        <w:t>RF-DSH-01 — Matriz anual</w:t>
      </w:r>
    </w:p>
    <w:p>
      <w:r>
        <w:t>Exibir UORGs no eixo vertical e os seis bimestres no eixo horizontal.</w:t>
      </w:r>
    </w:p>
    <w:p>
      <w:r>
        <w:rPr>
          <w:b/>
        </w:rPr>
        <w:t xml:space="preserve">Prioridade: </w:t>
      </w:r>
      <w:r>
        <w:t>Obrigatório</w:t>
      </w:r>
    </w:p>
    <w:p>
      <w:pPr>
        <w:pStyle w:val="Heading3"/>
      </w:pPr>
      <w:r>
        <w:t>RF-DSH-02 — Estados</w:t>
      </w:r>
    </w:p>
    <w:p>
      <w:r>
        <w:t>Diferenciar visualmente, no mínimo: Enviado, Pendente, Em preenchimento, Prazo excepcional aberto e Ainda não aberto.</w:t>
      </w:r>
    </w:p>
    <w:p>
      <w:r>
        <w:rPr>
          <w:b/>
        </w:rPr>
        <w:t xml:space="preserve">Prioridade: </w:t>
      </w:r>
      <w:r>
        <w:t>Obrigatório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  <w:cantSplit/>
        </w:trPr>
        <w:tc>
          <w:tcPr>
            <w:tcW w:type="dxa" w:w="3286"/>
            <w:shd w:fill="112641"/>
            <w:vAlign w:val="center"/>
          </w:tcPr>
          <w:p>
            <w:r>
              <w:rPr>
                <w:b/>
                <w:color w:val="FFFFFF"/>
                <w:sz w:val="18"/>
              </w:rPr>
              <w:t>Estado</w:t>
            </w:r>
          </w:p>
        </w:tc>
        <w:tc>
          <w:tcPr>
            <w:tcW w:type="dxa" w:w="3286"/>
            <w:shd w:fill="112641"/>
            <w:vAlign w:val="center"/>
          </w:tcPr>
          <w:p>
            <w:r>
              <w:rPr>
                <w:b/>
                <w:color w:val="FFFFFF"/>
                <w:sz w:val="18"/>
              </w:rPr>
              <w:t>Representação sugerida</w:t>
            </w:r>
          </w:p>
        </w:tc>
        <w:tc>
          <w:tcPr>
            <w:tcW w:type="dxa" w:w="3286"/>
            <w:shd w:fill="112641"/>
            <w:vAlign w:val="center"/>
          </w:tcPr>
          <w:p>
            <w:r>
              <w:rPr>
                <w:b/>
                <w:color w:val="FFFFFF"/>
                <w:sz w:val="18"/>
              </w:rPr>
              <w:t>Significado</w:t>
            </w:r>
          </w:p>
        </w:tc>
      </w:tr>
      <w:tr>
        <w:trPr>
          <w:cantSplit/>
        </w:trPr>
        <w:tc>
          <w:tcPr>
            <w:tcW w:type="dxa" w:w="3286"/>
            <w:vAlign w:val="top"/>
          </w:tcPr>
          <w:p>
            <w:r>
              <w:rPr>
                <w:sz w:val="17"/>
              </w:rPr>
              <w:t>Enviado</w:t>
            </w:r>
          </w:p>
        </w:tc>
        <w:tc>
          <w:tcPr>
            <w:tcW w:type="dxa" w:w="3286"/>
            <w:vAlign w:val="top"/>
          </w:tcPr>
          <w:p>
            <w:r>
              <w:rPr>
                <w:sz w:val="17"/>
              </w:rPr>
              <w:t>✓</w:t>
            </w:r>
          </w:p>
        </w:tc>
        <w:tc>
          <w:tcPr>
            <w:tcW w:type="dxa" w:w="3286"/>
            <w:vAlign w:val="top"/>
          </w:tcPr>
          <w:p>
            <w:r>
              <w:rPr>
                <w:sz w:val="17"/>
              </w:rPr>
              <w:t>Envio formal confirmado</w:t>
            </w:r>
          </w:p>
        </w:tc>
      </w:tr>
      <w:tr>
        <w:trPr>
          <w:cantSplit/>
        </w:trPr>
        <w:tc>
          <w:tcPr>
            <w:tcW w:type="dxa" w:w="3286"/>
            <w:vAlign w:val="top"/>
          </w:tcPr>
          <w:p>
            <w:r>
              <w:rPr>
                <w:sz w:val="17"/>
              </w:rPr>
              <w:t>Pendente</w:t>
            </w:r>
          </w:p>
        </w:tc>
        <w:tc>
          <w:tcPr>
            <w:tcW w:type="dxa" w:w="3286"/>
            <w:vAlign w:val="top"/>
          </w:tcPr>
          <w:p>
            <w:r>
              <w:rPr>
                <w:sz w:val="17"/>
              </w:rPr>
              <w:t>○</w:t>
            </w:r>
          </w:p>
        </w:tc>
        <w:tc>
          <w:tcPr>
            <w:tcW w:type="dxa" w:w="3286"/>
            <w:vAlign w:val="top"/>
          </w:tcPr>
          <w:p>
            <w:r>
              <w:rPr>
                <w:sz w:val="17"/>
              </w:rPr>
              <w:t>Janela aberta e ainda sem envio</w:t>
            </w:r>
          </w:p>
        </w:tc>
      </w:tr>
      <w:tr>
        <w:trPr>
          <w:cantSplit/>
        </w:trPr>
        <w:tc>
          <w:tcPr>
            <w:tcW w:type="dxa" w:w="3286"/>
            <w:vAlign w:val="top"/>
          </w:tcPr>
          <w:p>
            <w:r>
              <w:rPr>
                <w:sz w:val="17"/>
              </w:rPr>
              <w:t>Em preenchimento</w:t>
            </w:r>
          </w:p>
        </w:tc>
        <w:tc>
          <w:tcPr>
            <w:tcW w:type="dxa" w:w="3286"/>
            <w:vAlign w:val="top"/>
          </w:tcPr>
          <w:p>
            <w:r>
              <w:rPr>
                <w:sz w:val="17"/>
              </w:rPr>
              <w:t>◐</w:t>
            </w:r>
          </w:p>
        </w:tc>
        <w:tc>
          <w:tcPr>
            <w:tcW w:type="dxa" w:w="3286"/>
            <w:vAlign w:val="top"/>
          </w:tcPr>
          <w:p>
            <w:r>
              <w:rPr>
                <w:sz w:val="17"/>
              </w:rPr>
              <w:t>Existe rascunho</w:t>
            </w:r>
          </w:p>
        </w:tc>
      </w:tr>
      <w:tr>
        <w:trPr>
          <w:cantSplit/>
        </w:trPr>
        <w:tc>
          <w:tcPr>
            <w:tcW w:type="dxa" w:w="3286"/>
            <w:vAlign w:val="top"/>
          </w:tcPr>
          <w:p>
            <w:r>
              <w:rPr>
                <w:sz w:val="17"/>
              </w:rPr>
              <w:t>Prazo excepcional</w:t>
            </w:r>
          </w:p>
        </w:tc>
        <w:tc>
          <w:tcPr>
            <w:tcW w:type="dxa" w:w="3286"/>
            <w:vAlign w:val="top"/>
          </w:tcPr>
          <w:p>
            <w:r>
              <w:rPr>
                <w:sz w:val="17"/>
              </w:rPr>
              <w:t>!</w:t>
            </w:r>
          </w:p>
        </w:tc>
        <w:tc>
          <w:tcPr>
            <w:tcW w:type="dxa" w:w="3286"/>
            <w:vAlign w:val="top"/>
          </w:tcPr>
          <w:p>
            <w:r>
              <w:rPr>
                <w:sz w:val="17"/>
              </w:rPr>
              <w:t>Exceção temporária ativa</w:t>
            </w:r>
          </w:p>
        </w:tc>
      </w:tr>
      <w:tr>
        <w:trPr>
          <w:cantSplit/>
        </w:trPr>
        <w:tc>
          <w:tcPr>
            <w:tcW w:type="dxa" w:w="3286"/>
            <w:vAlign w:val="top"/>
          </w:tcPr>
          <w:p>
            <w:r>
              <w:rPr>
                <w:sz w:val="17"/>
              </w:rPr>
              <w:t>Ainda não aberto</w:t>
            </w:r>
          </w:p>
        </w:tc>
        <w:tc>
          <w:tcPr>
            <w:tcW w:type="dxa" w:w="3286"/>
            <w:vAlign w:val="top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286"/>
            <w:vAlign w:val="top"/>
          </w:tcPr>
          <w:p>
            <w:r>
              <w:rPr>
                <w:sz w:val="17"/>
              </w:rPr>
              <w:t>Período ainda não disponibilizado</w:t>
            </w:r>
          </w:p>
        </w:tc>
      </w:tr>
    </w:tbl>
    <w:p>
      <w:pPr>
        <w:pStyle w:val="Heading3"/>
      </w:pPr>
      <w:r>
        <w:t>RF-DSH-03 — Escopo por perfil</w:t>
      </w:r>
    </w:p>
    <w:p>
      <w:r>
        <w:t>Administrador e Superintendente veem todas as UORGs; Gerente vê apenas as vinculadas à sua Gerência.</w:t>
      </w:r>
    </w:p>
    <w:p>
      <w:r>
        <w:rPr>
          <w:b/>
        </w:rPr>
        <w:t xml:space="preserve">Prioridade: </w:t>
      </w:r>
      <w:r>
        <w:t>Obrigatório</w:t>
      </w:r>
    </w:p>
    <w:p>
      <w:pPr>
        <w:pStyle w:val="Heading2"/>
      </w:pPr>
      <w:r>
        <w:t>15.2 Indicadores resumidos de Home</w:t>
      </w:r>
    </w:p>
    <w:p>
      <w:r>
        <w:t>Recomenda-se uma página inicial contextual ao perfil, funcionando como central operacional.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  <w:cantSplit/>
        </w:trPr>
        <w:tc>
          <w:tcPr>
            <w:tcW w:type="dxa" w:w="4929"/>
            <w:shd w:fill="112641"/>
            <w:vAlign w:val="center"/>
          </w:tcPr>
          <w:p>
            <w:r>
              <w:rPr>
                <w:b/>
                <w:color w:val="FFFFFF"/>
                <w:sz w:val="18"/>
              </w:rPr>
              <w:t>Perfil</w:t>
            </w:r>
          </w:p>
        </w:tc>
        <w:tc>
          <w:tcPr>
            <w:tcW w:type="dxa" w:w="4929"/>
            <w:shd w:fill="112641"/>
            <w:vAlign w:val="center"/>
          </w:tcPr>
          <w:p>
            <w:r>
              <w:rPr>
                <w:b/>
                <w:color w:val="FFFFFF"/>
                <w:sz w:val="18"/>
              </w:rPr>
              <w:t>Exemplos de informação</w:t>
            </w:r>
          </w:p>
        </w:tc>
      </w:tr>
      <w:tr>
        <w:trPr>
          <w:cantSplit/>
        </w:trPr>
        <w:tc>
          <w:tcPr>
            <w:tcW w:type="dxa" w:w="4929"/>
            <w:vAlign w:val="top"/>
          </w:tcPr>
          <w:p>
            <w:r>
              <w:rPr>
                <w:sz w:val="17"/>
              </w:rPr>
              <w:t>Chefe</w:t>
            </w:r>
          </w:p>
        </w:tc>
        <w:tc>
          <w:tcPr>
            <w:tcW w:type="dxa" w:w="4929"/>
            <w:vAlign w:val="top"/>
          </w:tcPr>
          <w:p>
            <w:r>
              <w:rPr>
                <w:sz w:val="17"/>
              </w:rPr>
              <w:t>Bimestre vigente, prazo, status, ação “Responder/Continuar/Editar relatório”.</w:t>
            </w:r>
          </w:p>
        </w:tc>
      </w:tr>
      <w:tr>
        <w:trPr>
          <w:cantSplit/>
        </w:trPr>
        <w:tc>
          <w:tcPr>
            <w:tcW w:type="dxa" w:w="4929"/>
            <w:vAlign w:val="top"/>
          </w:tcPr>
          <w:p>
            <w:r>
              <w:rPr>
                <w:sz w:val="17"/>
              </w:rPr>
              <w:t>Gerente</w:t>
            </w:r>
          </w:p>
        </w:tc>
        <w:tc>
          <w:tcPr>
            <w:tcW w:type="dxa" w:w="4929"/>
            <w:vAlign w:val="top"/>
          </w:tcPr>
          <w:p>
            <w:r>
              <w:rPr>
                <w:sz w:val="17"/>
              </w:rPr>
              <w:t>Quantidade de UORGs, enviados, pendentes e em preenchimento na própria Gerência.</w:t>
            </w:r>
          </w:p>
        </w:tc>
      </w:tr>
      <w:tr>
        <w:trPr>
          <w:cantSplit/>
        </w:trPr>
        <w:tc>
          <w:tcPr>
            <w:tcW w:type="dxa" w:w="4929"/>
            <w:vAlign w:val="top"/>
          </w:tcPr>
          <w:p>
            <w:r>
              <w:rPr>
                <w:sz w:val="17"/>
              </w:rPr>
              <w:t>Superintendente</w:t>
            </w:r>
          </w:p>
        </w:tc>
        <w:tc>
          <w:tcPr>
            <w:tcW w:type="dxa" w:w="4929"/>
            <w:vAlign w:val="top"/>
          </w:tcPr>
          <w:p>
            <w:r>
              <w:rPr>
                <w:sz w:val="17"/>
              </w:rPr>
              <w:t>Visão global de recebimentos e feedbacks.</w:t>
            </w:r>
          </w:p>
        </w:tc>
      </w:tr>
      <w:tr>
        <w:trPr>
          <w:cantSplit/>
        </w:trPr>
        <w:tc>
          <w:tcPr>
            <w:tcW w:type="dxa" w:w="4929"/>
            <w:vAlign w:val="top"/>
          </w:tcPr>
          <w:p>
            <w:r>
              <w:rPr>
                <w:sz w:val="17"/>
              </w:rPr>
              <w:t>Administrador</w:t>
            </w:r>
          </w:p>
        </w:tc>
        <w:tc>
          <w:tcPr>
            <w:tcW w:type="dxa" w:w="4929"/>
            <w:vAlign w:val="top"/>
          </w:tcPr>
          <w:p>
            <w:r>
              <w:rPr>
                <w:sz w:val="17"/>
              </w:rPr>
              <w:t>Bimestre aberto, recebimentos, pendências, prazos e exceções ativas.</w:t>
            </w:r>
          </w:p>
        </w:tc>
      </w:tr>
    </w:tbl>
    <w:p>
      <w:pPr>
        <w:pStyle w:val="Heading1"/>
      </w:pPr>
      <w:r>
        <w:t>16. Notificações</w:t>
      </w:r>
    </w:p>
    <w:p>
      <w:pPr>
        <w:pStyle w:val="Heading2"/>
      </w:pPr>
      <w:r>
        <w:t>16.1 Central interna</w:t>
      </w:r>
    </w:p>
    <w:p>
      <w:pPr>
        <w:pStyle w:val="Heading3"/>
      </w:pPr>
      <w:r>
        <w:t>RF-NTF-01 — Central de notificações</w:t>
      </w:r>
    </w:p>
    <w:p>
      <w:r>
        <w:t>Prever central interna de notificações no portal, ainda que o e-mail institucional seja implementado apenas em evolução futura.</w:t>
      </w:r>
    </w:p>
    <w:p>
      <w:r>
        <w:rPr>
          <w:b/>
        </w:rPr>
        <w:t xml:space="preserve">Prioridade: </w:t>
      </w:r>
      <w:r>
        <w:t>Obrigatório</w:t>
      </w:r>
    </w:p>
    <w:p>
      <w:pPr>
        <w:pStyle w:val="Heading3"/>
      </w:pPr>
      <w:r>
        <w:t>RF-NTF-02 — Eventos mínimos</w:t>
      </w:r>
    </w:p>
    <w:p>
      <w:r>
        <w:t>Gerar notificações para abertura de bimestre, proximidade do prazo, feedback recebido e concessão de prazo excepcional.</w:t>
      </w:r>
    </w:p>
    <w:p>
      <w:r>
        <w:rPr>
          <w:b/>
        </w:rPr>
        <w:t xml:space="preserve">Prioridade: </w:t>
      </w:r>
      <w:r>
        <w:t>Obrigatório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  <w:cantSplit/>
        </w:trPr>
        <w:tc>
          <w:tcPr>
            <w:tcW w:type="dxa" w:w="4929"/>
            <w:shd w:fill="112641"/>
            <w:vAlign w:val="center"/>
          </w:tcPr>
          <w:p>
            <w:r>
              <w:rPr>
                <w:b/>
                <w:color w:val="FFFFFF"/>
                <w:sz w:val="18"/>
              </w:rPr>
              <w:t>Evento</w:t>
            </w:r>
          </w:p>
        </w:tc>
        <w:tc>
          <w:tcPr>
            <w:tcW w:type="dxa" w:w="4929"/>
            <w:shd w:fill="112641"/>
            <w:vAlign w:val="center"/>
          </w:tcPr>
          <w:p>
            <w:r>
              <w:rPr>
                <w:b/>
                <w:color w:val="FFFFFF"/>
                <w:sz w:val="18"/>
              </w:rPr>
              <w:t>Exemplo de mensagem</w:t>
            </w:r>
          </w:p>
        </w:tc>
      </w:tr>
      <w:tr>
        <w:trPr>
          <w:cantSplit/>
        </w:trPr>
        <w:tc>
          <w:tcPr>
            <w:tcW w:type="dxa" w:w="4929"/>
            <w:vAlign w:val="top"/>
          </w:tcPr>
          <w:p>
            <w:r>
              <w:rPr>
                <w:sz w:val="17"/>
              </w:rPr>
              <w:t>Abertura</w:t>
            </w:r>
          </w:p>
        </w:tc>
        <w:tc>
          <w:tcPr>
            <w:tcW w:type="dxa" w:w="4929"/>
            <w:vAlign w:val="top"/>
          </w:tcPr>
          <w:p>
            <w:r>
              <w:rPr>
                <w:sz w:val="17"/>
              </w:rPr>
              <w:t>3º Bimestre disponível para preenchimento. Prazo: 31/08/2026.</w:t>
            </w:r>
          </w:p>
        </w:tc>
      </w:tr>
      <w:tr>
        <w:trPr>
          <w:cantSplit/>
        </w:trPr>
        <w:tc>
          <w:tcPr>
            <w:tcW w:type="dxa" w:w="4929"/>
            <w:vAlign w:val="top"/>
          </w:tcPr>
          <w:p>
            <w:r>
              <w:rPr>
                <w:sz w:val="17"/>
              </w:rPr>
              <w:t>Prazo</w:t>
            </w:r>
          </w:p>
        </w:tc>
        <w:tc>
          <w:tcPr>
            <w:tcW w:type="dxa" w:w="4929"/>
            <w:vAlign w:val="top"/>
          </w:tcPr>
          <w:p>
            <w:r>
              <w:rPr>
                <w:sz w:val="17"/>
              </w:rPr>
              <w:t>O prazo para envio do Relatório de Gestão termina em 3 dias.</w:t>
            </w:r>
          </w:p>
        </w:tc>
      </w:tr>
      <w:tr>
        <w:trPr>
          <w:cantSplit/>
        </w:trPr>
        <w:tc>
          <w:tcPr>
            <w:tcW w:type="dxa" w:w="4929"/>
            <w:vAlign w:val="top"/>
          </w:tcPr>
          <w:p>
            <w:r>
              <w:rPr>
                <w:sz w:val="17"/>
              </w:rPr>
              <w:t>Feedback</w:t>
            </w:r>
          </w:p>
        </w:tc>
        <w:tc>
          <w:tcPr>
            <w:tcW w:type="dxa" w:w="4929"/>
            <w:vAlign w:val="top"/>
          </w:tcPr>
          <w:p>
            <w:r>
              <w:rPr>
                <w:sz w:val="17"/>
              </w:rPr>
              <w:t>O Superintendente registrou um feedback no seu relatório do 2º BI.</w:t>
            </w:r>
          </w:p>
        </w:tc>
      </w:tr>
      <w:tr>
        <w:trPr>
          <w:cantSplit/>
        </w:trPr>
        <w:tc>
          <w:tcPr>
            <w:tcW w:type="dxa" w:w="4929"/>
            <w:vAlign w:val="top"/>
          </w:tcPr>
          <w:p>
            <w:r>
              <w:rPr>
                <w:sz w:val="17"/>
              </w:rPr>
              <w:t>Exceção</w:t>
            </w:r>
          </w:p>
        </w:tc>
        <w:tc>
          <w:tcPr>
            <w:tcW w:type="dxa" w:w="4929"/>
            <w:vAlign w:val="top"/>
          </w:tcPr>
          <w:p>
            <w:r>
              <w:rPr>
                <w:sz w:val="17"/>
              </w:rPr>
              <w:t>Foi concedido prazo excepcional para preenchimento do 1º BI até 25/08/2026.</w:t>
            </w:r>
          </w:p>
        </w:tc>
      </w:tr>
    </w:tbl>
    <w:p>
      <w:pPr>
        <w:pStyle w:val="Pending"/>
      </w:pPr>
      <w:r>
        <w:t>DECISÃO FUTURA — Definir posteriormente se as notificações internas serão complementadas por e-mail, Teams ou outro canal institucional.</w:t>
      </w:r>
    </w:p>
    <w:p>
      <w:pPr>
        <w:pStyle w:val="Heading1"/>
      </w:pPr>
      <w:r>
        <w:t>17. Auditoria e histórico</w:t>
      </w:r>
    </w:p>
    <w:p>
      <w:pPr>
        <w:pStyle w:val="Heading2"/>
      </w:pPr>
      <w:r>
        <w:t>17.1 Metadados mínimos</w:t>
      </w:r>
    </w:p>
    <w:p>
      <w:pPr>
        <w:pStyle w:val="ListBullet"/>
      </w:pPr>
      <w:r>
        <w:t>created_at</w:t>
      </w:r>
    </w:p>
    <w:p>
      <w:pPr>
        <w:pStyle w:val="ListBullet"/>
      </w:pPr>
      <w:r>
        <w:t>created_by</w:t>
      </w:r>
    </w:p>
    <w:p>
      <w:pPr>
        <w:pStyle w:val="ListBullet"/>
      </w:pPr>
      <w:r>
        <w:t>updated_at</w:t>
      </w:r>
    </w:p>
    <w:p>
      <w:pPr>
        <w:pStyle w:val="ListBullet"/>
      </w:pPr>
      <w:r>
        <w:t>updated_by</w:t>
      </w:r>
    </w:p>
    <w:p>
      <w:pPr>
        <w:pStyle w:val="Heading2"/>
      </w:pPr>
      <w:r>
        <w:t>17.2 Eventos auditáveis</w:t>
      </w:r>
    </w:p>
    <w:p>
      <w:pPr>
        <w:pStyle w:val="ListBullet"/>
      </w:pPr>
      <w:r>
        <w:t>Criação e alteração de usuário/perfil/escopo.</w:t>
      </w:r>
    </w:p>
    <w:p>
      <w:pPr>
        <w:pStyle w:val="ListBullet"/>
      </w:pPr>
      <w:r>
        <w:t>Abertura e encerramento de planejamento anual.</w:t>
      </w:r>
    </w:p>
    <w:p>
      <w:pPr>
        <w:pStyle w:val="ListBullet"/>
      </w:pPr>
      <w:r>
        <w:t>Abertura e encerramento de bimestre.</w:t>
      </w:r>
    </w:p>
    <w:p>
      <w:pPr>
        <w:pStyle w:val="ListBullet"/>
      </w:pPr>
      <w:r>
        <w:t>Criação/edição/inativação de entrega ou indicador.</w:t>
      </w:r>
    </w:p>
    <w:p>
      <w:pPr>
        <w:pStyle w:val="ListBullet"/>
      </w:pPr>
      <w:r>
        <w:t>Envio inicial do relatório.</w:t>
      </w:r>
    </w:p>
    <w:p>
      <w:pPr>
        <w:pStyle w:val="ListBullet"/>
      </w:pPr>
      <w:r>
        <w:t>Alterações após envio.</w:t>
      </w:r>
    </w:p>
    <w:p>
      <w:pPr>
        <w:pStyle w:val="ListBullet"/>
      </w:pPr>
      <w:r>
        <w:t>Reenvio.</w:t>
      </w:r>
    </w:p>
    <w:p>
      <w:pPr>
        <w:pStyle w:val="ListBullet"/>
      </w:pPr>
      <w:r>
        <w:t>Edição administrativa em relatório encerrado.</w:t>
      </w:r>
    </w:p>
    <w:p>
      <w:pPr>
        <w:pStyle w:val="ListBullet"/>
      </w:pPr>
      <w:r>
        <w:t>Concessão de prazo excepcional.</w:t>
      </w:r>
    </w:p>
    <w:p>
      <w:pPr>
        <w:pStyle w:val="ListBullet"/>
      </w:pPr>
      <w:r>
        <w:t>Motivo e Administrador responsável pela exceção.</w:t>
      </w:r>
    </w:p>
    <w:p>
      <w:pPr>
        <w:pStyle w:val="ListBullet"/>
      </w:pPr>
      <w:r>
        <w:t>Alterações durante prazo excepcional.</w:t>
      </w:r>
    </w:p>
    <w:p>
      <w:pPr>
        <w:pStyle w:val="ListBullet"/>
      </w:pPr>
      <w:r>
        <w:t>Registro e edição de feedback.</w:t>
      </w:r>
    </w:p>
    <w:p>
      <w:pPr>
        <w:pStyle w:val="Heading3"/>
      </w:pPr>
      <w:r>
        <w:t>RF-AUD-01 — Histórico de submissões</w:t>
      </w:r>
    </w:p>
    <w:p>
      <w:r>
        <w:t>Registrar pelo menos data/hora e usuário de cada envio/reenvio.</w:t>
      </w:r>
    </w:p>
    <w:p>
      <w:r>
        <w:rPr>
          <w:b/>
        </w:rPr>
        <w:t xml:space="preserve">Prioridade: </w:t>
      </w:r>
      <w:r>
        <w:t>Obrigatório</w:t>
      </w:r>
    </w:p>
    <w:p>
      <w:pPr>
        <w:pStyle w:val="Heading3"/>
      </w:pPr>
      <w:r>
        <w:t>RF-AUD-02 — Versões</w:t>
      </w:r>
    </w:p>
    <w:p>
      <w:r>
        <w:t>Projetar a persistência de forma a permitir histórico de versões do relatório. Recomenda-se manter snapshots ou mudanças estruturadas suficientes para reconstruir versões relevantes.</w:t>
      </w:r>
    </w:p>
    <w:p>
      <w:r>
        <w:rPr>
          <w:b/>
        </w:rPr>
        <w:t xml:space="preserve">Prioridade: </w:t>
      </w:r>
      <w:r>
        <w:t>Obrigatório</w:t>
      </w:r>
    </w:p>
    <w:p>
      <w:pPr>
        <w:pStyle w:val="Rule"/>
      </w:pPr>
      <w:r>
        <w:rPr>
          <w:b/>
        </w:rPr>
        <w:t xml:space="preserve">RN-AUD-01 — Sem destruição silenciosa. </w:t>
      </w:r>
      <w:r>
        <w:t>Alterações administrativas em dados históricos não podem sobrescrever informações sem trilha de auditoria.</w:t>
      </w:r>
    </w:p>
    <w:p>
      <w:pPr>
        <w:pStyle w:val="Heading1"/>
      </w:pPr>
      <w:r>
        <w:t>18. Modelo de dados conceitual</w:t>
      </w:r>
    </w:p>
    <w:p>
      <w:r>
        <w:t>O modelo abaixo é conceitual. Os nomes físicos de tabelas e colunas podem ser adaptados durante a arquitetura, desde que as relações e regras funcionais sejam preservadas.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  <w:cantSplit/>
        </w:trPr>
        <w:tc>
          <w:tcPr>
            <w:tcW w:type="dxa" w:w="4929"/>
            <w:shd w:fill="112641"/>
            <w:vAlign w:val="center"/>
          </w:tcPr>
          <w:p>
            <w:r>
              <w:rPr>
                <w:b/>
                <w:color w:val="FFFFFF"/>
                <w:sz w:val="18"/>
              </w:rPr>
              <w:t>Entidade</w:t>
            </w:r>
          </w:p>
        </w:tc>
        <w:tc>
          <w:tcPr>
            <w:tcW w:type="dxa" w:w="4929"/>
            <w:shd w:fill="112641"/>
            <w:vAlign w:val="center"/>
          </w:tcPr>
          <w:p>
            <w:r>
              <w:rPr>
                <w:b/>
                <w:color w:val="FFFFFF"/>
                <w:sz w:val="18"/>
              </w:rPr>
              <w:t>Responsabilidade principal</w:t>
            </w:r>
          </w:p>
        </w:tc>
      </w:tr>
      <w:tr>
        <w:trPr>
          <w:cantSplit/>
        </w:trPr>
        <w:tc>
          <w:tcPr>
            <w:tcW w:type="dxa" w:w="4929"/>
            <w:vAlign w:val="top"/>
          </w:tcPr>
          <w:p>
            <w:r>
              <w:rPr>
                <w:sz w:val="17"/>
              </w:rPr>
              <w:t>User</w:t>
            </w:r>
          </w:p>
        </w:tc>
        <w:tc>
          <w:tcPr>
            <w:tcW w:type="dxa" w:w="4929"/>
            <w:vAlign w:val="top"/>
          </w:tcPr>
          <w:p>
            <w:r>
              <w:rPr>
                <w:sz w:val="17"/>
              </w:rPr>
              <w:t>Usuário autorizado, username AD e estado.</w:t>
            </w:r>
          </w:p>
        </w:tc>
      </w:tr>
      <w:tr>
        <w:trPr>
          <w:cantSplit/>
        </w:trPr>
        <w:tc>
          <w:tcPr>
            <w:tcW w:type="dxa" w:w="4929"/>
            <w:vAlign w:val="top"/>
          </w:tcPr>
          <w:p>
            <w:r>
              <w:rPr>
                <w:sz w:val="17"/>
              </w:rPr>
              <w:t>Role</w:t>
            </w:r>
          </w:p>
        </w:tc>
        <w:tc>
          <w:tcPr>
            <w:tcW w:type="dxa" w:w="4929"/>
            <w:vAlign w:val="top"/>
          </w:tcPr>
          <w:p>
            <w:r>
              <w:rPr>
                <w:sz w:val="17"/>
              </w:rPr>
              <w:t>Perfil funcional.</w:t>
            </w:r>
          </w:p>
        </w:tc>
      </w:tr>
      <w:tr>
        <w:trPr>
          <w:cantSplit/>
        </w:trPr>
        <w:tc>
          <w:tcPr>
            <w:tcW w:type="dxa" w:w="4929"/>
            <w:vAlign w:val="top"/>
          </w:tcPr>
          <w:p>
            <w:r>
              <w:rPr>
                <w:sz w:val="17"/>
              </w:rPr>
              <w:t>UserScope / Assignment</w:t>
            </w:r>
          </w:p>
        </w:tc>
        <w:tc>
          <w:tcPr>
            <w:tcW w:type="dxa" w:w="4929"/>
            <w:vAlign w:val="top"/>
          </w:tcPr>
          <w:p>
            <w:r>
              <w:rPr>
                <w:sz w:val="17"/>
              </w:rPr>
              <w:t>Vínculo do usuário ao perfil, Gerência/UORG e vigência.</w:t>
            </w:r>
          </w:p>
        </w:tc>
      </w:tr>
      <w:tr>
        <w:trPr>
          <w:cantSplit/>
        </w:trPr>
        <w:tc>
          <w:tcPr>
            <w:tcW w:type="dxa" w:w="4929"/>
            <w:vAlign w:val="top"/>
          </w:tcPr>
          <w:p>
            <w:r>
              <w:rPr>
                <w:sz w:val="17"/>
              </w:rPr>
              <w:t>Management</w:t>
            </w:r>
          </w:p>
        </w:tc>
        <w:tc>
          <w:tcPr>
            <w:tcW w:type="dxa" w:w="4929"/>
            <w:vAlign w:val="top"/>
          </w:tcPr>
          <w:p>
            <w:r>
              <w:rPr>
                <w:sz w:val="17"/>
              </w:rPr>
              <w:t>Gerência.</w:t>
            </w:r>
          </w:p>
        </w:tc>
      </w:tr>
      <w:tr>
        <w:trPr>
          <w:cantSplit/>
        </w:trPr>
        <w:tc>
          <w:tcPr>
            <w:tcW w:type="dxa" w:w="4929"/>
            <w:vAlign w:val="top"/>
          </w:tcPr>
          <w:p>
            <w:r>
              <w:rPr>
                <w:sz w:val="17"/>
              </w:rPr>
              <w:t>OrganizationalUnit</w:t>
            </w:r>
          </w:p>
        </w:tc>
        <w:tc>
          <w:tcPr>
            <w:tcW w:type="dxa" w:w="4929"/>
            <w:vAlign w:val="top"/>
          </w:tcPr>
          <w:p>
            <w:r>
              <w:rPr>
                <w:sz w:val="17"/>
              </w:rPr>
              <w:t>UORG e vínculo organizacional.</w:t>
            </w:r>
          </w:p>
        </w:tc>
      </w:tr>
      <w:tr>
        <w:trPr>
          <w:cantSplit/>
        </w:trPr>
        <w:tc>
          <w:tcPr>
            <w:tcW w:type="dxa" w:w="4929"/>
            <w:vAlign w:val="top"/>
          </w:tcPr>
          <w:p>
            <w:r>
              <w:rPr>
                <w:sz w:val="17"/>
              </w:rPr>
              <w:t>ManagementYear</w:t>
            </w:r>
          </w:p>
        </w:tc>
        <w:tc>
          <w:tcPr>
            <w:tcW w:type="dxa" w:w="4929"/>
            <w:vAlign w:val="top"/>
          </w:tcPr>
          <w:p>
            <w:r>
              <w:rPr>
                <w:sz w:val="17"/>
              </w:rPr>
              <w:t>Exercício anual.</w:t>
            </w:r>
          </w:p>
        </w:tc>
      </w:tr>
      <w:tr>
        <w:trPr>
          <w:cantSplit/>
        </w:trPr>
        <w:tc>
          <w:tcPr>
            <w:tcW w:type="dxa" w:w="4929"/>
            <w:vAlign w:val="top"/>
          </w:tcPr>
          <w:p>
            <w:r>
              <w:rPr>
                <w:sz w:val="17"/>
              </w:rPr>
              <w:t>YearOrgSnapshot</w:t>
            </w:r>
          </w:p>
        </w:tc>
        <w:tc>
          <w:tcPr>
            <w:tcW w:type="dxa" w:w="4929"/>
            <w:vAlign w:val="top"/>
          </w:tcPr>
          <w:p>
            <w:r>
              <w:rPr>
                <w:sz w:val="17"/>
              </w:rPr>
              <w:t>Fotografia/vínculo da estrutura aplicável ao exercício.</w:t>
            </w:r>
          </w:p>
        </w:tc>
      </w:tr>
      <w:tr>
        <w:trPr>
          <w:cantSplit/>
        </w:trPr>
        <w:tc>
          <w:tcPr>
            <w:tcW w:type="dxa" w:w="4929"/>
            <w:vAlign w:val="top"/>
          </w:tcPr>
          <w:p>
            <w:r>
              <w:rPr>
                <w:sz w:val="17"/>
              </w:rPr>
              <w:t>Delivery</w:t>
            </w:r>
          </w:p>
        </w:tc>
        <w:tc>
          <w:tcPr>
            <w:tcW w:type="dxa" w:w="4929"/>
            <w:vAlign w:val="top"/>
          </w:tcPr>
          <w:p>
            <w:r>
              <w:rPr>
                <w:sz w:val="17"/>
              </w:rPr>
              <w:t>Entrega anual da UORG.</w:t>
            </w:r>
          </w:p>
        </w:tc>
      </w:tr>
      <w:tr>
        <w:trPr>
          <w:cantSplit/>
        </w:trPr>
        <w:tc>
          <w:tcPr>
            <w:tcW w:type="dxa" w:w="4929"/>
            <w:vAlign w:val="top"/>
          </w:tcPr>
          <w:p>
            <w:r>
              <w:rPr>
                <w:sz w:val="17"/>
              </w:rPr>
              <w:t>Indicator</w:t>
            </w:r>
          </w:p>
        </w:tc>
        <w:tc>
          <w:tcPr>
            <w:tcW w:type="dxa" w:w="4929"/>
            <w:vAlign w:val="top"/>
          </w:tcPr>
          <w:p>
            <w:r>
              <w:rPr>
                <w:sz w:val="17"/>
              </w:rPr>
              <w:t>Indicador anual da UORG.</w:t>
            </w:r>
          </w:p>
        </w:tc>
      </w:tr>
      <w:tr>
        <w:trPr>
          <w:cantSplit/>
        </w:trPr>
        <w:tc>
          <w:tcPr>
            <w:tcW w:type="dxa" w:w="4929"/>
            <w:vAlign w:val="top"/>
          </w:tcPr>
          <w:p>
            <w:r>
              <w:rPr>
                <w:sz w:val="17"/>
              </w:rPr>
              <w:t>IndicatorTarget</w:t>
            </w:r>
          </w:p>
        </w:tc>
        <w:tc>
          <w:tcPr>
            <w:tcW w:type="dxa" w:w="4929"/>
            <w:vAlign w:val="top"/>
          </w:tcPr>
          <w:p>
            <w:r>
              <w:rPr>
                <w:sz w:val="17"/>
              </w:rPr>
              <w:t>Meta, unidade e operador.</w:t>
            </w:r>
          </w:p>
        </w:tc>
      </w:tr>
      <w:tr>
        <w:trPr>
          <w:cantSplit/>
        </w:trPr>
        <w:tc>
          <w:tcPr>
            <w:tcW w:type="dxa" w:w="4929"/>
            <w:vAlign w:val="top"/>
          </w:tcPr>
          <w:p>
            <w:r>
              <w:rPr>
                <w:sz w:val="17"/>
              </w:rPr>
              <w:t>ReportingPeriod</w:t>
            </w:r>
          </w:p>
        </w:tc>
        <w:tc>
          <w:tcPr>
            <w:tcW w:type="dxa" w:w="4929"/>
            <w:vAlign w:val="top"/>
          </w:tcPr>
          <w:p>
            <w:r>
              <w:rPr>
                <w:sz w:val="17"/>
              </w:rPr>
              <w:t>Bimestre e janela regular.</w:t>
            </w:r>
          </w:p>
        </w:tc>
      </w:tr>
      <w:tr>
        <w:trPr>
          <w:cantSplit/>
        </w:trPr>
        <w:tc>
          <w:tcPr>
            <w:tcW w:type="dxa" w:w="4929"/>
            <w:vAlign w:val="top"/>
          </w:tcPr>
          <w:p>
            <w:r>
              <w:rPr>
                <w:sz w:val="17"/>
              </w:rPr>
              <w:t>ExceptionalWindow</w:t>
            </w:r>
          </w:p>
        </w:tc>
        <w:tc>
          <w:tcPr>
            <w:tcW w:type="dxa" w:w="4929"/>
            <w:vAlign w:val="top"/>
          </w:tcPr>
          <w:p>
            <w:r>
              <w:rPr>
                <w:sz w:val="17"/>
              </w:rPr>
              <w:t>Prazo excepcional por UORG/bimestre.</w:t>
            </w:r>
          </w:p>
        </w:tc>
      </w:tr>
      <w:tr>
        <w:trPr>
          <w:cantSplit/>
        </w:trPr>
        <w:tc>
          <w:tcPr>
            <w:tcW w:type="dxa" w:w="4929"/>
            <w:vAlign w:val="top"/>
          </w:tcPr>
          <w:p>
            <w:r>
              <w:rPr>
                <w:sz w:val="17"/>
              </w:rPr>
              <w:t>Report</w:t>
            </w:r>
          </w:p>
        </w:tc>
        <w:tc>
          <w:tcPr>
            <w:tcW w:type="dxa" w:w="4929"/>
            <w:vAlign w:val="top"/>
          </w:tcPr>
          <w:p>
            <w:r>
              <w:rPr>
                <w:sz w:val="17"/>
              </w:rPr>
              <w:t>Cabeçalho do relatório de uma UORG/bimestre/exercício.</w:t>
            </w:r>
          </w:p>
        </w:tc>
      </w:tr>
      <w:tr>
        <w:trPr>
          <w:cantSplit/>
        </w:trPr>
        <w:tc>
          <w:tcPr>
            <w:tcW w:type="dxa" w:w="4929"/>
            <w:vAlign w:val="top"/>
          </w:tcPr>
          <w:p>
            <w:r>
              <w:rPr>
                <w:sz w:val="17"/>
              </w:rPr>
              <w:t>ReportSubmission</w:t>
            </w:r>
          </w:p>
        </w:tc>
        <w:tc>
          <w:tcPr>
            <w:tcW w:type="dxa" w:w="4929"/>
            <w:vAlign w:val="top"/>
          </w:tcPr>
          <w:p>
            <w:r>
              <w:rPr>
                <w:sz w:val="17"/>
              </w:rPr>
              <w:t>Registro de envio/reenvio formal.</w:t>
            </w:r>
          </w:p>
        </w:tc>
      </w:tr>
      <w:tr>
        <w:trPr>
          <w:cantSplit/>
        </w:trPr>
        <w:tc>
          <w:tcPr>
            <w:tcW w:type="dxa" w:w="4929"/>
            <w:vAlign w:val="top"/>
          </w:tcPr>
          <w:p>
            <w:r>
              <w:rPr>
                <w:sz w:val="17"/>
              </w:rPr>
              <w:t>DeliveryResult</w:t>
            </w:r>
          </w:p>
        </w:tc>
        <w:tc>
          <w:tcPr>
            <w:tcW w:type="dxa" w:w="4929"/>
            <w:vAlign w:val="top"/>
          </w:tcPr>
          <w:p>
            <w:r>
              <w:rPr>
                <w:sz w:val="17"/>
              </w:rPr>
              <w:t>Conclusão de entrega e competência.</w:t>
            </w:r>
          </w:p>
        </w:tc>
      </w:tr>
      <w:tr>
        <w:trPr>
          <w:cantSplit/>
        </w:trPr>
        <w:tc>
          <w:tcPr>
            <w:tcW w:type="dxa" w:w="4929"/>
            <w:vAlign w:val="top"/>
          </w:tcPr>
          <w:p>
            <w:r>
              <w:rPr>
                <w:sz w:val="17"/>
              </w:rPr>
              <w:t>IndicatorResult</w:t>
            </w:r>
          </w:p>
        </w:tc>
        <w:tc>
          <w:tcPr>
            <w:tcW w:type="dxa" w:w="4929"/>
            <w:vAlign w:val="top"/>
          </w:tcPr>
          <w:p>
            <w:r>
              <w:rPr>
                <w:sz w:val="17"/>
              </w:rPr>
              <w:t>Valor, competência, aplicabilidade/indisponibilidade.</w:t>
            </w:r>
          </w:p>
        </w:tc>
      </w:tr>
      <w:tr>
        <w:trPr>
          <w:cantSplit/>
        </w:trPr>
        <w:tc>
          <w:tcPr>
            <w:tcW w:type="dxa" w:w="4929"/>
            <w:vAlign w:val="top"/>
          </w:tcPr>
          <w:p>
            <w:r>
              <w:rPr>
                <w:sz w:val="17"/>
              </w:rPr>
              <w:t>Highlight</w:t>
            </w:r>
          </w:p>
        </w:tc>
        <w:tc>
          <w:tcPr>
            <w:tcW w:type="dxa" w:w="4929"/>
            <w:vAlign w:val="top"/>
          </w:tcPr>
          <w:p>
            <w:r>
              <w:rPr>
                <w:sz w:val="17"/>
              </w:rPr>
              <w:t>Destaque textual.</w:t>
            </w:r>
          </w:p>
        </w:tc>
      </w:tr>
      <w:tr>
        <w:trPr>
          <w:cantSplit/>
        </w:trPr>
        <w:tc>
          <w:tcPr>
            <w:tcW w:type="dxa" w:w="4929"/>
            <w:vAlign w:val="top"/>
          </w:tcPr>
          <w:p>
            <w:r>
              <w:rPr>
                <w:sz w:val="17"/>
              </w:rPr>
              <w:t>Difficulty</w:t>
            </w:r>
          </w:p>
        </w:tc>
        <w:tc>
          <w:tcPr>
            <w:tcW w:type="dxa" w:w="4929"/>
            <w:vAlign w:val="top"/>
          </w:tcPr>
          <w:p>
            <w:r>
              <w:rPr>
                <w:sz w:val="17"/>
              </w:rPr>
              <w:t>Dificuldade textual.</w:t>
            </w:r>
          </w:p>
        </w:tc>
      </w:tr>
      <w:tr>
        <w:trPr>
          <w:cantSplit/>
        </w:trPr>
        <w:tc>
          <w:tcPr>
            <w:tcW w:type="dxa" w:w="4929"/>
            <w:vAlign w:val="top"/>
          </w:tcPr>
          <w:p>
            <w:r>
              <w:rPr>
                <w:sz w:val="17"/>
              </w:rPr>
              <w:t>Feedback</w:t>
            </w:r>
          </w:p>
        </w:tc>
        <w:tc>
          <w:tcPr>
            <w:tcW w:type="dxa" w:w="4929"/>
            <w:vAlign w:val="top"/>
          </w:tcPr>
          <w:p>
            <w:r>
              <w:rPr>
                <w:sz w:val="17"/>
              </w:rPr>
              <w:t>Comentário do Superintendente.</w:t>
            </w:r>
          </w:p>
        </w:tc>
      </w:tr>
      <w:tr>
        <w:trPr>
          <w:cantSplit/>
        </w:trPr>
        <w:tc>
          <w:tcPr>
            <w:tcW w:type="dxa" w:w="4929"/>
            <w:vAlign w:val="top"/>
          </w:tcPr>
          <w:p>
            <w:r>
              <w:rPr>
                <w:sz w:val="17"/>
              </w:rPr>
              <w:t>Notification</w:t>
            </w:r>
          </w:p>
        </w:tc>
        <w:tc>
          <w:tcPr>
            <w:tcW w:type="dxa" w:w="4929"/>
            <w:vAlign w:val="top"/>
          </w:tcPr>
          <w:p>
            <w:r>
              <w:rPr>
                <w:sz w:val="17"/>
              </w:rPr>
              <w:t>Notificação interna.</w:t>
            </w:r>
          </w:p>
        </w:tc>
      </w:tr>
      <w:tr>
        <w:trPr>
          <w:cantSplit/>
        </w:trPr>
        <w:tc>
          <w:tcPr>
            <w:tcW w:type="dxa" w:w="4929"/>
            <w:vAlign w:val="top"/>
          </w:tcPr>
          <w:p>
            <w:r>
              <w:rPr>
                <w:sz w:val="17"/>
              </w:rPr>
              <w:t>AuditLog</w:t>
            </w:r>
          </w:p>
        </w:tc>
        <w:tc>
          <w:tcPr>
            <w:tcW w:type="dxa" w:w="4929"/>
            <w:vAlign w:val="top"/>
          </w:tcPr>
          <w:p>
            <w:r>
              <w:rPr>
                <w:sz w:val="17"/>
              </w:rPr>
              <w:t>Trilha de ações críticas.</w:t>
            </w:r>
          </w:p>
        </w:tc>
      </w:tr>
    </w:tbl>
    <w:p>
      <w:pPr>
        <w:pStyle w:val="Heading2"/>
      </w:pPr>
      <w:r>
        <w:t>18.1 Relacionamentos essenciais</w:t>
      </w:r>
    </w:p>
    <w:p>
      <w:pPr>
        <w:pStyle w:val="ListBullet"/>
      </w:pPr>
      <w:r>
        <w:t>Um exercício possui seis períodos bimestrais.</w:t>
      </w:r>
    </w:p>
    <w:p>
      <w:pPr>
        <w:pStyle w:val="ListBullet"/>
      </w:pPr>
      <w:r>
        <w:t>Uma UORG participante possui entregas e indicadores vinculados ao exercício.</w:t>
      </w:r>
    </w:p>
    <w:p>
      <w:pPr>
        <w:pStyle w:val="ListBullet"/>
      </w:pPr>
      <w:r>
        <w:t>Um relatório é único por exercício + UORG + bimestre.</w:t>
      </w:r>
    </w:p>
    <w:p>
      <w:pPr>
        <w:pStyle w:val="ListBullet"/>
      </w:pPr>
      <w:r>
        <w:t>Um indicador pode gerar múltiplos resultados conforme sua periodicidade e competências.</w:t>
      </w:r>
    </w:p>
    <w:p>
      <w:pPr>
        <w:pStyle w:val="ListBullet"/>
      </w:pPr>
      <w:r>
        <w:t>Um relatório pode possuir múltiplas submissões ao longo da janela, mas apenas uma versão corrente/oficial.</w:t>
      </w:r>
    </w:p>
    <w:p>
      <w:pPr>
        <w:pStyle w:val="ListBullet"/>
      </w:pPr>
      <w:r>
        <w:t>Uma UORG/bimestre pode possuir janela excepcional independente da janela regular.</w:t>
      </w:r>
    </w:p>
    <w:p>
      <w:pPr>
        <w:pStyle w:val="Heading2"/>
      </w:pPr>
      <w:r>
        <w:t>18.2 Campos conceituais importantes para IndicatorResult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  <w:cantSplit/>
        </w:trPr>
        <w:tc>
          <w:tcPr>
            <w:tcW w:type="dxa" w:w="4929"/>
            <w:shd w:fill="112641"/>
            <w:vAlign w:val="center"/>
          </w:tcPr>
          <w:p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type="dxa" w:w="4929"/>
            <w:shd w:fill="112641"/>
            <w:vAlign w:val="center"/>
          </w:tcPr>
          <w:p>
            <w:r>
              <w:rPr>
                <w:b/>
                <w:color w:val="FFFFFF"/>
                <w:sz w:val="18"/>
              </w:rPr>
              <w:t>Finalidade</w:t>
            </w:r>
          </w:p>
        </w:tc>
      </w:tr>
      <w:tr>
        <w:trPr>
          <w:cantSplit/>
        </w:trPr>
        <w:tc>
          <w:tcPr>
            <w:tcW w:type="dxa" w:w="4929"/>
            <w:vAlign w:val="top"/>
          </w:tcPr>
          <w:p>
            <w:r>
              <w:rPr>
                <w:sz w:val="17"/>
              </w:rPr>
              <w:t>indicator_id</w:t>
            </w:r>
          </w:p>
        </w:tc>
        <w:tc>
          <w:tcPr>
            <w:tcW w:type="dxa" w:w="4929"/>
            <w:vAlign w:val="top"/>
          </w:tcPr>
          <w:p>
            <w:r>
              <w:rPr>
                <w:sz w:val="17"/>
              </w:rPr>
              <w:t>Identificar o indicador.</w:t>
            </w:r>
          </w:p>
        </w:tc>
      </w:tr>
      <w:tr>
        <w:trPr>
          <w:cantSplit/>
        </w:trPr>
        <w:tc>
          <w:tcPr>
            <w:tcW w:type="dxa" w:w="4929"/>
            <w:vAlign w:val="top"/>
          </w:tcPr>
          <w:p>
            <w:r>
              <w:rPr>
                <w:sz w:val="17"/>
              </w:rPr>
              <w:t>report_id</w:t>
            </w:r>
          </w:p>
        </w:tc>
        <w:tc>
          <w:tcPr>
            <w:tcW w:type="dxa" w:w="4929"/>
            <w:vAlign w:val="top"/>
          </w:tcPr>
          <w:p>
            <w:r>
              <w:rPr>
                <w:sz w:val="17"/>
              </w:rPr>
              <w:t>Relacionar ao relatório em que foi informado.</w:t>
            </w:r>
          </w:p>
        </w:tc>
      </w:tr>
      <w:tr>
        <w:trPr>
          <w:cantSplit/>
        </w:trPr>
        <w:tc>
          <w:tcPr>
            <w:tcW w:type="dxa" w:w="4929"/>
            <w:vAlign w:val="top"/>
          </w:tcPr>
          <w:p>
            <w:r>
              <w:rPr>
                <w:sz w:val="17"/>
              </w:rPr>
              <w:t>competencia_inicio</w:t>
            </w:r>
          </w:p>
        </w:tc>
        <w:tc>
          <w:tcPr>
            <w:tcW w:type="dxa" w:w="4929"/>
            <w:vAlign w:val="top"/>
          </w:tcPr>
          <w:p>
            <w:r>
              <w:rPr>
                <w:sz w:val="17"/>
              </w:rPr>
              <w:t>Início do período real do resultado.</w:t>
            </w:r>
          </w:p>
        </w:tc>
      </w:tr>
      <w:tr>
        <w:trPr>
          <w:cantSplit/>
        </w:trPr>
        <w:tc>
          <w:tcPr>
            <w:tcW w:type="dxa" w:w="4929"/>
            <w:vAlign w:val="top"/>
          </w:tcPr>
          <w:p>
            <w:r>
              <w:rPr>
                <w:sz w:val="17"/>
              </w:rPr>
              <w:t>competencia_fim</w:t>
            </w:r>
          </w:p>
        </w:tc>
        <w:tc>
          <w:tcPr>
            <w:tcW w:type="dxa" w:w="4929"/>
            <w:vAlign w:val="top"/>
          </w:tcPr>
          <w:p>
            <w:r>
              <w:rPr>
                <w:sz w:val="17"/>
              </w:rPr>
              <w:t>Fim do período real do resultado.</w:t>
            </w:r>
          </w:p>
        </w:tc>
      </w:tr>
      <w:tr>
        <w:trPr>
          <w:cantSplit/>
        </w:trPr>
        <w:tc>
          <w:tcPr>
            <w:tcW w:type="dxa" w:w="4929"/>
            <w:vAlign w:val="top"/>
          </w:tcPr>
          <w:p>
            <w:r>
              <w:rPr>
                <w:sz w:val="17"/>
              </w:rPr>
              <w:t>periodo_referencia</w:t>
            </w:r>
          </w:p>
        </w:tc>
        <w:tc>
          <w:tcPr>
            <w:tcW w:type="dxa" w:w="4929"/>
            <w:vAlign w:val="top"/>
          </w:tcPr>
          <w:p>
            <w:r>
              <w:rPr>
                <w:sz w:val="17"/>
              </w:rPr>
              <w:t>Descrição/enum da competência: mês, trimestre etc.</w:t>
            </w:r>
          </w:p>
        </w:tc>
      </w:tr>
      <w:tr>
        <w:trPr>
          <w:cantSplit/>
        </w:trPr>
        <w:tc>
          <w:tcPr>
            <w:tcW w:type="dxa" w:w="4929"/>
            <w:vAlign w:val="top"/>
          </w:tcPr>
          <w:p>
            <w:r>
              <w:rPr>
                <w:sz w:val="17"/>
              </w:rPr>
              <w:t>valor</w:t>
            </w:r>
          </w:p>
        </w:tc>
        <w:tc>
          <w:tcPr>
            <w:tcW w:type="dxa" w:w="4929"/>
            <w:vAlign w:val="top"/>
          </w:tcPr>
          <w:p>
            <w:r>
              <w:rPr>
                <w:sz w:val="17"/>
              </w:rPr>
              <w:t>Resultado numérico quando disponível.</w:t>
            </w:r>
          </w:p>
        </w:tc>
      </w:tr>
      <w:tr>
        <w:trPr>
          <w:cantSplit/>
        </w:trPr>
        <w:tc>
          <w:tcPr>
            <w:tcW w:type="dxa" w:w="4929"/>
            <w:vAlign w:val="top"/>
          </w:tcPr>
          <w:p>
            <w:r>
              <w:rPr>
                <w:sz w:val="17"/>
              </w:rPr>
              <w:t>status_resultado</w:t>
            </w:r>
          </w:p>
        </w:tc>
        <w:tc>
          <w:tcPr>
            <w:tcW w:type="dxa" w:w="4929"/>
            <w:vAlign w:val="top"/>
          </w:tcPr>
          <w:p>
            <w:r>
              <w:rPr>
                <w:sz w:val="17"/>
              </w:rPr>
              <w:t>INFORMADO / INDISPONIVEL / NAO_APLICAVEL.</w:t>
            </w:r>
          </w:p>
        </w:tc>
      </w:tr>
      <w:tr>
        <w:trPr>
          <w:cantSplit/>
        </w:trPr>
        <w:tc>
          <w:tcPr>
            <w:tcW w:type="dxa" w:w="4929"/>
            <w:vAlign w:val="top"/>
          </w:tcPr>
          <w:p>
            <w:r>
              <w:rPr>
                <w:sz w:val="17"/>
              </w:rPr>
              <w:t>justificativa</w:t>
            </w:r>
          </w:p>
        </w:tc>
        <w:tc>
          <w:tcPr>
            <w:tcW w:type="dxa" w:w="4929"/>
            <w:vAlign w:val="top"/>
          </w:tcPr>
          <w:p>
            <w:r>
              <w:rPr>
                <w:sz w:val="17"/>
              </w:rPr>
              <w:t>Motivo quando indisponível.</w:t>
            </w:r>
          </w:p>
        </w:tc>
      </w:tr>
    </w:tbl>
    <w:p>
      <w:pPr>
        <w:pStyle w:val="Heading1"/>
      </w:pPr>
      <w:r>
        <w:t>19. Requisitos não funcionais</w:t>
      </w:r>
    </w:p>
    <w:p>
      <w:pPr>
        <w:pStyle w:val="Heading2"/>
      </w:pPr>
      <w:r>
        <w:t>19.1 Segurança</w:t>
      </w:r>
    </w:p>
    <w:p>
      <w:pPr>
        <w:pStyle w:val="Rule"/>
      </w:pPr>
      <w:r>
        <w:rPr>
          <w:b/>
        </w:rPr>
        <w:t xml:space="preserve">RN-NFR-01 — Princípio do menor privilégio. </w:t>
      </w:r>
      <w:r>
        <w:t>Cada usuário só acessará os dados necessários ao seu perfil e escopo organizacional.</w:t>
      </w:r>
    </w:p>
    <w:p>
      <w:pPr>
        <w:pStyle w:val="Rule"/>
      </w:pPr>
      <w:r>
        <w:rPr>
          <w:b/>
        </w:rPr>
        <w:t xml:space="preserve">RN-NFR-02 — Validação no backend. </w:t>
      </w:r>
      <w:r>
        <w:t>Todas as regras de escopo e alteração deverão ser validadas no servidor/API.</w:t>
      </w:r>
    </w:p>
    <w:p>
      <w:pPr>
        <w:pStyle w:val="ListBullet"/>
      </w:pPr>
      <w:r>
        <w:t>Sessões autenticadas e proteção adequada contra acesso não autorizado.</w:t>
      </w:r>
    </w:p>
    <w:p>
      <w:pPr>
        <w:pStyle w:val="ListBullet"/>
      </w:pPr>
      <w:r>
        <w:t>Logs de falha de autenticação/autorização.</w:t>
      </w:r>
    </w:p>
    <w:p>
      <w:pPr>
        <w:pStyle w:val="ListBullet"/>
      </w:pPr>
      <w:r>
        <w:t>Proteção contra alteração de identificadores para acessar UORG alheia.</w:t>
      </w:r>
    </w:p>
    <w:p>
      <w:pPr>
        <w:pStyle w:val="ListBullet"/>
      </w:pPr>
      <w:r>
        <w:t>Tratamento seguro de dados vindos do usuário.</w:t>
      </w:r>
    </w:p>
    <w:p>
      <w:pPr>
        <w:pStyle w:val="Heading2"/>
      </w:pPr>
      <w:r>
        <w:t>19.2 Usabilidade</w:t>
      </w:r>
    </w:p>
    <w:p>
      <w:pPr>
        <w:pStyle w:val="ListBullet"/>
      </w:pPr>
      <w:r>
        <w:t>Mensagens de erro específicas e acionáveis.</w:t>
      </w:r>
    </w:p>
    <w:p>
      <w:pPr>
        <w:pStyle w:val="ListBullet"/>
      </w:pPr>
      <w:r>
        <w:t>Indicação clara do exercício e bimestre atualmente visualizados.</w:t>
      </w:r>
    </w:p>
    <w:p>
      <w:pPr>
        <w:pStyle w:val="ListBullet"/>
      </w:pPr>
      <w:r>
        <w:t>Prazos exibidos com data e hora.</w:t>
      </w:r>
    </w:p>
    <w:p>
      <w:pPr>
        <w:pStyle w:val="ListBullet"/>
      </w:pPr>
      <w:r>
        <w:t>Estados do relatório sempre visíveis.</w:t>
      </w:r>
    </w:p>
    <w:p>
      <w:pPr>
        <w:pStyle w:val="ListBullet"/>
      </w:pPr>
      <w:r>
        <w:t>Não exigir do usuário conhecimento sobre cálculo de competência de indicadores.</w:t>
      </w:r>
    </w:p>
    <w:p>
      <w:pPr>
        <w:pStyle w:val="ListBullet"/>
      </w:pPr>
      <w:r>
        <w:t>Design responsivo para desktop e tablets, priorizando uso em navegadores corporativos.</w:t>
      </w:r>
    </w:p>
    <w:p>
      <w:pPr>
        <w:pStyle w:val="Heading2"/>
      </w:pPr>
      <w:r>
        <w:t>19.3 Integridade</w:t>
      </w:r>
    </w:p>
    <w:p>
      <w:pPr>
        <w:pStyle w:val="ListBullet"/>
      </w:pPr>
      <w:r>
        <w:t>Operações críticas devem ser transacionais.</w:t>
      </w:r>
    </w:p>
    <w:p>
      <w:pPr>
        <w:pStyle w:val="ListBullet"/>
      </w:pPr>
      <w:r>
        <w:t>Evitar duplicidade de relatório para mesma UORG/bimestre/exercício.</w:t>
      </w:r>
    </w:p>
    <w:p>
      <w:pPr>
        <w:pStyle w:val="ListBullet"/>
      </w:pPr>
      <w:r>
        <w:t>Preservar histórico quando registros já tiverem sido utilizados.</w:t>
      </w:r>
    </w:p>
    <w:p>
      <w:pPr>
        <w:pStyle w:val="ListBullet"/>
      </w:pPr>
      <w:r>
        <w:t>Datas e horários armazenados de forma consistente e exibidos no fuso institucional aplicável.</w:t>
      </w:r>
    </w:p>
    <w:p>
      <w:pPr>
        <w:pStyle w:val="Heading2"/>
      </w:pPr>
      <w:r>
        <w:t>19.4 Desempenho</w:t>
      </w:r>
    </w:p>
    <w:p>
      <w:pPr>
        <w:pStyle w:val="ListBullet"/>
      </w:pPr>
      <w:r>
        <w:t>Listagens e dashboards devem usar paginação/consultas otimizadas quando necessário.</w:t>
      </w:r>
    </w:p>
    <w:p>
      <w:pPr>
        <w:pStyle w:val="ListBullet"/>
      </w:pPr>
      <w:r>
        <w:t>Gráficos não devem carregar históricos desnecessários fora dos filtros ativos.</w:t>
      </w:r>
    </w:p>
    <w:p>
      <w:pPr>
        <w:pStyle w:val="ListBullet"/>
      </w:pPr>
      <w:r>
        <w:t>Salvamento automático deve ser leve e não bloquear a digitação.</w:t>
      </w:r>
    </w:p>
    <w:p>
      <w:pPr>
        <w:pStyle w:val="Heading2"/>
      </w:pPr>
      <w:r>
        <w:t>19.5 Acessibilidade</w:t>
      </w:r>
    </w:p>
    <w:p>
      <w:pPr>
        <w:pStyle w:val="ListBullet"/>
      </w:pPr>
      <w:r>
        <w:t>Não depender exclusivamente de cor para comunicar estados.</w:t>
      </w:r>
    </w:p>
    <w:p>
      <w:pPr>
        <w:pStyle w:val="ListBullet"/>
      </w:pPr>
      <w:r>
        <w:t>Controles navegáveis por teclado sempre que possível.</w:t>
      </w:r>
    </w:p>
    <w:p>
      <w:pPr>
        <w:pStyle w:val="ListBullet"/>
      </w:pPr>
      <w:r>
        <w:t>Labels associados aos campos.</w:t>
      </w:r>
    </w:p>
    <w:p>
      <w:pPr>
        <w:pStyle w:val="ListBullet"/>
      </w:pPr>
      <w:r>
        <w:t>Contraste adequado e mensagens de validação legíveis.</w:t>
      </w:r>
    </w:p>
    <w:p>
      <w:pPr>
        <w:pStyle w:val="Heading1"/>
      </w:pPr>
      <w:r>
        <w:t>20. Critérios de aceite</w:t>
      </w:r>
    </w:p>
    <w:p>
      <w:pPr>
        <w:pStyle w:val="Heading2"/>
      </w:pPr>
      <w:r>
        <w:t>20.1 Autenticação e escopo</w:t>
      </w:r>
    </w:p>
    <w:p>
      <w:pPr>
        <w:pStyle w:val="ListBullet"/>
      </w:pPr>
      <w:r>
        <w:t>Usuário válido no AD, mas não cadastrado no portal, não obtém acesso funcional.</w:t>
      </w:r>
    </w:p>
    <w:p>
      <w:pPr>
        <w:pStyle w:val="ListBullet"/>
      </w:pPr>
      <w:r>
        <w:t>Chefe não consegue consultar ou alterar dados de outra UORG.</w:t>
      </w:r>
    </w:p>
    <w:p>
      <w:pPr>
        <w:pStyle w:val="ListBullet"/>
      </w:pPr>
      <w:r>
        <w:t>Gerente não consegue acessar UORG de outra Gerência.</w:t>
      </w:r>
    </w:p>
    <w:p>
      <w:pPr>
        <w:pStyle w:val="ListBullet"/>
      </w:pPr>
      <w:r>
        <w:t>Superintendente e Administrador conseguem consultar todas as UORGs.</w:t>
      </w:r>
    </w:p>
    <w:p>
      <w:pPr>
        <w:pStyle w:val="Heading2"/>
      </w:pPr>
      <w:r>
        <w:t>20.2 Exercício e planejamento</w:t>
      </w:r>
    </w:p>
    <w:p>
      <w:pPr>
        <w:pStyle w:val="ListBullet"/>
      </w:pPr>
      <w:r>
        <w:t>Criar novo exercício não altera dados de exercício anterior.</w:t>
      </w:r>
    </w:p>
    <w:p>
      <w:pPr>
        <w:pStyle w:val="ListBullet"/>
      </w:pPr>
      <w:r>
        <w:t>Administrador consegue definir quantidade obrigatória de entregas.</w:t>
      </w:r>
    </w:p>
    <w:p>
      <w:pPr>
        <w:pStyle w:val="ListBullet"/>
      </w:pPr>
      <w:r>
        <w:t>Chefe autorizado consegue cadastrar o número exigido de entregas e entre 1 e 3 indicadores.</w:t>
      </w:r>
    </w:p>
    <w:p>
      <w:pPr>
        <w:pStyle w:val="ListBullet"/>
      </w:pPr>
      <w:r>
        <w:t>Indicador com histórico não pode ser excluído de forma destrutiva.</w:t>
      </w:r>
    </w:p>
    <w:p>
      <w:pPr>
        <w:pStyle w:val="Heading2"/>
      </w:pPr>
      <w:r>
        <w:t>20.3 Indicadores</w:t>
      </w:r>
    </w:p>
    <w:p>
      <w:pPr>
        <w:pStyle w:val="ListBullet"/>
      </w:pPr>
      <w:r>
        <w:t>Indicador mensal apresenta dois campos no BI correspondente.</w:t>
      </w:r>
    </w:p>
    <w:p>
      <w:pPr>
        <w:pStyle w:val="ListBullet"/>
      </w:pPr>
      <w:r>
        <w:t>Indicador semestral aparece para resultado apenas no 3º e 6º BI.</w:t>
      </w:r>
    </w:p>
    <w:p>
      <w:pPr>
        <w:pStyle w:val="ListBullet"/>
      </w:pPr>
      <w:r>
        <w:t>Indicador trimestral segue o mapeamento 2º/3º/5º/6º BI.</w:t>
      </w:r>
    </w:p>
    <w:p>
      <w:pPr>
        <w:pStyle w:val="ListBullet"/>
      </w:pPr>
      <w:r>
        <w:t>Indicador não aplicável não é exibido como pendente.</w:t>
      </w:r>
    </w:p>
    <w:p>
      <w:pPr>
        <w:pStyle w:val="ListBullet"/>
      </w:pPr>
      <w:r>
        <w:t>Mensagem contextual informa competência correta.</w:t>
      </w:r>
    </w:p>
    <w:p>
      <w:pPr>
        <w:pStyle w:val="ListBullet"/>
      </w:pPr>
      <w:r>
        <w:t>Meta é avaliada conforme operador ≥, ≤ ou =.</w:t>
      </w:r>
    </w:p>
    <w:p>
      <w:pPr>
        <w:pStyle w:val="ListBullet"/>
      </w:pPr>
      <w:r>
        <w:t>Resultado indisponível é distinguido de campo vazio.</w:t>
      </w:r>
    </w:p>
    <w:p>
      <w:pPr>
        <w:pStyle w:val="Heading2"/>
      </w:pPr>
      <w:r>
        <w:t>20.4 Relatório</w:t>
      </w:r>
    </w:p>
    <w:p>
      <w:pPr>
        <w:pStyle w:val="ListBullet"/>
      </w:pPr>
      <w:r>
        <w:t>Rascunho salvo não conta como enviado.</w:t>
      </w:r>
    </w:p>
    <w:p>
      <w:pPr>
        <w:pStyle w:val="ListBullet"/>
      </w:pPr>
      <w:r>
        <w:t>Envio só ocorre após validação e confirmação explícita.</w:t>
      </w:r>
    </w:p>
    <w:p>
      <w:pPr>
        <w:pStyle w:val="ListBullet"/>
      </w:pPr>
      <w:r>
        <w:t>Chefe consegue editar relatório enviado enquanto a janela está aberta.</w:t>
      </w:r>
    </w:p>
    <w:p>
      <w:pPr>
        <w:pStyle w:val="ListBullet"/>
      </w:pPr>
      <w:r>
        <w:t>Alterações posteriores ao envio ficam marcadas como não reenviadas até nova confirmação.</w:t>
      </w:r>
    </w:p>
    <w:p>
      <w:pPr>
        <w:pStyle w:val="ListBullet"/>
      </w:pPr>
      <w:r>
        <w:t>Após encerramento, Chefe perde edição regular.</w:t>
      </w:r>
    </w:p>
    <w:p>
      <w:pPr>
        <w:pStyle w:val="ListBullet"/>
      </w:pPr>
      <w:r>
        <w:t>Administrador mantém capacidade administrativa de alteração com auditoria.</w:t>
      </w:r>
    </w:p>
    <w:p>
      <w:pPr>
        <w:pStyle w:val="Heading2"/>
      </w:pPr>
      <w:r>
        <w:t>20.5 Prazo excepcional</w:t>
      </w:r>
    </w:p>
    <w:p>
      <w:pPr>
        <w:pStyle w:val="ListBullet"/>
      </w:pPr>
      <w:r>
        <w:t>Administrador consegue conceder exceção para apenas uma UORG e um bimestre.</w:t>
      </w:r>
    </w:p>
    <w:p>
      <w:pPr>
        <w:pStyle w:val="ListBullet"/>
      </w:pPr>
      <w:r>
        <w:t>Outras UORGs permanecem bloqueadas.</w:t>
      </w:r>
    </w:p>
    <w:p>
      <w:pPr>
        <w:pStyle w:val="ListBullet"/>
      </w:pPr>
      <w:r>
        <w:t>Chefe atual da UORG consegue preencher/editar durante a janela excepcional.</w:t>
      </w:r>
    </w:p>
    <w:p>
      <w:pPr>
        <w:pStyle w:val="ListBullet"/>
      </w:pPr>
      <w:r>
        <w:t>Após o prazo, a edição volta a ser bloqueada automaticamente.</w:t>
      </w:r>
    </w:p>
    <w:p>
      <w:pPr>
        <w:pStyle w:val="ListBullet"/>
      </w:pPr>
      <w:r>
        <w:t>A concessão e as alterações ficam auditadas.</w:t>
      </w:r>
    </w:p>
    <w:p>
      <w:pPr>
        <w:pStyle w:val="Heading2"/>
      </w:pPr>
      <w:r>
        <w:t>20.6 Visualização e dashboard</w:t>
      </w:r>
    </w:p>
    <w:p>
      <w:pPr>
        <w:pStyle w:val="ListBullet"/>
      </w:pPr>
      <w:r>
        <w:t>Timeline de entregas mostra bimestre correto de conclusão.</w:t>
      </w:r>
    </w:p>
    <w:p>
      <w:pPr>
        <w:pStyle w:val="ListBullet"/>
      </w:pPr>
      <w:r>
        <w:t>Gráficos exibem competência real dos resultados.</w:t>
      </w:r>
    </w:p>
    <w:p>
      <w:pPr>
        <w:pStyle w:val="ListBullet"/>
      </w:pPr>
      <w:r>
        <w:t>Filtros respeitam o escopo do perfil.</w:t>
      </w:r>
    </w:p>
    <w:p>
      <w:pPr>
        <w:pStyle w:val="ListBullet"/>
      </w:pPr>
      <w:r>
        <w:t>Matriz diferencia enviado, pendente, em preenchimento, prazo excepcional e ainda não aberto.</w:t>
      </w:r>
    </w:p>
    <w:p>
      <w:pPr>
        <w:pStyle w:val="ListBullet"/>
      </w:pPr>
      <w:r>
        <w:t>Feedback do Superintendente aparece para o Chefe e não pode ser editado por ele.</w:t>
      </w:r>
    </w:p>
    <w:p>
      <w:pPr>
        <w:pStyle w:val="Heading1"/>
      </w:pPr>
      <w:r>
        <w:t>21. Estratégia recomendada de implementação no Antigravity</w:t>
      </w:r>
    </w:p>
    <w:p>
      <w:r>
        <w:t>A recomendação é evitar um prompt único solicitando a aplicação completa. O desenvolvimento deve ser dividido em módulos pequenos, validáveis e com critérios de aceite claros.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  <w:cantSplit/>
        </w:trPr>
        <w:tc>
          <w:tcPr>
            <w:tcW w:type="dxa" w:w="4929"/>
            <w:shd w:fill="112641"/>
            <w:vAlign w:val="center"/>
          </w:tcPr>
          <w:p>
            <w:r>
              <w:rPr>
                <w:b/>
                <w:color w:val="FFFFFF"/>
                <w:sz w:val="18"/>
              </w:rPr>
              <w:t>Fase</w:t>
            </w:r>
          </w:p>
        </w:tc>
        <w:tc>
          <w:tcPr>
            <w:tcW w:type="dxa" w:w="4929"/>
            <w:shd w:fill="112641"/>
            <w:vAlign w:val="center"/>
          </w:tcPr>
          <w:p>
            <w:r>
              <w:rPr>
                <w:b/>
                <w:color w:val="FFFFFF"/>
                <w:sz w:val="18"/>
              </w:rPr>
              <w:t>Escopo</w:t>
            </w:r>
          </w:p>
        </w:tc>
      </w:tr>
      <w:tr>
        <w:trPr>
          <w:cantSplit/>
        </w:trPr>
        <w:tc>
          <w:tcPr>
            <w:tcW w:type="dxa" w:w="4929"/>
            <w:vAlign w:val="top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4929"/>
            <w:vAlign w:val="top"/>
          </w:tcPr>
          <w:p>
            <w:r>
              <w:rPr>
                <w:sz w:val="17"/>
              </w:rPr>
              <w:t>Estrutura do projeto, configuração, banco e autenticação AD/controle de sessão.</w:t>
            </w:r>
          </w:p>
        </w:tc>
      </w:tr>
      <w:tr>
        <w:trPr>
          <w:cantSplit/>
        </w:trPr>
        <w:tc>
          <w:tcPr>
            <w:tcW w:type="dxa" w:w="4929"/>
            <w:vAlign w:val="top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4929"/>
            <w:vAlign w:val="top"/>
          </w:tcPr>
          <w:p>
            <w:r>
              <w:rPr>
                <w:sz w:val="17"/>
              </w:rPr>
              <w:t>Usuários, perfis, Gerências, UORGs e autorização por escopo.</w:t>
            </w:r>
          </w:p>
        </w:tc>
      </w:tr>
      <w:tr>
        <w:trPr>
          <w:cantSplit/>
        </w:trPr>
        <w:tc>
          <w:tcPr>
            <w:tcW w:type="dxa" w:w="4929"/>
            <w:vAlign w:val="top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4929"/>
            <w:vAlign w:val="top"/>
          </w:tcPr>
          <w:p>
            <w:r>
              <w:rPr>
                <w:sz w:val="17"/>
              </w:rPr>
              <w:t>Exercício anual, fotografia organizacional e calendário bimestral.</w:t>
            </w:r>
          </w:p>
        </w:tc>
      </w:tr>
      <w:tr>
        <w:trPr>
          <w:cantSplit/>
        </w:trPr>
        <w:tc>
          <w:tcPr>
            <w:tcW w:type="dxa" w:w="4929"/>
            <w:vAlign w:val="top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4929"/>
            <w:vAlign w:val="top"/>
          </w:tcPr>
          <w:p>
            <w:r>
              <w:rPr>
                <w:sz w:val="17"/>
              </w:rPr>
              <w:t>Planejamento anual: entregas e indicadores, metas e periodicidade.</w:t>
            </w:r>
          </w:p>
        </w:tc>
      </w:tr>
      <w:tr>
        <w:trPr>
          <w:cantSplit/>
        </w:trPr>
        <w:tc>
          <w:tcPr>
            <w:tcW w:type="dxa" w:w="4929"/>
            <w:vAlign w:val="top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4929"/>
            <w:vAlign w:val="top"/>
          </w:tcPr>
          <w:p>
            <w:r>
              <w:rPr>
                <w:sz w:val="17"/>
              </w:rPr>
              <w:t>Motor de competência dos indicadores e mensagens contextuais.</w:t>
            </w:r>
          </w:p>
        </w:tc>
      </w:tr>
      <w:tr>
        <w:trPr>
          <w:cantSplit/>
        </w:trPr>
        <w:tc>
          <w:tcPr>
            <w:tcW w:type="dxa" w:w="4929"/>
            <w:vAlign w:val="top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4929"/>
            <w:vAlign w:val="top"/>
          </w:tcPr>
          <w:p>
            <w:r>
              <w:rPr>
                <w:sz w:val="17"/>
              </w:rPr>
              <w:t>Relatório bimestral: rascunho, autosave, validação, envio e reenvio.</w:t>
            </w:r>
          </w:p>
        </w:tc>
      </w:tr>
      <w:tr>
        <w:trPr>
          <w:cantSplit/>
        </w:trPr>
        <w:tc>
          <w:tcPr>
            <w:tcW w:type="dxa" w:w="4929"/>
            <w:vAlign w:val="top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4929"/>
            <w:vAlign w:val="top"/>
          </w:tcPr>
          <w:p>
            <w:r>
              <w:rPr>
                <w:sz w:val="17"/>
              </w:rPr>
              <w:t>Encerramento, edição administrativa e prazo excepcional.</w:t>
            </w:r>
          </w:p>
        </w:tc>
      </w:tr>
      <w:tr>
        <w:trPr>
          <w:cantSplit/>
        </w:trPr>
        <w:tc>
          <w:tcPr>
            <w:tcW w:type="dxa" w:w="4929"/>
            <w:vAlign w:val="top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4929"/>
            <w:vAlign w:val="top"/>
          </w:tcPr>
          <w:p>
            <w:r>
              <w:rPr>
                <w:sz w:val="17"/>
              </w:rPr>
              <w:t>Visualização consolidada, timelines e gráficos.</w:t>
            </w:r>
          </w:p>
        </w:tc>
      </w:tr>
      <w:tr>
        <w:trPr>
          <w:cantSplit/>
        </w:trPr>
        <w:tc>
          <w:tcPr>
            <w:tcW w:type="dxa" w:w="4929"/>
            <w:vAlign w:val="top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4929"/>
            <w:vAlign w:val="top"/>
          </w:tcPr>
          <w:p>
            <w:r>
              <w:rPr>
                <w:sz w:val="17"/>
              </w:rPr>
              <w:t>Dashboards de acompanhamento e Home por perfil.</w:t>
            </w:r>
          </w:p>
        </w:tc>
      </w:tr>
      <w:tr>
        <w:trPr>
          <w:cantSplit/>
        </w:trPr>
        <w:tc>
          <w:tcPr>
            <w:tcW w:type="dxa" w:w="4929"/>
            <w:vAlign w:val="top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4929"/>
            <w:vAlign w:val="top"/>
          </w:tcPr>
          <w:p>
            <w:r>
              <w:rPr>
                <w:sz w:val="17"/>
              </w:rPr>
              <w:t>Feedback, notificações e auditoria.</w:t>
            </w:r>
          </w:p>
        </w:tc>
      </w:tr>
      <w:tr>
        <w:trPr>
          <w:cantSplit/>
        </w:trPr>
        <w:tc>
          <w:tcPr>
            <w:tcW w:type="dxa" w:w="4929"/>
            <w:vAlign w:val="top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4929"/>
            <w:vAlign w:val="top"/>
          </w:tcPr>
          <w:p>
            <w:r>
              <w:rPr>
                <w:sz w:val="17"/>
              </w:rPr>
              <w:t>Testes automatizados de regras de negócio, autorização e cenários de borda.</w:t>
            </w:r>
          </w:p>
        </w:tc>
      </w:tr>
      <w:tr>
        <w:trPr>
          <w:cantSplit/>
        </w:trPr>
        <w:tc>
          <w:tcPr>
            <w:tcW w:type="dxa" w:w="4929"/>
            <w:vAlign w:val="top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4929"/>
            <w:vAlign w:val="top"/>
          </w:tcPr>
          <w:p>
            <w:r>
              <w:rPr>
                <w:sz w:val="17"/>
              </w:rPr>
              <w:t>Refinamento visual, acessibilidade, desempenho e homologação.</w:t>
            </w:r>
          </w:p>
        </w:tc>
      </w:tr>
    </w:tbl>
    <w:p>
      <w:pPr>
        <w:pStyle w:val="Heading2"/>
      </w:pPr>
      <w:r>
        <w:t>21.1 Princípios para o agente de desenvolvimento</w:t>
      </w:r>
    </w:p>
    <w:p>
      <w:pPr>
        <w:pStyle w:val="ListBullet"/>
      </w:pPr>
      <w:r>
        <w:t>Implementar regras de negócio no domínio/serviço, não apenas na interface.</w:t>
      </w:r>
    </w:p>
    <w:p>
      <w:pPr>
        <w:pStyle w:val="ListBullet"/>
      </w:pPr>
      <w:r>
        <w:t>Centralizar cálculo de periodicidade e competência dos indicadores.</w:t>
      </w:r>
    </w:p>
    <w:p>
      <w:pPr>
        <w:pStyle w:val="ListBullet"/>
      </w:pPr>
      <w:r>
        <w:t>Centralizar autorização por perfil e escopo.</w:t>
      </w:r>
    </w:p>
    <w:p>
      <w:pPr>
        <w:pStyle w:val="ListBullet"/>
      </w:pPr>
      <w:r>
        <w:t>Evitar hard-code da estrutura organizacional.</w:t>
      </w:r>
    </w:p>
    <w:p>
      <w:pPr>
        <w:pStyle w:val="ListBullet"/>
      </w:pPr>
      <w:r>
        <w:t>Usar inativação/soft delete quando houver histórico relacionado.</w:t>
      </w:r>
    </w:p>
    <w:p>
      <w:pPr>
        <w:pStyle w:val="ListBullet"/>
      </w:pPr>
      <w:r>
        <w:t>Criar testes para cada regra RN e para os principais critérios de aceite.</w:t>
      </w:r>
    </w:p>
    <w:p>
      <w:pPr>
        <w:pStyle w:val="ListBullet"/>
      </w:pPr>
      <w:r>
        <w:t>Manter migrations/versionamento de banco.</w:t>
      </w:r>
    </w:p>
    <w:p>
      <w:pPr>
        <w:pStyle w:val="ListBullet"/>
      </w:pPr>
      <w:r>
        <w:t>Não modificar comportamento definido nesta especificação sem registrar a decisão.</w:t>
      </w:r>
    </w:p>
    <w:p>
      <w:pPr>
        <w:pStyle w:val="Heading1"/>
      </w:pPr>
      <w:r>
        <w:t>22. Pendências e evoluções futuras</w:t>
      </w:r>
    </w:p>
    <w:p>
      <w:r>
        <w:t>Os itens abaixo não impedem o desenvolvimento inicial, mas devem ser mantidos visíveis para decisão posterior.</w:t>
      </w:r>
    </w:p>
    <w:p>
      <w:pPr>
        <w:pStyle w:val="Pending"/>
      </w:pPr>
      <w:r>
        <w:t>DECISÃO FUTURA — Definir se o motivo do prazo excepcional será obrigatório ou apenas recomendado. Nesta versão, a recomendação é torná-lo obrigatório.</w:t>
      </w:r>
    </w:p>
    <w:p>
      <w:pPr>
        <w:pStyle w:val="Pending"/>
      </w:pPr>
      <w:r>
        <w:t>DECISÃO FUTURA — Definir se Administrador também poderá registrar feedback institucional, além de editar dados administrativos.</w:t>
      </w:r>
    </w:p>
    <w:p>
      <w:pPr>
        <w:pStyle w:val="Pending"/>
      </w:pPr>
      <w:r>
        <w:t>DECISÃO FUTURA — Definir integração de notificações com e-mail/Teams após a central interna.</w:t>
      </w:r>
    </w:p>
    <w:p>
      <w:pPr>
        <w:pStyle w:val="Pending"/>
      </w:pPr>
      <w:r>
        <w:t>DECISÃO FUTURA — Definir política detalhada de retenção de versões completas do relatório e tempo de guarda de logs.</w:t>
      </w:r>
    </w:p>
    <w:p>
      <w:pPr>
        <w:pStyle w:val="Pending"/>
      </w:pPr>
      <w:r>
        <w:t>DECISÃO FUTURA — Definir se haverá exportação PDF/Excel dos relatórios e dashboards.</w:t>
      </w:r>
    </w:p>
    <w:p>
      <w:pPr>
        <w:pStyle w:val="Pending"/>
      </w:pPr>
      <w:r>
        <w:t>DECISÃO FUTURA — Definir se haverá limite de tamanho para Destaques, Dificuldades, descrição de indicador e feedback.</w:t>
      </w:r>
    </w:p>
    <w:p>
      <w:pPr>
        <w:pStyle w:val="Pending"/>
      </w:pPr>
      <w:r>
        <w:t>DECISÃO FUTURA — Definir se determinados indicadores poderão usar operador “entre/faixa” além de ≥, ≤ e =.</w:t>
      </w:r>
    </w:p>
    <w:p>
      <w:pPr>
        <w:pStyle w:val="Pending"/>
      </w:pPr>
      <w:r>
        <w:t>DECISÃO FUTURA — Definir se a abertura regular do bimestre poderá ser seletiva por UORG; a v1.0 exige ao menos abertura geral e prazo excepcional individual.</w:t>
      </w:r>
    </w:p>
    <w:p>
      <w:pPr>
        <w:pStyle w:val="Heading1"/>
      </w:pPr>
      <w:r>
        <w:t>23. Catálogo consolidado de regras de negócio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  <w:cantSplit/>
        </w:trPr>
        <w:tc>
          <w:tcPr>
            <w:tcW w:type="dxa" w:w="3286"/>
            <w:shd w:fill="112641"/>
            <w:vAlign w:val="center"/>
          </w:tcPr>
          <w:p>
            <w:r>
              <w:rPr>
                <w:b/>
                <w:color w:val="FFFFFF"/>
                <w:sz w:val="18"/>
              </w:rPr>
              <w:t>Código</w:t>
            </w:r>
          </w:p>
        </w:tc>
        <w:tc>
          <w:tcPr>
            <w:tcW w:type="dxa" w:w="3286"/>
            <w:shd w:fill="112641"/>
            <w:vAlign w:val="center"/>
          </w:tcPr>
          <w:p>
            <w:r>
              <w:rPr>
                <w:b/>
                <w:color w:val="FFFFFF"/>
                <w:sz w:val="18"/>
              </w:rPr>
              <w:t>Regra</w:t>
            </w:r>
          </w:p>
        </w:tc>
        <w:tc>
          <w:tcPr>
            <w:tcW w:type="dxa" w:w="3286"/>
            <w:shd w:fill="112641"/>
            <w:vAlign w:val="center"/>
          </w:tcPr>
          <w:p>
            <w:r>
              <w:rPr>
                <w:b/>
                <w:color w:val="FFFFFF"/>
                <w:sz w:val="18"/>
              </w:rPr>
              <w:t>Síntese</w:t>
            </w:r>
          </w:p>
        </w:tc>
      </w:tr>
      <w:tr>
        <w:trPr>
          <w:cantSplit/>
        </w:trPr>
        <w:tc>
          <w:tcPr>
            <w:tcW w:type="dxa" w:w="3286"/>
            <w:vAlign w:val="top"/>
          </w:tcPr>
          <w:p>
            <w:r>
              <w:rPr>
                <w:sz w:val="17"/>
              </w:rPr>
              <w:t>RN-ORG-01</w:t>
            </w:r>
          </w:p>
        </w:tc>
        <w:tc>
          <w:tcPr>
            <w:tcW w:type="dxa" w:w="3286"/>
            <w:vAlign w:val="top"/>
          </w:tcPr>
          <w:p>
            <w:r>
              <w:rPr>
                <w:sz w:val="17"/>
              </w:rPr>
              <w:t>Histórico organizacional</w:t>
            </w:r>
          </w:p>
        </w:tc>
        <w:tc>
          <w:tcPr>
            <w:tcW w:type="dxa" w:w="3286"/>
            <w:vAlign w:val="top"/>
          </w:tcPr>
          <w:p>
            <w:r>
              <w:rPr>
                <w:sz w:val="17"/>
              </w:rPr>
              <w:t>Mudanças futuras não alteram retrospectivamente exercícios anteriores.</w:t>
            </w:r>
          </w:p>
        </w:tc>
      </w:tr>
      <w:tr>
        <w:trPr>
          <w:cantSplit/>
        </w:trPr>
        <w:tc>
          <w:tcPr>
            <w:tcW w:type="dxa" w:w="3286"/>
            <w:vAlign w:val="top"/>
          </w:tcPr>
          <w:p>
            <w:r>
              <w:rPr>
                <w:sz w:val="17"/>
              </w:rPr>
              <w:t>RN-ACL-01</w:t>
            </w:r>
          </w:p>
        </w:tc>
        <w:tc>
          <w:tcPr>
            <w:tcW w:type="dxa" w:w="3286"/>
            <w:vAlign w:val="top"/>
          </w:tcPr>
          <w:p>
            <w:r>
              <w:rPr>
                <w:sz w:val="17"/>
              </w:rPr>
              <w:t>Pré-cadastro</w:t>
            </w:r>
          </w:p>
        </w:tc>
        <w:tc>
          <w:tcPr>
            <w:tcW w:type="dxa" w:w="3286"/>
            <w:vAlign w:val="top"/>
          </w:tcPr>
          <w:p>
            <w:r>
              <w:rPr>
                <w:sz w:val="17"/>
              </w:rPr>
              <w:t>AD válido não substitui cadastro autorizado no portal.</w:t>
            </w:r>
          </w:p>
        </w:tc>
      </w:tr>
      <w:tr>
        <w:trPr>
          <w:cantSplit/>
        </w:trPr>
        <w:tc>
          <w:tcPr>
            <w:tcW w:type="dxa" w:w="3286"/>
            <w:vAlign w:val="top"/>
          </w:tcPr>
          <w:p>
            <w:r>
              <w:rPr>
                <w:sz w:val="17"/>
              </w:rPr>
              <w:t>RN-ACL-02</w:t>
            </w:r>
          </w:p>
        </w:tc>
        <w:tc>
          <w:tcPr>
            <w:tcW w:type="dxa" w:w="3286"/>
            <w:vAlign w:val="top"/>
          </w:tcPr>
          <w:p>
            <w:r>
              <w:rPr>
                <w:sz w:val="17"/>
              </w:rPr>
              <w:t>Autorização no servidor</w:t>
            </w:r>
          </w:p>
        </w:tc>
        <w:tc>
          <w:tcPr>
            <w:tcW w:type="dxa" w:w="3286"/>
            <w:vAlign w:val="top"/>
          </w:tcPr>
          <w:p>
            <w:r>
              <w:rPr>
                <w:sz w:val="17"/>
              </w:rPr>
              <w:t>Escopo deve ser protegido no backend.</w:t>
            </w:r>
          </w:p>
        </w:tc>
      </w:tr>
      <w:tr>
        <w:trPr>
          <w:cantSplit/>
        </w:trPr>
        <w:tc>
          <w:tcPr>
            <w:tcW w:type="dxa" w:w="3286"/>
            <w:vAlign w:val="top"/>
          </w:tcPr>
          <w:p>
            <w:r>
              <w:rPr>
                <w:sz w:val="17"/>
              </w:rPr>
              <w:t>RN-EXE-01</w:t>
            </w:r>
          </w:p>
        </w:tc>
        <w:tc>
          <w:tcPr>
            <w:tcW w:type="dxa" w:w="3286"/>
            <w:vAlign w:val="top"/>
          </w:tcPr>
          <w:p>
            <w:r>
              <w:rPr>
                <w:sz w:val="17"/>
              </w:rPr>
              <w:t>Isolamento por exercício</w:t>
            </w:r>
          </w:p>
        </w:tc>
        <w:tc>
          <w:tcPr>
            <w:tcW w:type="dxa" w:w="3286"/>
            <w:vAlign w:val="top"/>
          </w:tcPr>
          <w:p>
            <w:r>
              <w:rPr>
                <w:sz w:val="17"/>
              </w:rPr>
              <w:t>Novo exercício não sobrescreve histórico.</w:t>
            </w:r>
          </w:p>
        </w:tc>
      </w:tr>
      <w:tr>
        <w:trPr>
          <w:cantSplit/>
        </w:trPr>
        <w:tc>
          <w:tcPr>
            <w:tcW w:type="dxa" w:w="3286"/>
            <w:vAlign w:val="top"/>
          </w:tcPr>
          <w:p>
            <w:r>
              <w:rPr>
                <w:sz w:val="17"/>
              </w:rPr>
              <w:t>RN-ENT-01</w:t>
            </w:r>
          </w:p>
        </w:tc>
        <w:tc>
          <w:tcPr>
            <w:tcW w:type="dxa" w:w="3286"/>
            <w:vAlign w:val="top"/>
          </w:tcPr>
          <w:p>
            <w:r>
              <w:rPr>
                <w:sz w:val="17"/>
              </w:rPr>
              <w:t>Conclusão única</w:t>
            </w:r>
          </w:p>
        </w:tc>
        <w:tc>
          <w:tcPr>
            <w:tcW w:type="dxa" w:w="3286"/>
            <w:vAlign w:val="top"/>
          </w:tcPr>
          <w:p>
            <w:r>
              <w:rPr>
                <w:sz w:val="17"/>
              </w:rPr>
              <w:t>Entrega concluída não volta aos BIs seguintes.</w:t>
            </w:r>
          </w:p>
        </w:tc>
      </w:tr>
      <w:tr>
        <w:trPr>
          <w:cantSplit/>
        </w:trPr>
        <w:tc>
          <w:tcPr>
            <w:tcW w:type="dxa" w:w="3286"/>
            <w:vAlign w:val="top"/>
          </w:tcPr>
          <w:p>
            <w:r>
              <w:rPr>
                <w:sz w:val="17"/>
              </w:rPr>
              <w:t>RN-ENT-02</w:t>
            </w:r>
          </w:p>
        </w:tc>
        <w:tc>
          <w:tcPr>
            <w:tcW w:type="dxa" w:w="3286"/>
            <w:vAlign w:val="top"/>
          </w:tcPr>
          <w:p>
            <w:r>
              <w:rPr>
                <w:sz w:val="17"/>
              </w:rPr>
              <w:t>Registro da conclusão</w:t>
            </w:r>
          </w:p>
        </w:tc>
        <w:tc>
          <w:tcPr>
            <w:tcW w:type="dxa" w:w="3286"/>
            <w:vAlign w:val="top"/>
          </w:tcPr>
          <w:p>
            <w:r>
              <w:rPr>
                <w:sz w:val="17"/>
              </w:rPr>
              <w:t>Guardar BI, data/hora e usuário.</w:t>
            </w:r>
          </w:p>
        </w:tc>
      </w:tr>
      <w:tr>
        <w:trPr>
          <w:cantSplit/>
        </w:trPr>
        <w:tc>
          <w:tcPr>
            <w:tcW w:type="dxa" w:w="3286"/>
            <w:vAlign w:val="top"/>
          </w:tcPr>
          <w:p>
            <w:r>
              <w:rPr>
                <w:sz w:val="17"/>
              </w:rPr>
              <w:t>RN-ENT-03</w:t>
            </w:r>
          </w:p>
        </w:tc>
        <w:tc>
          <w:tcPr>
            <w:tcW w:type="dxa" w:w="3286"/>
            <w:vAlign w:val="top"/>
          </w:tcPr>
          <w:p>
            <w:r>
              <w:rPr>
                <w:sz w:val="17"/>
              </w:rPr>
              <w:t>Preservação</w:t>
            </w:r>
          </w:p>
        </w:tc>
        <w:tc>
          <w:tcPr>
            <w:tcW w:type="dxa" w:w="3286"/>
            <w:vAlign w:val="top"/>
          </w:tcPr>
          <w:p>
            <w:r>
              <w:rPr>
                <w:sz w:val="17"/>
              </w:rPr>
              <w:t>Entrega com histórico não sofre exclusão destrutiva.</w:t>
            </w:r>
          </w:p>
        </w:tc>
      </w:tr>
      <w:tr>
        <w:trPr>
          <w:cantSplit/>
        </w:trPr>
        <w:tc>
          <w:tcPr>
            <w:tcW w:type="dxa" w:w="3286"/>
            <w:vAlign w:val="top"/>
          </w:tcPr>
          <w:p>
            <w:r>
              <w:rPr>
                <w:sz w:val="17"/>
              </w:rPr>
              <w:t>RN-IND-01</w:t>
            </w:r>
          </w:p>
        </w:tc>
        <w:tc>
          <w:tcPr>
            <w:tcW w:type="dxa" w:w="3286"/>
            <w:vAlign w:val="top"/>
          </w:tcPr>
          <w:p>
            <w:r>
              <w:rPr>
                <w:sz w:val="17"/>
              </w:rPr>
              <w:t>Atingimento da meta</w:t>
            </w:r>
          </w:p>
        </w:tc>
        <w:tc>
          <w:tcPr>
            <w:tcW w:type="dxa" w:w="3286"/>
            <w:vAlign w:val="top"/>
          </w:tcPr>
          <w:p>
            <w:r>
              <w:rPr>
                <w:sz w:val="17"/>
              </w:rPr>
              <w:t>Calcular conforme valor, unidade e operador.</w:t>
            </w:r>
          </w:p>
        </w:tc>
      </w:tr>
      <w:tr>
        <w:trPr>
          <w:cantSplit/>
        </w:trPr>
        <w:tc>
          <w:tcPr>
            <w:tcW w:type="dxa" w:w="3286"/>
            <w:vAlign w:val="top"/>
          </w:tcPr>
          <w:p>
            <w:r>
              <w:rPr>
                <w:sz w:val="17"/>
              </w:rPr>
              <w:t>RN-IND-02</w:t>
            </w:r>
          </w:p>
        </w:tc>
        <w:tc>
          <w:tcPr>
            <w:tcW w:type="dxa" w:w="3286"/>
            <w:vAlign w:val="top"/>
          </w:tcPr>
          <w:p>
            <w:r>
              <w:rPr>
                <w:sz w:val="17"/>
              </w:rPr>
              <w:t>Janela x competência</w:t>
            </w:r>
          </w:p>
        </w:tc>
        <w:tc>
          <w:tcPr>
            <w:tcW w:type="dxa" w:w="3286"/>
            <w:vAlign w:val="top"/>
          </w:tcPr>
          <w:p>
            <w:r>
              <w:rPr>
                <w:sz w:val="17"/>
              </w:rPr>
              <w:t>BI de coleta e competência do resultado são conceitos distintos.</w:t>
            </w:r>
          </w:p>
        </w:tc>
      </w:tr>
      <w:tr>
        <w:trPr>
          <w:cantSplit/>
        </w:trPr>
        <w:tc>
          <w:tcPr>
            <w:tcW w:type="dxa" w:w="3286"/>
            <w:vAlign w:val="top"/>
          </w:tcPr>
          <w:p>
            <w:r>
              <w:rPr>
                <w:sz w:val="17"/>
              </w:rPr>
              <w:t>RN-IND-03</w:t>
            </w:r>
          </w:p>
        </w:tc>
        <w:tc>
          <w:tcPr>
            <w:tcW w:type="dxa" w:w="3286"/>
            <w:vAlign w:val="top"/>
          </w:tcPr>
          <w:p>
            <w:r>
              <w:rPr>
                <w:sz w:val="17"/>
              </w:rPr>
              <w:t>Mensal</w:t>
            </w:r>
          </w:p>
        </w:tc>
        <w:tc>
          <w:tcPr>
            <w:tcW w:type="dxa" w:w="3286"/>
            <w:vAlign w:val="top"/>
          </w:tcPr>
          <w:p>
            <w:r>
              <w:rPr>
                <w:sz w:val="17"/>
              </w:rPr>
              <w:t>Dois resultados mensais por BI.</w:t>
            </w:r>
          </w:p>
        </w:tc>
      </w:tr>
      <w:tr>
        <w:trPr>
          <w:cantSplit/>
        </w:trPr>
        <w:tc>
          <w:tcPr>
            <w:tcW w:type="dxa" w:w="3286"/>
            <w:vAlign w:val="top"/>
          </w:tcPr>
          <w:p>
            <w:r>
              <w:rPr>
                <w:sz w:val="17"/>
              </w:rPr>
              <w:t>RN-IND-04</w:t>
            </w:r>
          </w:p>
        </w:tc>
        <w:tc>
          <w:tcPr>
            <w:tcW w:type="dxa" w:w="3286"/>
            <w:vAlign w:val="top"/>
          </w:tcPr>
          <w:p>
            <w:r>
              <w:rPr>
                <w:sz w:val="17"/>
              </w:rPr>
              <w:t>Trimestral</w:t>
            </w:r>
          </w:p>
        </w:tc>
        <w:tc>
          <w:tcPr>
            <w:tcW w:type="dxa" w:w="3286"/>
            <w:vAlign w:val="top"/>
          </w:tcPr>
          <w:p>
            <w:r>
              <w:rPr>
                <w:sz w:val="17"/>
              </w:rPr>
              <w:t>Coleta em 2º, 3º, 5º e 6º BI.</w:t>
            </w:r>
          </w:p>
        </w:tc>
      </w:tr>
      <w:tr>
        <w:trPr>
          <w:cantSplit/>
        </w:trPr>
        <w:tc>
          <w:tcPr>
            <w:tcW w:type="dxa" w:w="3286"/>
            <w:vAlign w:val="top"/>
          </w:tcPr>
          <w:p>
            <w:r>
              <w:rPr>
                <w:sz w:val="17"/>
              </w:rPr>
              <w:t>RN-IND-05</w:t>
            </w:r>
          </w:p>
        </w:tc>
        <w:tc>
          <w:tcPr>
            <w:tcW w:type="dxa" w:w="3286"/>
            <w:vAlign w:val="top"/>
          </w:tcPr>
          <w:p>
            <w:r>
              <w:rPr>
                <w:sz w:val="17"/>
              </w:rPr>
              <w:t>Não aplicável</w:t>
            </w:r>
          </w:p>
        </w:tc>
        <w:tc>
          <w:tcPr>
            <w:tcW w:type="dxa" w:w="3286"/>
            <w:vAlign w:val="top"/>
          </w:tcPr>
          <w:p>
            <w:r>
              <w:rPr>
                <w:sz w:val="17"/>
              </w:rPr>
              <w:t>Indicador fora da competência não é pendente.</w:t>
            </w:r>
          </w:p>
        </w:tc>
      </w:tr>
      <w:tr>
        <w:trPr>
          <w:cantSplit/>
        </w:trPr>
        <w:tc>
          <w:tcPr>
            <w:tcW w:type="dxa" w:w="3286"/>
            <w:vAlign w:val="top"/>
          </w:tcPr>
          <w:p>
            <w:r>
              <w:rPr>
                <w:sz w:val="17"/>
              </w:rPr>
              <w:t>RN-IND-06</w:t>
            </w:r>
          </w:p>
        </w:tc>
        <w:tc>
          <w:tcPr>
            <w:tcW w:type="dxa" w:w="3286"/>
            <w:vAlign w:val="top"/>
          </w:tcPr>
          <w:p>
            <w:r>
              <w:rPr>
                <w:sz w:val="17"/>
              </w:rPr>
              <w:t>Inativação</w:t>
            </w:r>
          </w:p>
        </w:tc>
        <w:tc>
          <w:tcPr>
            <w:tcW w:type="dxa" w:w="3286"/>
            <w:vAlign w:val="top"/>
          </w:tcPr>
          <w:p>
            <w:r>
              <w:rPr>
                <w:sz w:val="17"/>
              </w:rPr>
              <w:t>Indicador com histórico não pode ser apagado destrutivamente.</w:t>
            </w:r>
          </w:p>
        </w:tc>
      </w:tr>
      <w:tr>
        <w:trPr>
          <w:cantSplit/>
        </w:trPr>
        <w:tc>
          <w:tcPr>
            <w:tcW w:type="dxa" w:w="3286"/>
            <w:vAlign w:val="top"/>
          </w:tcPr>
          <w:p>
            <w:r>
              <w:rPr>
                <w:sz w:val="17"/>
              </w:rPr>
              <w:t>RN-REL-01</w:t>
            </w:r>
          </w:p>
        </w:tc>
        <w:tc>
          <w:tcPr>
            <w:tcW w:type="dxa" w:w="3286"/>
            <w:vAlign w:val="top"/>
          </w:tcPr>
          <w:p>
            <w:r>
              <w:rPr>
                <w:sz w:val="17"/>
              </w:rPr>
              <w:t>Salvar != enviar</w:t>
            </w:r>
          </w:p>
        </w:tc>
        <w:tc>
          <w:tcPr>
            <w:tcW w:type="dxa" w:w="3286"/>
            <w:vAlign w:val="top"/>
          </w:tcPr>
          <w:p>
            <w:r>
              <w:rPr>
                <w:sz w:val="17"/>
              </w:rPr>
              <w:t>Rascunho não é submissão.</w:t>
            </w:r>
          </w:p>
        </w:tc>
      </w:tr>
      <w:tr>
        <w:trPr>
          <w:cantSplit/>
        </w:trPr>
        <w:tc>
          <w:tcPr>
            <w:tcW w:type="dxa" w:w="3286"/>
            <w:vAlign w:val="top"/>
          </w:tcPr>
          <w:p>
            <w:r>
              <w:rPr>
                <w:sz w:val="17"/>
              </w:rPr>
              <w:t>RN-REL-02</w:t>
            </w:r>
          </w:p>
        </w:tc>
        <w:tc>
          <w:tcPr>
            <w:tcW w:type="dxa" w:w="3286"/>
            <w:vAlign w:val="top"/>
          </w:tcPr>
          <w:p>
            <w:r>
              <w:rPr>
                <w:sz w:val="17"/>
              </w:rPr>
              <w:t>Reenvio</w:t>
            </w:r>
          </w:p>
        </w:tc>
        <w:tc>
          <w:tcPr>
            <w:tcW w:type="dxa" w:w="3286"/>
            <w:vAlign w:val="top"/>
          </w:tcPr>
          <w:p>
            <w:r>
              <w:rPr>
                <w:sz w:val="17"/>
              </w:rPr>
              <w:t>Relatório permanece enviado após nova submissão, com versão atualizada.</w:t>
            </w:r>
          </w:p>
        </w:tc>
      </w:tr>
      <w:tr>
        <w:trPr>
          <w:cantSplit/>
        </w:trPr>
        <w:tc>
          <w:tcPr>
            <w:tcW w:type="dxa" w:w="3286"/>
            <w:vAlign w:val="top"/>
          </w:tcPr>
          <w:p>
            <w:r>
              <w:rPr>
                <w:sz w:val="17"/>
              </w:rPr>
              <w:t>RN-REL-03</w:t>
            </w:r>
          </w:p>
        </w:tc>
        <w:tc>
          <w:tcPr>
            <w:tcW w:type="dxa" w:w="3286"/>
            <w:vAlign w:val="top"/>
          </w:tcPr>
          <w:p>
            <w:r>
              <w:rPr>
                <w:sz w:val="17"/>
              </w:rPr>
              <w:t>Administrador</w:t>
            </w:r>
          </w:p>
        </w:tc>
        <w:tc>
          <w:tcPr>
            <w:tcW w:type="dxa" w:w="3286"/>
            <w:vAlign w:val="top"/>
          </w:tcPr>
          <w:p>
            <w:r>
              <w:rPr>
                <w:sz w:val="17"/>
              </w:rPr>
              <w:t>Pode alterar encerrados com auditoria.</w:t>
            </w:r>
          </w:p>
        </w:tc>
      </w:tr>
      <w:tr>
        <w:trPr>
          <w:cantSplit/>
        </w:trPr>
        <w:tc>
          <w:tcPr>
            <w:tcW w:type="dxa" w:w="3286"/>
            <w:vAlign w:val="top"/>
          </w:tcPr>
          <w:p>
            <w:r>
              <w:rPr>
                <w:sz w:val="17"/>
              </w:rPr>
              <w:t>RN-PEX-01</w:t>
            </w:r>
          </w:p>
        </w:tc>
        <w:tc>
          <w:tcPr>
            <w:tcW w:type="dxa" w:w="3286"/>
            <w:vAlign w:val="top"/>
          </w:tcPr>
          <w:p>
            <w:r>
              <w:rPr>
                <w:sz w:val="17"/>
              </w:rPr>
              <w:t>Escopo da exceção</w:t>
            </w:r>
          </w:p>
        </w:tc>
        <w:tc>
          <w:tcPr>
            <w:tcW w:type="dxa" w:w="3286"/>
            <w:vAlign w:val="top"/>
          </w:tcPr>
          <w:p>
            <w:r>
              <w:rPr>
                <w:sz w:val="17"/>
              </w:rPr>
              <w:t>Prazo excepcional não reabre o BI globalmente.</w:t>
            </w:r>
          </w:p>
        </w:tc>
      </w:tr>
      <w:tr>
        <w:trPr>
          <w:cantSplit/>
        </w:trPr>
        <w:tc>
          <w:tcPr>
            <w:tcW w:type="dxa" w:w="3286"/>
            <w:vAlign w:val="top"/>
          </w:tcPr>
          <w:p>
            <w:r>
              <w:rPr>
                <w:sz w:val="17"/>
              </w:rPr>
              <w:t>RN-PEX-02</w:t>
            </w:r>
          </w:p>
        </w:tc>
        <w:tc>
          <w:tcPr>
            <w:tcW w:type="dxa" w:w="3286"/>
            <w:vAlign w:val="top"/>
          </w:tcPr>
          <w:p>
            <w:r>
              <w:rPr>
                <w:sz w:val="17"/>
              </w:rPr>
              <w:t>Auditoria da exceção</w:t>
            </w:r>
          </w:p>
        </w:tc>
        <w:tc>
          <w:tcPr>
            <w:tcW w:type="dxa" w:w="3286"/>
            <w:vAlign w:val="top"/>
          </w:tcPr>
          <w:p>
            <w:r>
              <w:rPr>
                <w:sz w:val="17"/>
              </w:rPr>
              <w:t>Concessão e uso devem ser auditados.</w:t>
            </w:r>
          </w:p>
        </w:tc>
      </w:tr>
      <w:tr>
        <w:trPr>
          <w:cantSplit/>
        </w:trPr>
        <w:tc>
          <w:tcPr>
            <w:tcW w:type="dxa" w:w="3286"/>
            <w:vAlign w:val="top"/>
          </w:tcPr>
          <w:p>
            <w:r>
              <w:rPr>
                <w:sz w:val="17"/>
              </w:rPr>
              <w:t>RN-FBK-01</w:t>
            </w:r>
          </w:p>
        </w:tc>
        <w:tc>
          <w:tcPr>
            <w:tcW w:type="dxa" w:w="3286"/>
            <w:vAlign w:val="top"/>
          </w:tcPr>
          <w:p>
            <w:r>
              <w:rPr>
                <w:sz w:val="17"/>
              </w:rPr>
              <w:t>Integridade do feedback</w:t>
            </w:r>
          </w:p>
        </w:tc>
        <w:tc>
          <w:tcPr>
            <w:tcW w:type="dxa" w:w="3286"/>
            <w:vAlign w:val="top"/>
          </w:tcPr>
          <w:p>
            <w:r>
              <w:rPr>
                <w:sz w:val="17"/>
              </w:rPr>
              <w:t>Chefe não altera feedback do Superintendente.</w:t>
            </w:r>
          </w:p>
        </w:tc>
      </w:tr>
      <w:tr>
        <w:trPr>
          <w:cantSplit/>
        </w:trPr>
        <w:tc>
          <w:tcPr>
            <w:tcW w:type="dxa" w:w="3286"/>
            <w:vAlign w:val="top"/>
          </w:tcPr>
          <w:p>
            <w:r>
              <w:rPr>
                <w:sz w:val="17"/>
              </w:rPr>
              <w:t>RN-VIS-01</w:t>
            </w:r>
          </w:p>
        </w:tc>
        <w:tc>
          <w:tcPr>
            <w:tcW w:type="dxa" w:w="3286"/>
            <w:vAlign w:val="top"/>
          </w:tcPr>
          <w:p>
            <w:r>
              <w:rPr>
                <w:sz w:val="17"/>
              </w:rPr>
              <w:t>Hierarquia de filtros</w:t>
            </w:r>
          </w:p>
        </w:tc>
        <w:tc>
          <w:tcPr>
            <w:tcW w:type="dxa" w:w="3286"/>
            <w:vAlign w:val="top"/>
          </w:tcPr>
          <w:p>
            <w:r>
              <w:rPr>
                <w:sz w:val="17"/>
              </w:rPr>
              <w:t>Navegação respeita filtros ativos e escopo.</w:t>
            </w:r>
          </w:p>
        </w:tc>
      </w:tr>
      <w:tr>
        <w:trPr>
          <w:cantSplit/>
        </w:trPr>
        <w:tc>
          <w:tcPr>
            <w:tcW w:type="dxa" w:w="3286"/>
            <w:vAlign w:val="top"/>
          </w:tcPr>
          <w:p>
            <w:r>
              <w:rPr>
                <w:sz w:val="17"/>
              </w:rPr>
              <w:t>RN-AUD-01</w:t>
            </w:r>
          </w:p>
        </w:tc>
        <w:tc>
          <w:tcPr>
            <w:tcW w:type="dxa" w:w="3286"/>
            <w:vAlign w:val="top"/>
          </w:tcPr>
          <w:p>
            <w:r>
              <w:rPr>
                <w:sz w:val="17"/>
              </w:rPr>
              <w:t>Não destruição silenciosa</w:t>
            </w:r>
          </w:p>
        </w:tc>
        <w:tc>
          <w:tcPr>
            <w:tcW w:type="dxa" w:w="3286"/>
            <w:vAlign w:val="top"/>
          </w:tcPr>
          <w:p>
            <w:r>
              <w:rPr>
                <w:sz w:val="17"/>
              </w:rPr>
              <w:t>Alterações históricas exigem trilha de auditoria.</w:t>
            </w:r>
          </w:p>
        </w:tc>
      </w:tr>
      <w:tr>
        <w:trPr>
          <w:cantSplit/>
        </w:trPr>
        <w:tc>
          <w:tcPr>
            <w:tcW w:type="dxa" w:w="3286"/>
            <w:vAlign w:val="top"/>
          </w:tcPr>
          <w:p>
            <w:r>
              <w:rPr>
                <w:sz w:val="17"/>
              </w:rPr>
              <w:t>RN-NFR-01</w:t>
            </w:r>
          </w:p>
        </w:tc>
        <w:tc>
          <w:tcPr>
            <w:tcW w:type="dxa" w:w="3286"/>
            <w:vAlign w:val="top"/>
          </w:tcPr>
          <w:p>
            <w:r>
              <w:rPr>
                <w:sz w:val="17"/>
              </w:rPr>
              <w:t>Menor privilégio</w:t>
            </w:r>
          </w:p>
        </w:tc>
        <w:tc>
          <w:tcPr>
            <w:tcW w:type="dxa" w:w="3286"/>
            <w:vAlign w:val="top"/>
          </w:tcPr>
          <w:p>
            <w:r>
              <w:rPr>
                <w:sz w:val="17"/>
              </w:rPr>
              <w:t>Acesso limitado ao necessário.</w:t>
            </w:r>
          </w:p>
        </w:tc>
      </w:tr>
      <w:tr>
        <w:trPr>
          <w:cantSplit/>
        </w:trPr>
        <w:tc>
          <w:tcPr>
            <w:tcW w:type="dxa" w:w="3286"/>
            <w:vAlign w:val="top"/>
          </w:tcPr>
          <w:p>
            <w:r>
              <w:rPr>
                <w:sz w:val="17"/>
              </w:rPr>
              <w:t>RN-NFR-02</w:t>
            </w:r>
          </w:p>
        </w:tc>
        <w:tc>
          <w:tcPr>
            <w:tcW w:type="dxa" w:w="3286"/>
            <w:vAlign w:val="top"/>
          </w:tcPr>
          <w:p>
            <w:r>
              <w:rPr>
                <w:sz w:val="17"/>
              </w:rPr>
              <w:t>Backend</w:t>
            </w:r>
          </w:p>
        </w:tc>
        <w:tc>
          <w:tcPr>
            <w:tcW w:type="dxa" w:w="3286"/>
            <w:vAlign w:val="top"/>
          </w:tcPr>
          <w:p>
            <w:r>
              <w:rPr>
                <w:sz w:val="17"/>
              </w:rPr>
              <w:t>Regras críticas sempre validadas no servidor.</w:t>
            </w:r>
          </w:p>
        </w:tc>
      </w:tr>
    </w:tbl>
    <w:p>
      <w:pPr>
        <w:pStyle w:val="Heading1"/>
      </w:pPr>
      <w:r>
        <w:t>24. Encerramento</w:t>
      </w:r>
    </w:p>
    <w:p>
      <w:r>
        <w:t>Esta Especificação Funcional v1.0 constitui a referência consolidada para o desenvolvimento inicial do Portal de Relatórios de Gestão HC-UFPE. O documento prioriza integridade histórica, clareza de responsabilidade entre perfis, aderência ao ciclo bimestral e uma experiência de preenchimento orientada. O desenvolvimento deverá preservar as regras aqui definidas e tratar qualquer mudança funcional como decisão explícita de projeto.</w:t>
      </w:r>
    </w:p>
    <w:p>
      <w:r>
        <w:t>Recomenda-se que, antes de cada fase de implementação no Antigravity, os requisitos e critérios de aceite correspondentes sejam recortados em um prompt de desenvolvimento específico, seguido de teste e homologação daquela fase antes de avançar para a próxima.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134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Documento de referência para planejamento e desenvolvimento</w:t>
    </w:r>
  </w:p>
  <w:p>
    <w:pPr>
      <w:jc w:val="right"/>
    </w:pPr>
    <w:r>
      <w:t xml:space="preserve">Página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jc w:val="right"/>
    </w:pPr>
    <w:r>
      <w:t>RELATÓRIO DE GESTÃO HC-UFPE | ESPECIFICAÇÃO FUNCIONAL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ptos" w:hAnsi="Aptos"/>
      <w:color w:val="0F172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12641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EA5E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1264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80"/>
      <w:contextualSpacing/>
    </w:pPr>
    <w:rPr>
      <w:rFonts w:asciiTheme="majorHAnsi" w:eastAsiaTheme="majorEastAsia" w:hAnsiTheme="majorHAnsi" w:cstheme="majorBidi" w:ascii="Aptos Display" w:hAnsi="Aptos Display"/>
      <w:b/>
      <w:color w:val="112641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ecision">
    <w:name w:val="Decision"/>
    <w:pPr>
      <w:spacing w:before="80" w:after="120"/>
      <w:ind w:left="198" w:right="142"/>
      <w:shd w:fill="E0F2FE"/>
    </w:pPr>
    <w:rPr>
      <w:rFonts w:ascii="Aptos" w:hAnsi="Aptos"/>
      <w:color w:val="112641"/>
      <w:sz w:val="19"/>
    </w:rPr>
  </w:style>
  <w:style w:type="paragraph" w:customStyle="1" w:styleId="Rule">
    <w:name w:val="Rule"/>
    <w:pPr>
      <w:spacing w:before="80" w:after="120"/>
      <w:ind w:left="198" w:right="142"/>
      <w:shd w:fill="ECFDF5"/>
    </w:pPr>
    <w:rPr>
      <w:rFonts w:ascii="Aptos" w:hAnsi="Aptos"/>
      <w:color w:val="112641"/>
      <w:sz w:val="19"/>
    </w:rPr>
  </w:style>
  <w:style w:type="paragraph" w:customStyle="1" w:styleId="Pending">
    <w:name w:val="Pending"/>
    <w:pPr>
      <w:spacing w:before="80" w:after="120"/>
      <w:ind w:left="198" w:right="142"/>
      <w:shd w:fill="FFF7ED"/>
    </w:pPr>
    <w:rPr>
      <w:rFonts w:ascii="Aptos" w:hAnsi="Aptos"/>
      <w:color w:val="0F172A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