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D634BB">
      <w:pPr>
        <w:spacing w:line="560" w:lineRule="exact"/>
        <w:rPr>
          <w:rFonts w:ascii="Times New Roman" w:hAnsi="Times New Roman" w:eastAsia="SimHei" w:cs="Times New Roman"/>
          <w:b/>
          <w:bCs/>
          <w:spacing w:val="77"/>
          <w:kern w:val="0"/>
          <w:sz w:val="28"/>
          <w:szCs w:val="28"/>
        </w:rPr>
      </w:pPr>
      <w:r>
        <w:rPr>
          <w:rFonts w:ascii="Times New Roman" w:hAnsi="Times New Roman" w:eastAsia="SimHei" w:cs="Times New Roman"/>
          <w:b/>
          <w:bCs/>
          <w:kern w:val="0"/>
          <w:sz w:val="28"/>
          <w:szCs w:val="28"/>
        </w:rPr>
        <w:t>海         南</w:t>
      </w:r>
    </w:p>
    <w:p w14:paraId="65B1D993">
      <w:pPr>
        <w:spacing w:line="560" w:lineRule="exact"/>
        <w:rPr>
          <w:rFonts w:ascii="SimHei" w:hAnsi="SimHei" w:eastAsia="SimHei" w:cs="FangSong"/>
          <w:b/>
          <w:bCs/>
          <w:spacing w:val="15"/>
          <w:kern w:val="0"/>
          <w:sz w:val="28"/>
          <w:szCs w:val="28"/>
        </w:rPr>
      </w:pPr>
      <w:r>
        <w:rPr>
          <w:rFonts w:hint="eastAsia" w:ascii="SimHei" w:hAnsi="SimHei" w:eastAsia="SimHei" w:cs="FangSong"/>
          <w:b/>
          <w:bCs/>
          <w:spacing w:val="104"/>
          <w:kern w:val="0"/>
          <w:sz w:val="28"/>
          <w:szCs w:val="28"/>
          <w:fitText w:val="2239" w:id="-304178248"/>
        </w:rPr>
        <w:t>党政联席</w:t>
      </w:r>
      <w:r>
        <w:rPr>
          <w:rFonts w:hint="eastAsia" w:ascii="SimHei" w:hAnsi="SimHei" w:eastAsia="SimHei" w:cs="FangSong"/>
          <w:b/>
          <w:bCs/>
          <w:spacing w:val="3"/>
          <w:kern w:val="0"/>
          <w:sz w:val="28"/>
          <w:szCs w:val="28"/>
          <w:fitText w:val="2239" w:id="-304178248"/>
        </w:rPr>
        <w:t>会</w:t>
      </w:r>
    </w:p>
    <w:p w14:paraId="72F4CEF7">
      <w:pPr>
        <w:spacing w:line="560" w:lineRule="exact"/>
        <w:rPr>
          <w:rFonts w:ascii="SimHei" w:hAnsi="SimHei" w:eastAsia="SimHei" w:cs="FangSong"/>
          <w:b/>
          <w:bCs/>
          <w:sz w:val="28"/>
          <w:szCs w:val="28"/>
        </w:rPr>
      </w:pPr>
      <w:r>
        <w:rPr>
          <w:rFonts w:hint="eastAsia" w:ascii="SimHei" w:hAnsi="SimHei" w:eastAsia="SimHei" w:cs="FangSong"/>
          <w:b/>
          <w:bCs/>
          <w:spacing w:val="10"/>
          <w:kern w:val="0"/>
          <w:sz w:val="28"/>
          <w:szCs w:val="28"/>
          <w:fitText w:val="2153" w:id="1895297295"/>
        </w:rPr>
        <w:t>汇  报</w:t>
      </w:r>
      <w:r>
        <w:rPr>
          <w:rFonts w:ascii="SimHei" w:hAnsi="SimHei" w:eastAsia="SimHei" w:cs="FangSong"/>
          <w:b/>
          <w:bCs/>
          <w:spacing w:val="10"/>
          <w:kern w:val="0"/>
          <w:sz w:val="28"/>
          <w:szCs w:val="28"/>
          <w:fitText w:val="2153" w:id="1895297295"/>
        </w:rPr>
        <w:t xml:space="preserve">  </w:t>
      </w:r>
      <w:r>
        <w:rPr>
          <w:rFonts w:hint="eastAsia" w:ascii="SimHei" w:hAnsi="SimHei" w:eastAsia="SimHei" w:cs="FangSong"/>
          <w:b/>
          <w:bCs/>
          <w:spacing w:val="10"/>
          <w:kern w:val="0"/>
          <w:sz w:val="28"/>
          <w:szCs w:val="28"/>
          <w:fitText w:val="2153" w:id="1895297295"/>
        </w:rPr>
        <w:t xml:space="preserve">材  </w:t>
      </w:r>
      <w:r>
        <w:rPr>
          <w:rFonts w:hint="eastAsia" w:ascii="SimHei" w:hAnsi="SimHei" w:eastAsia="SimHei" w:cs="FangSong"/>
          <w:b/>
          <w:bCs/>
          <w:spacing w:val="6"/>
          <w:kern w:val="0"/>
          <w:sz w:val="28"/>
          <w:szCs w:val="28"/>
          <w:fitText w:val="2153" w:id="1895297295"/>
        </w:rPr>
        <w:t>料</w:t>
      </w:r>
    </w:p>
    <w:p w14:paraId="34B4CF85">
      <w:pPr>
        <w:spacing w:line="560" w:lineRule="exact"/>
        <w:rPr>
          <w:rFonts w:ascii="KaiTi" w:hAnsi="KaiTi" w:eastAsia="KaiTi"/>
          <w:sz w:val="40"/>
          <w:szCs w:val="44"/>
        </w:rPr>
      </w:pPr>
    </w:p>
    <w:p w14:paraId="1789E97A">
      <w:pPr>
        <w:spacing w:line="560" w:lineRule="exact"/>
        <w:jc w:val="center"/>
        <w:rPr>
          <w:rFonts w:ascii="方正小标宋_GBK" w:hAnsi="方正小标宋_GBK" w:eastAsia="方正小标宋_GBK" w:cs="方正小标宋_GBK"/>
          <w:b/>
          <w:sz w:val="44"/>
          <w:szCs w:val="44"/>
        </w:rPr>
      </w:pPr>
      <w:r>
        <w:rPr>
          <w:rFonts w:hint="eastAsia" w:ascii="方正小标宋_GBK" w:hAnsi="方正小标宋_GBK" w:eastAsia="方正小标宋_GBK" w:cs="方正小标宋_GBK"/>
          <w:b/>
          <w:sz w:val="44"/>
          <w:szCs w:val="44"/>
        </w:rPr>
        <w:t>关于审议</w:t>
      </w:r>
      <w:r>
        <w:rPr>
          <w:rFonts w:hint="eastAsia" w:ascii="方正大标宋简体" w:hAnsi="方正大标宋简体" w:eastAsia="方正大标宋简体" w:cs="方正大标宋简体"/>
          <w:b/>
          <w:sz w:val="44"/>
          <w:szCs w:val="44"/>
        </w:rPr>
        <w:t>北京邮电大学玛丽女王海南学院2</w:t>
      </w:r>
      <w:r>
        <w:rPr>
          <w:rFonts w:ascii="方正大标宋简体" w:hAnsi="方正大标宋简体" w:eastAsia="方正大标宋简体" w:cs="方正大标宋简体"/>
          <w:b/>
          <w:sz w:val="44"/>
          <w:szCs w:val="44"/>
        </w:rPr>
        <w:t>025</w:t>
      </w:r>
      <w:r>
        <w:rPr>
          <w:rFonts w:hint="eastAsia" w:ascii="方正大标宋简体" w:hAnsi="方正大标宋简体" w:eastAsia="方正大标宋简体" w:cs="方正大标宋简体"/>
          <w:b/>
          <w:sz w:val="44"/>
          <w:szCs w:val="44"/>
        </w:rPr>
        <w:t>年秋季学期数字媒体技术专业课程购置设备的申请</w:t>
      </w:r>
    </w:p>
    <w:p w14:paraId="20CE9DBA">
      <w:pPr>
        <w:spacing w:line="560" w:lineRule="exact"/>
        <w:jc w:val="center"/>
        <w:rPr>
          <w:rFonts w:ascii="楷体_GB2312" w:eastAsia="楷体_GB2312"/>
          <w:sz w:val="32"/>
          <w:szCs w:val="32"/>
        </w:rPr>
      </w:pPr>
      <w:r>
        <w:rPr>
          <w:rFonts w:hint="eastAsia" w:ascii="仿宋_GB2312" w:eastAsia="仿宋_GB2312"/>
          <w:sz w:val="32"/>
          <w:szCs w:val="32"/>
        </w:rPr>
        <w:t>（</w:t>
      </w:r>
      <w:r>
        <w:rPr>
          <w:rFonts w:ascii="Times New Roman" w:hAnsi="Times New Roman" w:eastAsia="仿宋_GB2312" w:cs="Times New Roman"/>
          <w:sz w:val="32"/>
          <w:szCs w:val="32"/>
        </w:rPr>
        <w:t>202</w:t>
      </w:r>
      <w:r>
        <w:rPr>
          <w:rFonts w:hint="eastAsia" w:ascii="Times New Roman" w:hAnsi="Times New Roman" w:eastAsia="仿宋_GB2312" w:cs="Times New Roman"/>
          <w:sz w:val="32"/>
          <w:szCs w:val="32"/>
        </w:rPr>
        <w:t>5</w:t>
      </w:r>
      <w:r>
        <w:rPr>
          <w:rFonts w:hint="eastAsia" w:ascii="楷体_GB2312" w:eastAsia="楷体_GB2312"/>
          <w:sz w:val="32"/>
          <w:szCs w:val="32"/>
        </w:rPr>
        <w:t>年9月19日</w:t>
      </w:r>
      <w:r>
        <w:rPr>
          <w:rFonts w:hint="eastAsia" w:ascii="仿宋_GB2312" w:eastAsia="仿宋_GB2312"/>
          <w:sz w:val="32"/>
          <w:szCs w:val="32"/>
        </w:rPr>
        <w:t>）</w:t>
      </w:r>
    </w:p>
    <w:p w14:paraId="3185A916">
      <w:pPr>
        <w:spacing w:line="560" w:lineRule="exact"/>
        <w:ind w:firstLine="640" w:firstLineChars="200"/>
        <w:rPr>
          <w:rFonts w:ascii="仿宋_GB2312" w:hAnsi="华文仿宋" w:eastAsia="仿宋_GB2312" w:cs="Calibri"/>
          <w:sz w:val="32"/>
          <w:szCs w:val="32"/>
          <w:lang w:eastAsia="zh-Hans"/>
        </w:rPr>
      </w:pPr>
      <w:r>
        <w:rPr>
          <w:rFonts w:hint="eastAsia" w:ascii="仿宋_GB2312" w:hAnsi="华文仿宋" w:eastAsia="仿宋_GB2312" w:cs="Calibri"/>
          <w:sz w:val="32"/>
          <w:szCs w:val="32"/>
          <w:lang w:eastAsia="zh-Hans"/>
        </w:rPr>
        <w:t>2025年秋季学期数字媒体技术专业《数字影像基础》</w:t>
      </w:r>
      <w:r>
        <w:rPr>
          <w:rFonts w:hint="eastAsia" w:ascii="仿宋_GB2312" w:hAnsi="华文仿宋" w:eastAsia="仿宋_GB2312" w:cs="Calibri"/>
          <w:sz w:val="32"/>
          <w:szCs w:val="32"/>
        </w:rPr>
        <w:t>、《镜头语言设计》和《录音与制作技术》三门</w:t>
      </w:r>
      <w:r>
        <w:rPr>
          <w:rFonts w:hint="eastAsia" w:ascii="仿宋_GB2312" w:hAnsi="华文仿宋" w:eastAsia="仿宋_GB2312" w:cs="Calibri"/>
          <w:sz w:val="32"/>
          <w:szCs w:val="32"/>
          <w:lang w:eastAsia="zh-Hans"/>
        </w:rPr>
        <w:t>课程任课教师根据课程实际教学需求提出申请，拟</w:t>
      </w:r>
      <w:bookmarkStart w:id="0" w:name="OLE_LINK3"/>
      <w:r>
        <w:rPr>
          <w:rFonts w:hint="eastAsia" w:ascii="仿宋_GB2312" w:hAnsi="华文仿宋" w:eastAsia="仿宋_GB2312" w:cs="Calibri"/>
          <w:sz w:val="32"/>
          <w:szCs w:val="32"/>
          <w:lang w:eastAsia="zh-Hans"/>
        </w:rPr>
        <w:t>购置</w:t>
      </w:r>
      <w:r>
        <w:rPr>
          <w:rFonts w:hint="eastAsia" w:ascii="仿宋_GB2312" w:hAnsi="华文仿宋" w:eastAsia="仿宋_GB2312" w:cs="Calibri"/>
          <w:sz w:val="32"/>
          <w:szCs w:val="32"/>
        </w:rPr>
        <w:t>一批专业摄影设备以及</w:t>
      </w:r>
      <w:r>
        <w:rPr>
          <w:rFonts w:hint="eastAsia" w:ascii="仿宋_GB2312" w:hAnsi="华文仿宋" w:eastAsia="仿宋_GB2312" w:cs="Calibri"/>
          <w:sz w:val="32"/>
          <w:szCs w:val="32"/>
          <w:lang w:eastAsia="zh-Hans"/>
        </w:rPr>
        <w:t>基础数字音频硬件工具用于满足基础的教学需求。购置该类设备主要基于以下考虑：学生需亲身操作物理设备以掌握其运作原理</w:t>
      </w:r>
      <w:r>
        <w:rPr>
          <w:rFonts w:hint="eastAsia" w:ascii="仿宋_GB2312" w:hAnsi="华文仿宋" w:eastAsia="仿宋_GB2312" w:cs="Calibri"/>
          <w:sz w:val="32"/>
          <w:szCs w:val="32"/>
        </w:rPr>
        <w:t>，沙河校区现有</w:t>
      </w:r>
      <w:r>
        <w:rPr>
          <w:rFonts w:hint="eastAsia" w:ascii="仿宋_GB2312" w:hAnsi="华文仿宋" w:eastAsia="仿宋_GB2312" w:cs="Calibri"/>
          <w:sz w:val="32"/>
          <w:szCs w:val="32"/>
          <w:lang w:eastAsia="zh-Hans"/>
        </w:rPr>
        <w:t>的专业设备资源本身不足，且无法远程调用或快递至海南供教学使用</w:t>
      </w:r>
      <w:r>
        <w:rPr>
          <w:rFonts w:hint="eastAsia" w:ascii="仿宋_GB2312" w:hAnsi="华文仿宋" w:eastAsia="仿宋_GB2312" w:cs="Calibri"/>
          <w:sz w:val="32"/>
          <w:szCs w:val="32"/>
        </w:rPr>
        <w:t>；</w:t>
      </w:r>
      <w:r>
        <w:rPr>
          <w:rFonts w:hint="eastAsia" w:ascii="仿宋_GB2312" w:hAnsi="华文仿宋" w:eastAsia="仿宋_GB2312" w:cs="Calibri"/>
          <w:sz w:val="32"/>
          <w:szCs w:val="32"/>
          <w:lang w:eastAsia="zh-Hans"/>
        </w:rPr>
        <w:t>影音类设备普遍寿命较长</w:t>
      </w:r>
      <w:r>
        <w:rPr>
          <w:rFonts w:hint="eastAsia" w:ascii="仿宋_GB2312" w:hAnsi="华文仿宋" w:eastAsia="仿宋_GB2312" w:cs="Calibri"/>
          <w:sz w:val="32"/>
          <w:szCs w:val="32"/>
        </w:rPr>
        <w:t>，本次</w:t>
      </w:r>
      <w:r>
        <w:rPr>
          <w:rFonts w:hint="eastAsia" w:ascii="仿宋_GB2312" w:hAnsi="华文仿宋" w:eastAsia="仿宋_GB2312" w:cs="Calibri"/>
          <w:sz w:val="32"/>
          <w:szCs w:val="32"/>
          <w:lang w:eastAsia="zh-Hans"/>
        </w:rPr>
        <w:t>所采购的设备可复用5年以上</w:t>
      </w:r>
      <w:r>
        <w:rPr>
          <w:rFonts w:hint="eastAsia" w:ascii="仿宋_GB2312" w:hAnsi="华文仿宋" w:eastAsia="仿宋_GB2312" w:cs="Calibri"/>
          <w:sz w:val="32"/>
          <w:szCs w:val="32"/>
        </w:rPr>
        <w:t>。</w:t>
      </w:r>
      <w:bookmarkEnd w:id="0"/>
    </w:p>
    <w:p w14:paraId="78C0E745">
      <w:pPr>
        <w:spacing w:line="560" w:lineRule="exact"/>
        <w:ind w:firstLine="640" w:firstLineChars="200"/>
        <w:rPr>
          <w:rFonts w:ascii="仿宋_GB2312" w:hAnsi="华文仿宋" w:eastAsia="仿宋_GB2312" w:cs="Calibri"/>
          <w:sz w:val="32"/>
          <w:szCs w:val="32"/>
          <w:lang w:eastAsia="zh-Hans"/>
        </w:rPr>
      </w:pPr>
      <w:r>
        <w:rPr>
          <w:rFonts w:hint="eastAsia" w:ascii="仿宋_GB2312" w:hAnsi="华文仿宋" w:eastAsia="仿宋_GB2312" w:cs="Calibri"/>
          <w:sz w:val="32"/>
          <w:szCs w:val="32"/>
        </w:rPr>
        <w:t>音频设备</w:t>
      </w:r>
      <w:r>
        <w:rPr>
          <w:rFonts w:hint="eastAsia" w:ascii="仿宋_GB2312" w:hAnsi="华文仿宋" w:eastAsia="仿宋_GB2312" w:cs="Calibri"/>
          <w:sz w:val="32"/>
          <w:szCs w:val="32"/>
          <w:lang w:eastAsia="zh-Hans"/>
        </w:rPr>
        <w:t>包括MIDI键盘、监听耳机与便携式录音机。目前23级数字媒体技术专业学生共60人，以基础教学需求考量，2人共用一套MIDI键盘和监听耳机，5人共用一台录音设备，加上教师教学使用，共需MIDI键盘套装31套、监听耳机31支、便携式录音机套装13台。该系列设备非消耗品，在数字录音棚和数字音乐制作实验室建成之前可以长久支持中英双方数字音频类课程的教学需求。本批</w:t>
      </w:r>
      <w:r>
        <w:rPr>
          <w:rFonts w:hint="eastAsia" w:ascii="仿宋_GB2312" w:hAnsi="华文仿宋" w:eastAsia="仿宋_GB2312" w:cs="Calibri"/>
          <w:sz w:val="32"/>
          <w:szCs w:val="32"/>
        </w:rPr>
        <w:t>音频</w:t>
      </w:r>
      <w:r>
        <w:rPr>
          <w:rFonts w:hint="eastAsia" w:ascii="仿宋_GB2312" w:hAnsi="华文仿宋" w:eastAsia="仿宋_GB2312" w:cs="Calibri"/>
          <w:sz w:val="32"/>
          <w:szCs w:val="32"/>
          <w:lang w:eastAsia="zh-Hans"/>
        </w:rPr>
        <w:t>设备购置合计预算</w:t>
      </w:r>
      <w:r>
        <w:rPr>
          <w:rFonts w:hint="eastAsia" w:ascii="仿宋_GB2312" w:hAnsi="华文仿宋" w:eastAsia="仿宋_GB2312" w:cs="Calibri"/>
          <w:sz w:val="32"/>
          <w:szCs w:val="32"/>
        </w:rPr>
        <w:t>7</w:t>
      </w:r>
      <w:r>
        <w:rPr>
          <w:rFonts w:ascii="仿宋_GB2312" w:hAnsi="华文仿宋" w:eastAsia="仿宋_GB2312" w:cs="Calibri"/>
          <w:sz w:val="32"/>
          <w:szCs w:val="32"/>
        </w:rPr>
        <w:t>.</w:t>
      </w:r>
      <w:r>
        <w:rPr>
          <w:rFonts w:hint="eastAsia" w:ascii="仿宋_GB2312" w:hAnsi="华文仿宋" w:eastAsia="仿宋_GB2312" w:cs="Calibri"/>
          <w:sz w:val="32"/>
          <w:szCs w:val="32"/>
        </w:rPr>
        <w:t>2617万</w:t>
      </w:r>
      <w:r>
        <w:rPr>
          <w:rFonts w:hint="eastAsia" w:ascii="仿宋_GB2312" w:hAnsi="华文仿宋" w:eastAsia="仿宋_GB2312" w:cs="Calibri"/>
          <w:sz w:val="32"/>
          <w:szCs w:val="32"/>
          <w:lang w:eastAsia="zh-Hans"/>
        </w:rPr>
        <w:t>元。</w:t>
      </w:r>
    </w:p>
    <w:p w14:paraId="544AE093">
      <w:pPr>
        <w:spacing w:line="560" w:lineRule="exact"/>
        <w:ind w:firstLine="640" w:firstLineChars="200"/>
        <w:rPr>
          <w:rFonts w:ascii="仿宋_GB2312" w:hAnsi="华文仿宋" w:eastAsia="仿宋_GB2312" w:cs="Calibri"/>
          <w:sz w:val="32"/>
          <w:szCs w:val="32"/>
          <w:lang w:eastAsia="zh-Hans"/>
        </w:rPr>
      </w:pPr>
      <w:r>
        <w:rPr>
          <w:rFonts w:hint="eastAsia" w:ascii="仿宋_GB2312" w:hAnsi="华文仿宋" w:eastAsia="仿宋_GB2312" w:cs="Calibri"/>
          <w:sz w:val="32"/>
          <w:szCs w:val="32"/>
        </w:rPr>
        <w:t>摄影设备包括</w:t>
      </w:r>
      <w:r>
        <w:rPr>
          <w:rFonts w:hint="eastAsia" w:ascii="仿宋_GB2312" w:hAnsi="华文仿宋" w:eastAsia="仿宋_GB2312" w:cs="Calibri"/>
          <w:sz w:val="32"/>
          <w:szCs w:val="32"/>
          <w:lang w:eastAsia="zh-Hans"/>
        </w:rPr>
        <w:t>10台相机及配套镜头。该批设备以佳能EOS R100系列为主，具备2420万像素传感器、DIGIC X影像处理器，支持4K视频录制与高速连拍，操作简洁、机身轻巧，适合教学使用。不同焦段镜头（超广角、标准、中长焦至长焦）可满足课程对构图、曝光、景深控制及多样化拍摄练习的需求，有助于学生系统掌握</w:t>
      </w:r>
      <w:r>
        <w:rPr>
          <w:rFonts w:hint="eastAsia" w:ascii="仿宋_GB2312" w:hAnsi="华文仿宋" w:eastAsia="仿宋_GB2312" w:cs="Calibri"/>
          <w:sz w:val="32"/>
          <w:szCs w:val="32"/>
        </w:rPr>
        <w:t>数字影像</w:t>
      </w:r>
      <w:r>
        <w:rPr>
          <w:rFonts w:hint="eastAsia" w:ascii="仿宋_GB2312" w:hAnsi="华文仿宋" w:eastAsia="仿宋_GB2312" w:cs="Calibri"/>
          <w:sz w:val="32"/>
          <w:szCs w:val="32"/>
          <w:lang w:eastAsia="zh-Hans"/>
        </w:rPr>
        <w:t>理论与技能。本批</w:t>
      </w:r>
      <w:r>
        <w:rPr>
          <w:rFonts w:hint="eastAsia" w:ascii="仿宋_GB2312" w:hAnsi="华文仿宋" w:eastAsia="仿宋_GB2312" w:cs="Calibri"/>
          <w:sz w:val="32"/>
          <w:szCs w:val="32"/>
        </w:rPr>
        <w:t>摄影</w:t>
      </w:r>
      <w:r>
        <w:rPr>
          <w:rFonts w:hint="eastAsia" w:ascii="仿宋_GB2312" w:hAnsi="华文仿宋" w:eastAsia="仿宋_GB2312" w:cs="Calibri"/>
          <w:sz w:val="32"/>
          <w:szCs w:val="32"/>
          <w:lang w:eastAsia="zh-Hans"/>
        </w:rPr>
        <w:t>设备购置合计预算5</w:t>
      </w:r>
      <w:r>
        <w:rPr>
          <w:rFonts w:ascii="仿宋_GB2312" w:hAnsi="华文仿宋" w:eastAsia="仿宋_GB2312" w:cs="Calibri"/>
          <w:sz w:val="32"/>
          <w:szCs w:val="32"/>
          <w:lang w:eastAsia="zh-Hans"/>
        </w:rPr>
        <w:t>.</w:t>
      </w:r>
      <w:r>
        <w:rPr>
          <w:rFonts w:hint="eastAsia" w:ascii="仿宋_GB2312" w:hAnsi="华文仿宋" w:eastAsia="仿宋_GB2312" w:cs="Calibri"/>
          <w:sz w:val="32"/>
          <w:szCs w:val="32"/>
          <w:lang w:eastAsia="zh-Hans"/>
        </w:rPr>
        <w:t>9590</w:t>
      </w:r>
      <w:r>
        <w:rPr>
          <w:rFonts w:hint="eastAsia" w:ascii="仿宋_GB2312" w:hAnsi="华文仿宋" w:eastAsia="仿宋_GB2312" w:cs="Calibri"/>
          <w:sz w:val="32"/>
          <w:szCs w:val="32"/>
        </w:rPr>
        <w:t>万</w:t>
      </w:r>
      <w:r>
        <w:rPr>
          <w:rFonts w:hint="eastAsia" w:ascii="仿宋_GB2312" w:hAnsi="华文仿宋" w:eastAsia="仿宋_GB2312" w:cs="Calibri"/>
          <w:sz w:val="32"/>
          <w:szCs w:val="32"/>
          <w:lang w:eastAsia="zh-Hans"/>
        </w:rPr>
        <w:t>元。</w:t>
      </w:r>
    </w:p>
    <w:p w14:paraId="1B752B32">
      <w:pPr>
        <w:spacing w:line="560" w:lineRule="exact"/>
        <w:ind w:firstLine="643" w:firstLineChars="200"/>
        <w:rPr>
          <w:rFonts w:ascii="仿宋_GB2312" w:hAnsi="华文仿宋" w:eastAsia="仿宋_GB2312" w:cs="Calibri"/>
          <w:b/>
          <w:bCs/>
          <w:sz w:val="32"/>
          <w:szCs w:val="32"/>
          <w:lang w:eastAsia="zh-Hans"/>
        </w:rPr>
      </w:pPr>
      <w:r>
        <w:rPr>
          <w:rFonts w:hint="eastAsia" w:ascii="仿宋_GB2312" w:hAnsi="华文仿宋" w:eastAsia="仿宋_GB2312" w:cs="Calibri"/>
          <w:b/>
          <w:bCs/>
          <w:sz w:val="32"/>
          <w:szCs w:val="32"/>
          <w:lang w:eastAsia="zh-Hans"/>
        </w:rPr>
        <w:t>需请示事项：</w:t>
      </w:r>
    </w:p>
    <w:p w14:paraId="7906CAA4">
      <w:pPr>
        <w:spacing w:line="560" w:lineRule="exact"/>
        <w:ind w:firstLine="640" w:firstLineChars="200"/>
        <w:rPr>
          <w:rFonts w:ascii="仿宋_GB2312" w:hAnsi="华文仿宋" w:eastAsia="仿宋_GB2312" w:cs="Calibri"/>
          <w:sz w:val="32"/>
          <w:szCs w:val="32"/>
          <w:lang w:eastAsia="zh-Hans"/>
        </w:rPr>
      </w:pPr>
      <w:bookmarkStart w:id="1" w:name="OLE_LINK4"/>
      <w:r>
        <w:rPr>
          <w:rFonts w:hint="eastAsia" w:ascii="仿宋_GB2312" w:hAnsi="华文仿宋" w:eastAsia="仿宋_GB2312" w:cs="Calibri"/>
          <w:sz w:val="32"/>
          <w:szCs w:val="32"/>
          <w:lang w:eastAsia="zh-Hans"/>
        </w:rPr>
        <w:t>2025年秋季学期数字媒体技术专业三门专业课程购置</w:t>
      </w:r>
      <w:r>
        <w:rPr>
          <w:rFonts w:hint="eastAsia" w:ascii="仿宋_GB2312" w:hAnsi="华文仿宋" w:eastAsia="仿宋_GB2312" w:cs="Calibri"/>
          <w:sz w:val="32"/>
          <w:szCs w:val="32"/>
        </w:rPr>
        <w:t>专业摄影设备和</w:t>
      </w:r>
      <w:r>
        <w:rPr>
          <w:rFonts w:hint="eastAsia" w:ascii="仿宋_GB2312" w:hAnsi="华文仿宋" w:eastAsia="仿宋_GB2312" w:cs="Calibri"/>
          <w:sz w:val="32"/>
          <w:szCs w:val="32"/>
          <w:lang w:eastAsia="zh-Hans"/>
        </w:rPr>
        <w:t>基础数字音频硬件工具</w:t>
      </w:r>
      <w:r>
        <w:rPr>
          <w:rFonts w:hint="eastAsia" w:ascii="仿宋_GB2312" w:hAnsi="华文仿宋" w:eastAsia="仿宋_GB2312" w:cs="Calibri"/>
          <w:sz w:val="32"/>
          <w:szCs w:val="32"/>
        </w:rPr>
        <w:t>预算的申请，预算共13.2207万元</w:t>
      </w:r>
      <w:r>
        <w:rPr>
          <w:rFonts w:hint="eastAsia" w:ascii="仿宋_GB2312" w:hAnsi="华文仿宋" w:eastAsia="仿宋_GB2312" w:cs="Calibri"/>
          <w:sz w:val="32"/>
          <w:szCs w:val="32"/>
          <w:lang w:eastAsia="zh-Hans"/>
        </w:rPr>
        <w:t>，购买经费使用学院本科教学运行与改革专项。</w:t>
      </w:r>
      <w:bookmarkEnd w:id="1"/>
    </w:p>
    <w:p w14:paraId="1498FF99">
      <w:pPr>
        <w:spacing w:line="560" w:lineRule="exact"/>
        <w:ind w:firstLine="640" w:firstLineChars="200"/>
        <w:rPr>
          <w:rFonts w:ascii="仿宋_GB2312" w:hAnsi="华文仿宋" w:eastAsia="仿宋_GB2312" w:cs="Calibri"/>
          <w:sz w:val="32"/>
          <w:szCs w:val="32"/>
          <w:lang w:eastAsia="zh-Hans"/>
        </w:rPr>
      </w:pPr>
      <w:r>
        <w:rPr>
          <w:rFonts w:hint="eastAsia" w:ascii="仿宋_GB2312" w:hAnsi="华文仿宋" w:eastAsia="仿宋_GB2312" w:cs="Calibri"/>
          <w:sz w:val="32"/>
          <w:szCs w:val="32"/>
          <w:lang w:eastAsia="zh-Hans"/>
        </w:rPr>
        <w:t>附件：</w:t>
      </w:r>
    </w:p>
    <w:p w14:paraId="4C925A89">
      <w:pPr>
        <w:spacing w:line="560" w:lineRule="exact"/>
        <w:ind w:firstLine="640" w:firstLineChars="200"/>
        <w:rPr>
          <w:rFonts w:ascii="仿宋_GB2312" w:hAnsi="华文仿宋" w:eastAsia="仿宋_GB2312" w:cs="Calibri"/>
          <w:sz w:val="32"/>
          <w:szCs w:val="32"/>
        </w:rPr>
      </w:pPr>
      <w:r>
        <w:rPr>
          <w:rFonts w:hint="eastAsia" w:ascii="仿宋_GB2312" w:hAnsi="华文仿宋" w:eastAsia="仿宋_GB2312" w:cs="Calibri"/>
          <w:sz w:val="32"/>
          <w:szCs w:val="32"/>
        </w:rPr>
        <w:t>1</w:t>
      </w:r>
      <w:r>
        <w:rPr>
          <w:rFonts w:ascii="仿宋_GB2312" w:hAnsi="华文仿宋" w:eastAsia="仿宋_GB2312" w:cs="Calibri"/>
          <w:sz w:val="32"/>
          <w:szCs w:val="32"/>
        </w:rPr>
        <w:t>.</w:t>
      </w:r>
      <w:r>
        <w:rPr>
          <w:rFonts w:hint="eastAsia" w:ascii="仿宋_GB2312" w:hAnsi="华文仿宋" w:eastAsia="仿宋_GB2312" w:cs="Calibri"/>
          <w:sz w:val="32"/>
          <w:szCs w:val="32"/>
        </w:rPr>
        <w:t>《</w:t>
      </w:r>
      <w:bookmarkStart w:id="2" w:name="OLE_LINK2"/>
      <w:bookmarkStart w:id="3" w:name="OLE_LINK1"/>
      <w:r>
        <w:rPr>
          <w:rFonts w:hint="eastAsia" w:ascii="仿宋_GB2312" w:hAnsi="华文仿宋" w:eastAsia="仿宋_GB2312" w:cs="Calibri"/>
          <w:sz w:val="32"/>
          <w:szCs w:val="32"/>
        </w:rPr>
        <w:t>北京邮电大学玛丽女王海南学院</w:t>
      </w:r>
      <w:r>
        <w:rPr>
          <w:rFonts w:ascii="仿宋_GB2312" w:hAnsi="华文仿宋" w:eastAsia="仿宋_GB2312" w:cs="Calibri"/>
          <w:sz w:val="32"/>
          <w:szCs w:val="32"/>
        </w:rPr>
        <w:t>2025年</w:t>
      </w:r>
      <w:r>
        <w:rPr>
          <w:rFonts w:hint="eastAsia" w:ascii="仿宋_GB2312" w:hAnsi="华文仿宋" w:eastAsia="仿宋_GB2312" w:cs="Calibri"/>
          <w:sz w:val="32"/>
          <w:szCs w:val="32"/>
        </w:rPr>
        <w:t>秋季学期数字媒体技术专业</w:t>
      </w:r>
      <w:r>
        <w:rPr>
          <w:rFonts w:ascii="仿宋_GB2312" w:hAnsi="华文仿宋" w:eastAsia="仿宋_GB2312" w:cs="Calibri"/>
          <w:sz w:val="32"/>
          <w:szCs w:val="32"/>
        </w:rPr>
        <w:t>&lt;</w:t>
      </w:r>
      <w:r>
        <w:rPr>
          <w:rFonts w:hint="eastAsia" w:ascii="仿宋_GB2312" w:hAnsi="华文仿宋" w:eastAsia="仿宋_GB2312" w:cs="Calibri"/>
          <w:sz w:val="32"/>
          <w:szCs w:val="32"/>
          <w:lang w:val="it-IT"/>
        </w:rPr>
        <w:t>录音与制作技术</w:t>
      </w:r>
      <w:r>
        <w:rPr>
          <w:rFonts w:ascii="仿宋_GB2312" w:hAnsi="华文仿宋" w:eastAsia="仿宋_GB2312" w:cs="Calibri"/>
          <w:sz w:val="32"/>
          <w:szCs w:val="32"/>
        </w:rPr>
        <w:t>&gt;</w:t>
      </w:r>
      <w:r>
        <w:rPr>
          <w:rFonts w:hint="eastAsia" w:ascii="仿宋_GB2312" w:hAnsi="华文仿宋" w:eastAsia="仿宋_GB2312" w:cs="Calibri"/>
          <w:sz w:val="32"/>
          <w:szCs w:val="32"/>
          <w:lang w:val="it-IT"/>
        </w:rPr>
        <w:t>课程</w:t>
      </w:r>
      <w:r>
        <w:rPr>
          <w:rFonts w:hint="eastAsia" w:ascii="仿宋_GB2312" w:hAnsi="华文仿宋" w:eastAsia="仿宋_GB2312" w:cs="Calibri"/>
          <w:sz w:val="32"/>
          <w:szCs w:val="32"/>
        </w:rPr>
        <w:t>购置设备</w:t>
      </w:r>
      <w:r>
        <w:rPr>
          <w:rFonts w:ascii="仿宋_GB2312" w:hAnsi="华文仿宋" w:eastAsia="仿宋_GB2312" w:cs="Calibri"/>
          <w:sz w:val="32"/>
          <w:szCs w:val="32"/>
        </w:rPr>
        <w:t>预算</w:t>
      </w:r>
      <w:r>
        <w:rPr>
          <w:rFonts w:hint="eastAsia" w:ascii="仿宋_GB2312" w:hAnsi="华文仿宋" w:eastAsia="仿宋_GB2312" w:cs="Calibri"/>
          <w:sz w:val="32"/>
          <w:szCs w:val="32"/>
        </w:rPr>
        <w:t>表</w:t>
      </w:r>
      <w:bookmarkEnd w:id="2"/>
      <w:bookmarkEnd w:id="3"/>
      <w:r>
        <w:rPr>
          <w:rFonts w:hint="eastAsia" w:ascii="仿宋_GB2312" w:hAnsi="华文仿宋" w:eastAsia="仿宋_GB2312" w:cs="Calibri"/>
          <w:sz w:val="32"/>
          <w:szCs w:val="32"/>
        </w:rPr>
        <w:t>》</w:t>
      </w:r>
    </w:p>
    <w:p w14:paraId="25A81E53">
      <w:pPr>
        <w:spacing w:line="560" w:lineRule="exact"/>
        <w:ind w:firstLine="640" w:firstLineChars="200"/>
        <w:rPr>
          <w:rFonts w:ascii="仿宋_GB2312" w:hAnsi="华文仿宋" w:eastAsia="仿宋_GB2312" w:cs="Calibri"/>
          <w:sz w:val="32"/>
          <w:szCs w:val="32"/>
        </w:rPr>
      </w:pPr>
      <w:r>
        <w:rPr>
          <w:rFonts w:hint="eastAsia" w:ascii="仿宋_GB2312" w:hAnsi="华文仿宋" w:eastAsia="仿宋_GB2312" w:cs="Calibri"/>
          <w:sz w:val="32"/>
          <w:szCs w:val="32"/>
        </w:rPr>
        <w:t>2</w:t>
      </w:r>
      <w:r>
        <w:rPr>
          <w:rFonts w:ascii="仿宋_GB2312" w:hAnsi="华文仿宋" w:eastAsia="仿宋_GB2312" w:cs="Calibri"/>
          <w:sz w:val="32"/>
          <w:szCs w:val="32"/>
        </w:rPr>
        <w:t>.</w:t>
      </w:r>
      <w:r>
        <w:rPr>
          <w:rFonts w:hint="eastAsia" w:ascii="仿宋_GB2312" w:hAnsi="华文仿宋" w:eastAsia="仿宋_GB2312" w:cs="Calibri"/>
          <w:sz w:val="32"/>
          <w:szCs w:val="32"/>
        </w:rPr>
        <w:t>《北京邮电大学玛丽女王海南学院</w:t>
      </w:r>
      <w:r>
        <w:rPr>
          <w:rFonts w:ascii="仿宋_GB2312" w:hAnsi="华文仿宋" w:eastAsia="仿宋_GB2312" w:cs="Calibri"/>
          <w:sz w:val="32"/>
          <w:szCs w:val="32"/>
        </w:rPr>
        <w:t>2025年</w:t>
      </w:r>
      <w:r>
        <w:rPr>
          <w:rFonts w:hint="eastAsia" w:ascii="仿宋_GB2312" w:hAnsi="华文仿宋" w:eastAsia="仿宋_GB2312" w:cs="Calibri"/>
          <w:sz w:val="32"/>
          <w:szCs w:val="32"/>
        </w:rPr>
        <w:t>秋季学期数字媒体技术专业&lt;数字影像基础&gt;、</w:t>
      </w:r>
      <w:r>
        <w:rPr>
          <w:rFonts w:hint="eastAsia" w:ascii="仿宋_GB2312" w:hAnsi="仿宋_GB2312" w:eastAsia="仿宋_GB2312" w:cs="FangSong"/>
          <w:sz w:val="32"/>
          <w:szCs w:val="32"/>
        </w:rPr>
        <w:t>&lt;镜头语言设计&gt;</w:t>
      </w:r>
      <w:r>
        <w:rPr>
          <w:rFonts w:hint="eastAsia" w:ascii="仿宋_GB2312" w:hAnsi="华文仿宋" w:eastAsia="仿宋_GB2312" w:cs="Calibri"/>
          <w:sz w:val="32"/>
          <w:szCs w:val="32"/>
        </w:rPr>
        <w:t>课程购置设备预算表》</w:t>
      </w:r>
    </w:p>
    <w:p w14:paraId="3DA026DA">
      <w:pPr>
        <w:spacing w:line="560" w:lineRule="exact"/>
        <w:ind w:firstLine="640" w:firstLineChars="200"/>
        <w:rPr>
          <w:rFonts w:ascii="仿宋_GB2312" w:hAnsi="华文仿宋" w:eastAsia="仿宋_GB2312" w:cs="Calibri"/>
          <w:sz w:val="32"/>
          <w:szCs w:val="32"/>
          <w:lang w:eastAsia="zh-Hans"/>
        </w:rPr>
      </w:pPr>
    </w:p>
    <w:p w14:paraId="43FF44B9">
      <w:pPr>
        <w:spacing w:line="560" w:lineRule="exact"/>
        <w:ind w:firstLine="640" w:firstLineChars="200"/>
        <w:rPr>
          <w:rFonts w:ascii="仿宋_GB2312" w:hAnsi="华文仿宋" w:eastAsia="仿宋_GB2312" w:cs="Calibri"/>
          <w:sz w:val="32"/>
          <w:szCs w:val="32"/>
          <w:lang w:eastAsia="zh-Hans"/>
        </w:rPr>
      </w:pPr>
    </w:p>
    <w:p w14:paraId="32FC4AA5">
      <w:pPr>
        <w:spacing w:line="560" w:lineRule="exact"/>
        <w:ind w:firstLine="640" w:firstLineChars="200"/>
        <w:rPr>
          <w:rFonts w:ascii="仿宋_GB2312" w:hAnsi="华文仿宋" w:eastAsia="仿宋_GB2312" w:cs="Calibri"/>
          <w:sz w:val="32"/>
          <w:szCs w:val="32"/>
          <w:lang w:eastAsia="zh-Hans"/>
        </w:rPr>
      </w:pPr>
    </w:p>
    <w:p w14:paraId="13C862D4">
      <w:pPr>
        <w:spacing w:line="560" w:lineRule="exact"/>
        <w:ind w:firstLine="640" w:firstLineChars="200"/>
        <w:rPr>
          <w:rFonts w:ascii="仿宋_GB2312" w:hAnsi="华文仿宋" w:eastAsia="仿宋_GB2312" w:cs="Calibri"/>
          <w:sz w:val="32"/>
          <w:szCs w:val="32"/>
          <w:lang w:eastAsia="zh-Hans"/>
        </w:rPr>
      </w:pPr>
    </w:p>
    <w:p w14:paraId="09840C0D">
      <w:pPr>
        <w:spacing w:line="560" w:lineRule="exact"/>
        <w:ind w:firstLine="640" w:firstLineChars="200"/>
        <w:rPr>
          <w:rFonts w:ascii="仿宋_GB2312" w:hAnsi="华文仿宋" w:eastAsia="仿宋_GB2312" w:cs="Calibri"/>
          <w:sz w:val="32"/>
          <w:szCs w:val="32"/>
          <w:lang w:eastAsia="zh-Hans"/>
        </w:rPr>
      </w:pPr>
    </w:p>
    <w:p w14:paraId="29CF0892">
      <w:pPr>
        <w:spacing w:line="560" w:lineRule="exact"/>
        <w:ind w:firstLine="640" w:firstLineChars="200"/>
        <w:rPr>
          <w:rFonts w:ascii="仿宋_GB2312" w:hAnsi="华文仿宋" w:eastAsia="仿宋_GB2312" w:cs="Calibri"/>
          <w:sz w:val="32"/>
          <w:szCs w:val="32"/>
          <w:lang w:eastAsia="zh-Hans"/>
        </w:rPr>
      </w:pPr>
    </w:p>
    <w:p w14:paraId="06888536">
      <w:pPr>
        <w:spacing w:line="560" w:lineRule="exact"/>
        <w:ind w:firstLine="640" w:firstLineChars="200"/>
        <w:rPr>
          <w:rFonts w:ascii="仿宋_GB2312" w:hAnsi="华文仿宋" w:eastAsia="仿宋_GB2312" w:cs="Calibri"/>
          <w:sz w:val="32"/>
          <w:szCs w:val="32"/>
          <w:lang w:eastAsia="zh-Hans"/>
        </w:rPr>
      </w:pPr>
    </w:p>
    <w:p w14:paraId="3E6B16A0">
      <w:pPr>
        <w:spacing w:line="560" w:lineRule="exact"/>
        <w:rPr>
          <w:rFonts w:ascii="仿宋_GB2312" w:hAnsi="仿宋_GB2312" w:eastAsia="仿宋_GB2312" w:cs="FangSong"/>
          <w:sz w:val="32"/>
          <w:szCs w:val="32"/>
        </w:rPr>
      </w:pPr>
    </w:p>
    <w:p w14:paraId="2D4FBFD5">
      <w:pPr>
        <w:spacing w:line="560" w:lineRule="exact"/>
        <w:rPr>
          <w:rFonts w:ascii="仿宋_GB2312" w:hAnsi="华文仿宋" w:eastAsia="仿宋_GB2312" w:cs="Calibri"/>
          <w:sz w:val="32"/>
          <w:szCs w:val="32"/>
        </w:rPr>
      </w:pPr>
      <w:r>
        <w:rPr>
          <w:rFonts w:hint="eastAsia" w:ascii="仿宋_GB2312" w:hAnsi="华文仿宋" w:eastAsia="仿宋_GB2312" w:cs="Calibri"/>
          <w:sz w:val="32"/>
          <w:szCs w:val="32"/>
        </w:rPr>
        <w:t>附件</w:t>
      </w:r>
      <w:r>
        <w:rPr>
          <w:rFonts w:ascii="仿宋_GB2312" w:hAnsi="华文仿宋" w:eastAsia="仿宋_GB2312" w:cs="Calibri"/>
          <w:sz w:val="32"/>
          <w:szCs w:val="32"/>
        </w:rPr>
        <w:t>1</w:t>
      </w:r>
    </w:p>
    <w:p w14:paraId="677F21B2">
      <w:pPr>
        <w:spacing w:line="560" w:lineRule="exact"/>
        <w:jc w:val="center"/>
        <w:rPr>
          <w:rFonts w:ascii="仿宋_GB2312" w:hAnsi="华文仿宋" w:eastAsia="仿宋_GB2312" w:cs="Calibri"/>
          <w:sz w:val="32"/>
          <w:szCs w:val="32"/>
        </w:rPr>
      </w:pPr>
      <w:r>
        <w:rPr>
          <w:rFonts w:hint="eastAsia" w:ascii="仿宋_GB2312" w:hAnsi="华文仿宋" w:eastAsia="仿宋_GB2312" w:cs="Calibri"/>
          <w:sz w:val="32"/>
          <w:szCs w:val="32"/>
        </w:rPr>
        <w:t>北京邮电大学玛丽女王海南学院</w:t>
      </w:r>
      <w:r>
        <w:rPr>
          <w:rFonts w:ascii="仿宋_GB2312" w:hAnsi="华文仿宋" w:eastAsia="仿宋_GB2312" w:cs="Calibri"/>
          <w:sz w:val="32"/>
          <w:szCs w:val="32"/>
        </w:rPr>
        <w:t>2025年</w:t>
      </w:r>
      <w:r>
        <w:rPr>
          <w:rFonts w:hint="eastAsia" w:ascii="仿宋_GB2312" w:hAnsi="华文仿宋" w:eastAsia="仿宋_GB2312" w:cs="Calibri"/>
          <w:sz w:val="32"/>
          <w:szCs w:val="32"/>
        </w:rPr>
        <w:t>秋季学期数字媒体技术专业</w:t>
      </w:r>
      <w:r>
        <w:rPr>
          <w:rFonts w:hint="eastAsia" w:ascii="仿宋_GB2312" w:hAnsi="华文仿宋" w:eastAsia="仿宋_GB2312" w:cs="Calibri"/>
          <w:sz w:val="32"/>
          <w:szCs w:val="32"/>
          <w:lang w:val="it-IT"/>
        </w:rPr>
        <w:t>《录音与制作技术》课程</w:t>
      </w:r>
      <w:r>
        <w:rPr>
          <w:rFonts w:hint="eastAsia" w:ascii="仿宋_GB2312" w:hAnsi="华文仿宋" w:eastAsia="仿宋_GB2312" w:cs="Calibri"/>
          <w:sz w:val="32"/>
          <w:szCs w:val="32"/>
        </w:rPr>
        <w:t>购置设备</w:t>
      </w:r>
      <w:r>
        <w:rPr>
          <w:rFonts w:ascii="仿宋_GB2312" w:hAnsi="华文仿宋" w:eastAsia="仿宋_GB2312" w:cs="Calibri"/>
          <w:sz w:val="32"/>
          <w:szCs w:val="32"/>
        </w:rPr>
        <w:t>预算</w:t>
      </w:r>
      <w:r>
        <w:rPr>
          <w:rFonts w:hint="eastAsia" w:ascii="仿宋_GB2312" w:hAnsi="华文仿宋" w:eastAsia="仿宋_GB2312" w:cs="Calibri"/>
          <w:sz w:val="32"/>
          <w:szCs w:val="32"/>
        </w:rPr>
        <w:t>表（相关设备价格来自京东商城）</w:t>
      </w:r>
    </w:p>
    <w:tbl>
      <w:tblPr>
        <w:tblStyle w:val="4"/>
        <w:tblpPr w:leftFromText="180" w:rightFromText="180" w:vertAnchor="text" w:horzAnchor="margin" w:tblpX="1" w:tblpY="9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95"/>
        <w:gridCol w:w="4700"/>
        <w:gridCol w:w="406"/>
        <w:gridCol w:w="786"/>
        <w:gridCol w:w="595"/>
      </w:tblGrid>
      <w:tr w14:paraId="2673F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shd w:val="clear" w:color="auto" w:fill="auto"/>
            <w:vAlign w:val="center"/>
          </w:tcPr>
          <w:p w14:paraId="133CA945">
            <w:pPr>
              <w:jc w:val="center"/>
              <w:rPr>
                <w:rFonts w:ascii="Times New Roman" w:hAnsi="Times New Roman" w:eastAsia="DengXian" w:cs="Times New Roman"/>
                <w:b/>
                <w:bCs/>
                <w:color w:val="000000"/>
                <w:sz w:val="24"/>
                <w:szCs w:val="24"/>
              </w:rPr>
            </w:pPr>
          </w:p>
        </w:tc>
        <w:tc>
          <w:tcPr>
            <w:tcW w:w="1053" w:type="pct"/>
            <w:shd w:val="clear" w:color="auto" w:fill="auto"/>
            <w:vAlign w:val="center"/>
          </w:tcPr>
          <w:p w14:paraId="19367C5C">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名称</w:t>
            </w:r>
          </w:p>
        </w:tc>
        <w:tc>
          <w:tcPr>
            <w:tcW w:w="2757" w:type="pct"/>
            <w:shd w:val="clear" w:color="auto" w:fill="auto"/>
            <w:vAlign w:val="center"/>
          </w:tcPr>
          <w:p w14:paraId="5A4D830D">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参数</w:t>
            </w:r>
          </w:p>
        </w:tc>
        <w:tc>
          <w:tcPr>
            <w:tcW w:w="238" w:type="pct"/>
            <w:shd w:val="clear" w:color="auto" w:fill="auto"/>
            <w:vAlign w:val="center"/>
          </w:tcPr>
          <w:p w14:paraId="6AA97B50">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数量</w:t>
            </w:r>
          </w:p>
        </w:tc>
        <w:tc>
          <w:tcPr>
            <w:tcW w:w="461" w:type="pct"/>
            <w:shd w:val="clear" w:color="auto" w:fill="auto"/>
            <w:vAlign w:val="center"/>
          </w:tcPr>
          <w:p w14:paraId="02EC93FE">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单价（元）</w:t>
            </w:r>
          </w:p>
        </w:tc>
        <w:tc>
          <w:tcPr>
            <w:tcW w:w="349" w:type="pct"/>
            <w:shd w:val="clear" w:color="auto" w:fill="auto"/>
            <w:vAlign w:val="center"/>
          </w:tcPr>
          <w:p w14:paraId="48F62847">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金额（万元）</w:t>
            </w:r>
          </w:p>
        </w:tc>
      </w:tr>
      <w:tr w14:paraId="026A3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1" w:hRule="atLeast"/>
        </w:trPr>
        <w:tc>
          <w:tcPr>
            <w:tcW w:w="140" w:type="pct"/>
            <w:shd w:val="clear" w:color="auto" w:fill="auto"/>
            <w:vAlign w:val="center"/>
          </w:tcPr>
          <w:p w14:paraId="4AD84E3C">
            <w:pPr>
              <w:widowControl/>
              <w:jc w:val="center"/>
              <w:textAlignment w:val="center"/>
              <w:rPr>
                <w:rFonts w:hint="default" w:ascii="Times New Roman" w:hAnsi="Times New Roman" w:eastAsia="DengXian" w:cs="Times New Roman"/>
                <w:color w:val="000000"/>
                <w:sz w:val="22"/>
                <w:lang w:val="en-US" w:eastAsia="zh-CN"/>
              </w:rPr>
            </w:pPr>
            <w:r>
              <w:rPr>
                <w:rFonts w:hint="eastAsia" w:ascii="Times New Roman" w:hAnsi="Times New Roman" w:eastAsia="DengXian" w:cs="Times New Roman"/>
                <w:color w:val="000000"/>
                <w:sz w:val="22"/>
                <w:lang w:val="en-US" w:eastAsia="zh-CN"/>
              </w:rPr>
              <w:t>Arduino Uno板</w:t>
            </w:r>
          </w:p>
        </w:tc>
        <w:tc>
          <w:tcPr>
            <w:tcW w:w="1053" w:type="pct"/>
            <w:shd w:val="clear" w:color="auto" w:fill="auto"/>
            <w:vAlign w:val="center"/>
          </w:tcPr>
          <w:p w14:paraId="673E32F4">
            <w:pPr>
              <w:widowControl/>
              <w:jc w:val="center"/>
              <w:textAlignment w:val="center"/>
              <w:rPr>
                <w:rFonts w:ascii="Times New Roman" w:hAnsi="Times New Roman" w:eastAsia="SimSun" w:cs="Times New Roman"/>
                <w:color w:val="000000"/>
                <w:sz w:val="22"/>
              </w:rPr>
            </w:pPr>
            <w:r>
              <w:rPr>
                <w:rFonts w:hint="eastAsia" w:ascii="SimSun" w:hAnsi="SimSun" w:eastAsia="SimSun" w:cs="SimSun"/>
                <w:color w:val="000000"/>
                <w:kern w:val="0"/>
                <w:sz w:val="22"/>
                <w:lang w:bidi="ar"/>
              </w:rPr>
              <w:t>ARDUINO UNO R3 </w:t>
            </w:r>
          </w:p>
        </w:tc>
        <w:tc>
          <w:tcPr>
            <w:tcW w:w="2757" w:type="pct"/>
            <w:shd w:val="clear" w:color="auto" w:fill="auto"/>
            <w:vAlign w:val="center"/>
          </w:tcPr>
          <w:p w14:paraId="1E7C1718">
            <w:pPr>
              <w:widowControl/>
              <w:jc w:val="center"/>
              <w:rPr>
                <w:rFonts w:ascii="Times New Roman" w:hAnsi="Times New Roman" w:eastAsia="DengXian" w:cs="Times New Roman"/>
                <w:color w:val="000000"/>
                <w:kern w:val="0"/>
                <w:sz w:val="22"/>
              </w:rPr>
            </w:pPr>
            <w:r>
              <w:drawing>
                <wp:inline distT="0" distB="0" distL="114300" distR="114300">
                  <wp:extent cx="1978025" cy="1028700"/>
                  <wp:effectExtent l="0" t="0" r="317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1978025" cy="1028700"/>
                          </a:xfrm>
                          <a:prstGeom prst="rect">
                            <a:avLst/>
                          </a:prstGeom>
                          <a:noFill/>
                          <a:ln>
                            <a:noFill/>
                          </a:ln>
                        </pic:spPr>
                      </pic:pic>
                    </a:graphicData>
                  </a:graphic>
                </wp:inline>
              </w:drawing>
            </w:r>
          </w:p>
        </w:tc>
        <w:tc>
          <w:tcPr>
            <w:tcW w:w="238" w:type="pct"/>
            <w:shd w:val="clear" w:color="auto" w:fill="auto"/>
            <w:vAlign w:val="center"/>
          </w:tcPr>
          <w:p w14:paraId="198EB62F">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sz w:val="22"/>
                <w:lang w:val="en-US" w:eastAsia="zh-CN" w:bidi="ar"/>
              </w:rPr>
              <w:t>25</w:t>
            </w:r>
          </w:p>
        </w:tc>
        <w:tc>
          <w:tcPr>
            <w:tcW w:w="461" w:type="pct"/>
            <w:shd w:val="clear" w:color="auto" w:fill="auto"/>
            <w:vAlign w:val="center"/>
          </w:tcPr>
          <w:p w14:paraId="12EFE0F9">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sz w:val="22"/>
                <w:lang w:val="en-US" w:eastAsia="zh-CN" w:bidi="ar"/>
              </w:rPr>
              <w:t>276</w:t>
            </w:r>
          </w:p>
        </w:tc>
        <w:tc>
          <w:tcPr>
            <w:tcW w:w="349" w:type="pct"/>
            <w:shd w:val="clear" w:color="auto" w:fill="auto"/>
            <w:vAlign w:val="center"/>
          </w:tcPr>
          <w:p w14:paraId="17967744">
            <w:pPr>
              <w:widowControl/>
              <w:jc w:val="center"/>
              <w:textAlignment w:val="center"/>
              <w:rPr>
                <w:rFonts w:ascii="Times New Roman" w:hAnsi="Times New Roman" w:eastAsia="DengXian" w:cs="Times New Roman"/>
                <w:color w:val="000000"/>
                <w:kern w:val="0"/>
                <w:sz w:val="22"/>
                <w:lang w:bidi="ar"/>
              </w:rPr>
            </w:pPr>
          </w:p>
        </w:tc>
      </w:tr>
      <w:tr w14:paraId="6CDAA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shd w:val="clear" w:color="auto" w:fill="auto"/>
            <w:vAlign w:val="center"/>
          </w:tcPr>
          <w:p w14:paraId="3FF82E51">
            <w:pPr>
              <w:jc w:val="center"/>
              <w:rPr>
                <w:rFonts w:hint="default" w:ascii="Times New Roman" w:hAnsi="Times New Roman" w:eastAsia="DengXian" w:cs="Times New Roman"/>
                <w:color w:val="000000"/>
                <w:sz w:val="22"/>
                <w:lang w:val="en-US" w:eastAsia="zh-CN"/>
              </w:rPr>
            </w:pPr>
            <w:r>
              <w:rPr>
                <w:rFonts w:hint="eastAsia" w:ascii="Times New Roman" w:hAnsi="Times New Roman" w:eastAsia="DengXian" w:cs="Times New Roman"/>
                <w:color w:val="000000"/>
                <w:sz w:val="22"/>
                <w:lang w:val="en-US" w:eastAsia="zh-CN"/>
              </w:rPr>
              <w:t>USB线</w:t>
            </w:r>
          </w:p>
        </w:tc>
        <w:tc>
          <w:tcPr>
            <w:tcW w:w="1053" w:type="pct"/>
            <w:shd w:val="clear" w:color="auto" w:fill="auto"/>
            <w:vAlign w:val="center"/>
          </w:tcPr>
          <w:p w14:paraId="2F15BB96">
            <w:pPr>
              <w:widowControl/>
              <w:jc w:val="center"/>
              <w:textAlignment w:val="center"/>
              <w:rPr>
                <w:rFonts w:ascii="Times New Roman" w:hAnsi="Times New Roman" w:eastAsia="DengXian" w:cs="Times New Roman"/>
                <w:color w:val="000000"/>
                <w:sz w:val="22"/>
              </w:rPr>
            </w:pPr>
            <w:r>
              <w:rPr>
                <w:rFonts w:ascii="PingFang SC" w:hAnsi="PingFang SC" w:eastAsia="PingFang SC" w:cs="PingFang SC"/>
                <w:b/>
                <w:bCs/>
                <w:i w:val="0"/>
                <w:iCs w:val="0"/>
                <w:caps w:val="0"/>
                <w:spacing w:val="0"/>
                <w:sz w:val="24"/>
                <w:szCs w:val="24"/>
                <w:shd w:val="clear" w:fill="FFFFFF"/>
              </w:rPr>
              <w:t>Arduino UNO方口数据线 MICRO安卓连接线 MINI USB2.0烧录数据线</w:t>
            </w:r>
          </w:p>
        </w:tc>
        <w:tc>
          <w:tcPr>
            <w:tcW w:w="2757" w:type="pct"/>
            <w:shd w:val="clear" w:color="auto" w:fill="auto"/>
            <w:vAlign w:val="center"/>
          </w:tcPr>
          <w:p w14:paraId="3AEDE36D">
            <w:pPr>
              <w:widowControl/>
              <w:jc w:val="center"/>
              <w:textAlignment w:val="center"/>
              <w:rPr>
                <w:rFonts w:ascii="Times New Roman" w:hAnsi="Times New Roman" w:eastAsia="DengXian" w:cs="Times New Roman"/>
                <w:color w:val="000000"/>
                <w:sz w:val="22"/>
              </w:rPr>
            </w:pPr>
            <w:r>
              <w:drawing>
                <wp:inline distT="0" distB="0" distL="114300" distR="114300">
                  <wp:extent cx="1970405" cy="1148080"/>
                  <wp:effectExtent l="0" t="0" r="1079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970405" cy="1148080"/>
                          </a:xfrm>
                          <a:prstGeom prst="rect">
                            <a:avLst/>
                          </a:prstGeom>
                          <a:noFill/>
                          <a:ln>
                            <a:noFill/>
                          </a:ln>
                        </pic:spPr>
                      </pic:pic>
                    </a:graphicData>
                  </a:graphic>
                </wp:inline>
              </w:drawing>
            </w:r>
          </w:p>
        </w:tc>
        <w:tc>
          <w:tcPr>
            <w:tcW w:w="238" w:type="pct"/>
            <w:shd w:val="clear" w:color="auto" w:fill="auto"/>
            <w:vAlign w:val="center"/>
          </w:tcPr>
          <w:p w14:paraId="533A9EF1">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sz w:val="22"/>
                <w:lang w:val="en-US" w:eastAsia="zh-CN" w:bidi="ar"/>
              </w:rPr>
              <w:t>25</w:t>
            </w:r>
          </w:p>
        </w:tc>
        <w:tc>
          <w:tcPr>
            <w:tcW w:w="461" w:type="pct"/>
            <w:shd w:val="clear" w:color="auto" w:fill="auto"/>
            <w:vAlign w:val="center"/>
          </w:tcPr>
          <w:p w14:paraId="0AF0754C">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sz w:val="22"/>
                <w:lang w:val="en-US" w:eastAsia="zh-CN" w:bidi="ar"/>
              </w:rPr>
              <w:t>3.2</w:t>
            </w:r>
          </w:p>
        </w:tc>
        <w:tc>
          <w:tcPr>
            <w:tcW w:w="349" w:type="pct"/>
            <w:shd w:val="clear" w:color="auto" w:fill="auto"/>
            <w:vAlign w:val="center"/>
          </w:tcPr>
          <w:p w14:paraId="45D08DBF">
            <w:pPr>
              <w:widowControl/>
              <w:jc w:val="center"/>
              <w:textAlignment w:val="center"/>
              <w:rPr>
                <w:rFonts w:ascii="Times New Roman" w:hAnsi="Times New Roman" w:eastAsia="DengXian" w:cs="Times New Roman"/>
                <w:color w:val="000000"/>
                <w:kern w:val="0"/>
                <w:sz w:val="22"/>
                <w:lang w:bidi="ar"/>
              </w:rPr>
            </w:pPr>
          </w:p>
        </w:tc>
      </w:tr>
      <w:tr w14:paraId="45502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restart"/>
            <w:shd w:val="clear" w:color="auto" w:fill="auto"/>
            <w:vAlign w:val="center"/>
          </w:tcPr>
          <w:p w14:paraId="1B591F3D">
            <w:pPr>
              <w:jc w:val="center"/>
              <w:rPr>
                <w:rFonts w:hint="default" w:ascii="Times New Roman" w:hAnsi="Times New Roman" w:eastAsia="DengXian" w:cs="Times New Roman"/>
                <w:color w:val="000000"/>
                <w:sz w:val="22"/>
                <w:lang w:val="en-US" w:eastAsia="zh-CN"/>
              </w:rPr>
            </w:pPr>
            <w:r>
              <w:rPr>
                <w:rFonts w:hint="eastAsia" w:ascii="Times New Roman" w:hAnsi="Times New Roman" w:eastAsia="DengXian" w:cs="Times New Roman"/>
                <w:color w:val="000000"/>
                <w:sz w:val="22"/>
                <w:lang w:val="en-US" w:eastAsia="zh-CN"/>
              </w:rPr>
              <w:t>面包板</w:t>
            </w:r>
          </w:p>
        </w:tc>
        <w:tc>
          <w:tcPr>
            <w:tcW w:w="1053" w:type="pct"/>
            <w:shd w:val="clear" w:color="auto" w:fill="auto"/>
            <w:vAlign w:val="center"/>
          </w:tcPr>
          <w:p w14:paraId="4510281F">
            <w:pPr>
              <w:widowControl/>
              <w:jc w:val="center"/>
              <w:textAlignment w:val="center"/>
              <w:rPr>
                <w:rFonts w:ascii="Times New Roman" w:hAnsi="Times New Roman" w:eastAsia="DengXian" w:cs="Times New Roman"/>
                <w:color w:val="000000"/>
                <w:sz w:val="22"/>
              </w:rPr>
            </w:pPr>
            <w:r>
              <w:rPr>
                <w:rFonts w:ascii="PingFang SC" w:hAnsi="PingFang SC" w:eastAsia="PingFang SC" w:cs="PingFang SC"/>
                <w:b/>
                <w:bCs/>
                <w:i w:val="0"/>
                <w:iCs w:val="0"/>
                <w:caps w:val="0"/>
                <w:spacing w:val="0"/>
                <w:sz w:val="24"/>
                <w:szCs w:val="24"/>
                <w:shd w:val="clear" w:fill="FFFFFF"/>
              </w:rPr>
              <w:t>MB-102 优质面包板</w:t>
            </w:r>
          </w:p>
        </w:tc>
        <w:tc>
          <w:tcPr>
            <w:tcW w:w="2757" w:type="pct"/>
            <w:shd w:val="clear" w:color="auto" w:fill="auto"/>
            <w:vAlign w:val="center"/>
          </w:tcPr>
          <w:p w14:paraId="0B43422D">
            <w:pPr>
              <w:widowControl/>
              <w:jc w:val="center"/>
              <w:textAlignment w:val="center"/>
              <w:rPr>
                <w:rFonts w:ascii="Times New Roman" w:hAnsi="Times New Roman" w:eastAsia="DengXian" w:cs="Times New Roman"/>
                <w:color w:val="000000"/>
                <w:sz w:val="22"/>
              </w:rPr>
            </w:pPr>
            <w:r>
              <w:drawing>
                <wp:inline distT="0" distB="0" distL="114300" distR="114300">
                  <wp:extent cx="2174240" cy="1230630"/>
                  <wp:effectExtent l="0" t="0" r="508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174240" cy="1230630"/>
                          </a:xfrm>
                          <a:prstGeom prst="rect">
                            <a:avLst/>
                          </a:prstGeom>
                          <a:noFill/>
                          <a:ln>
                            <a:noFill/>
                          </a:ln>
                        </pic:spPr>
                      </pic:pic>
                    </a:graphicData>
                  </a:graphic>
                </wp:inline>
              </w:drawing>
            </w:r>
          </w:p>
        </w:tc>
        <w:tc>
          <w:tcPr>
            <w:tcW w:w="238" w:type="pct"/>
            <w:shd w:val="clear" w:color="auto" w:fill="auto"/>
            <w:vAlign w:val="center"/>
          </w:tcPr>
          <w:p w14:paraId="2E4E7D48">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kern w:val="0"/>
                <w:sz w:val="22"/>
                <w:lang w:val="en-US" w:eastAsia="zh-CN" w:bidi="ar"/>
              </w:rPr>
              <w:t>25</w:t>
            </w:r>
          </w:p>
        </w:tc>
        <w:tc>
          <w:tcPr>
            <w:tcW w:w="461" w:type="pct"/>
            <w:tcBorders>
              <w:bottom w:val="single" w:color="auto" w:sz="4" w:space="0"/>
            </w:tcBorders>
            <w:shd w:val="clear" w:color="auto" w:fill="auto"/>
            <w:vAlign w:val="center"/>
          </w:tcPr>
          <w:p w14:paraId="14291132">
            <w:pPr>
              <w:widowControl/>
              <w:jc w:val="center"/>
              <w:textAlignment w:val="center"/>
              <w:rPr>
                <w:rFonts w:hint="default" w:ascii="Times New Roman" w:hAnsi="Times New Roman" w:eastAsia="DengXian" w:cs="Times New Roman"/>
                <w:color w:val="000000"/>
                <w:kern w:val="0"/>
                <w:sz w:val="22"/>
                <w:lang w:val="en-US" w:eastAsia="zh-CN" w:bidi="ar"/>
              </w:rPr>
            </w:pPr>
            <w:r>
              <w:rPr>
                <w:rFonts w:hint="eastAsia" w:ascii="Times New Roman" w:hAnsi="Times New Roman" w:eastAsia="DengXian" w:cs="Times New Roman"/>
                <w:color w:val="000000"/>
                <w:kern w:val="0"/>
                <w:sz w:val="22"/>
                <w:lang w:val="en-US" w:eastAsia="zh-CN" w:bidi="ar"/>
              </w:rPr>
              <w:t>9.9</w:t>
            </w:r>
          </w:p>
        </w:tc>
        <w:tc>
          <w:tcPr>
            <w:tcW w:w="349" w:type="pct"/>
            <w:tcBorders>
              <w:bottom w:val="single" w:color="auto" w:sz="4" w:space="0"/>
            </w:tcBorders>
            <w:shd w:val="clear" w:color="auto" w:fill="auto"/>
            <w:vAlign w:val="center"/>
          </w:tcPr>
          <w:p w14:paraId="06855D12">
            <w:pPr>
              <w:widowControl/>
              <w:jc w:val="center"/>
              <w:textAlignment w:val="center"/>
              <w:rPr>
                <w:rFonts w:ascii="Times New Roman" w:hAnsi="Times New Roman" w:eastAsia="DengXian" w:cs="Times New Roman"/>
                <w:color w:val="000000"/>
                <w:kern w:val="0"/>
                <w:sz w:val="22"/>
                <w:lang w:bidi="ar"/>
              </w:rPr>
            </w:pPr>
          </w:p>
        </w:tc>
      </w:tr>
      <w:tr w14:paraId="532AC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30003FF0">
            <w:pPr>
              <w:jc w:val="center"/>
              <w:rPr>
                <w:rFonts w:ascii="Times New Roman" w:hAnsi="Times New Roman" w:eastAsia="DengXian" w:cs="Times New Roman"/>
                <w:color w:val="000000"/>
                <w:sz w:val="20"/>
                <w:szCs w:val="20"/>
              </w:rPr>
            </w:pPr>
          </w:p>
        </w:tc>
        <w:tc>
          <w:tcPr>
            <w:tcW w:w="1053" w:type="pct"/>
            <w:shd w:val="clear" w:color="auto" w:fill="auto"/>
            <w:noWrap/>
            <w:vAlign w:val="center"/>
          </w:tcPr>
          <w:p w14:paraId="14A1A08C">
            <w:pPr>
              <w:jc w:val="center"/>
              <w:rPr>
                <w:rFonts w:ascii="Times New Roman" w:hAnsi="Times New Roman" w:eastAsia="DengXian" w:cs="Times New Roman"/>
                <w:color w:val="000000"/>
                <w:sz w:val="20"/>
                <w:szCs w:val="20"/>
              </w:rPr>
            </w:pPr>
            <w:r>
              <w:rPr>
                <w:rFonts w:ascii="PingFang SC" w:hAnsi="PingFang SC" w:eastAsia="PingFang SC" w:cs="PingFang SC"/>
                <w:b/>
                <w:bCs/>
                <w:i w:val="0"/>
                <w:iCs w:val="0"/>
                <w:caps w:val="0"/>
                <w:spacing w:val="0"/>
                <w:sz w:val="24"/>
                <w:szCs w:val="24"/>
                <w:shd w:val="clear" w:fill="FFFFFF"/>
              </w:rPr>
              <w:t>400孔面包板迷你</w:t>
            </w:r>
          </w:p>
        </w:tc>
        <w:tc>
          <w:tcPr>
            <w:tcW w:w="2757" w:type="pct"/>
            <w:shd w:val="clear" w:color="auto" w:fill="auto"/>
            <w:noWrap/>
            <w:vAlign w:val="center"/>
          </w:tcPr>
          <w:p w14:paraId="1798E3D8">
            <w:pPr>
              <w:jc w:val="center"/>
              <w:rPr>
                <w:rFonts w:ascii="Times New Roman" w:hAnsi="Times New Roman" w:eastAsia="DengXian" w:cs="Times New Roman"/>
                <w:color w:val="000000"/>
                <w:sz w:val="20"/>
                <w:szCs w:val="20"/>
              </w:rPr>
            </w:pPr>
            <w:r>
              <w:drawing>
                <wp:inline distT="0" distB="0" distL="114300" distR="114300">
                  <wp:extent cx="3597275" cy="2251075"/>
                  <wp:effectExtent l="0" t="0" r="14605"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3597275" cy="2251075"/>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5F6985CC">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25</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6E3EC304">
            <w:pPr>
              <w:widowControl/>
              <w:jc w:val="center"/>
              <w:textAlignment w:val="center"/>
              <w:rPr>
                <w:rFonts w:hint="default" w:ascii="Times New Roman" w:hAnsi="Times New Roman" w:eastAsia="DengXian" w:cs="Times New Roman"/>
                <w:b/>
                <w:bCs/>
                <w:color w:val="000000"/>
                <w:sz w:val="20"/>
                <w:szCs w:val="20"/>
                <w:lang w:val="en-US" w:eastAsia="zh-CN"/>
              </w:rPr>
            </w:pPr>
            <w:r>
              <w:rPr>
                <w:rFonts w:hint="eastAsia" w:ascii="Times New Roman" w:hAnsi="Times New Roman" w:eastAsia="DengXian" w:cs="Times New Roman"/>
                <w:b/>
                <w:bCs/>
                <w:color w:val="000000"/>
                <w:sz w:val="20"/>
                <w:szCs w:val="20"/>
                <w:lang w:val="en-US" w:eastAsia="zh-CN"/>
              </w:rPr>
              <w:t>2.78</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78CC5D78">
            <w:pPr>
              <w:widowControl/>
              <w:jc w:val="center"/>
              <w:textAlignment w:val="center"/>
              <w:rPr>
                <w:rFonts w:ascii="Times New Roman" w:hAnsi="Times New Roman" w:eastAsia="DengXian" w:cs="Times New Roman"/>
                <w:b/>
                <w:bCs/>
                <w:color w:val="000000"/>
                <w:sz w:val="20"/>
                <w:szCs w:val="20"/>
              </w:rPr>
            </w:pPr>
          </w:p>
        </w:tc>
      </w:tr>
      <w:tr w14:paraId="6E008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22A9386C">
            <w:pPr>
              <w:jc w:val="center"/>
              <w:rPr>
                <w:rFonts w:ascii="Times New Roman" w:hAnsi="Times New Roman" w:eastAsia="DengXian" w:cs="Times New Roman"/>
                <w:color w:val="000000"/>
                <w:sz w:val="20"/>
                <w:szCs w:val="20"/>
              </w:rPr>
            </w:pPr>
          </w:p>
        </w:tc>
        <w:tc>
          <w:tcPr>
            <w:tcW w:w="1053" w:type="pct"/>
            <w:shd w:val="clear" w:color="auto" w:fill="auto"/>
            <w:noWrap/>
            <w:vAlign w:val="center"/>
          </w:tcPr>
          <w:p w14:paraId="1239A71A">
            <w:pPr>
              <w:jc w:val="center"/>
              <w:rPr>
                <w:rFonts w:ascii="Times New Roman" w:hAnsi="Times New Roman" w:eastAsia="DengXian" w:cs="Times New Roman"/>
                <w:color w:val="000000"/>
                <w:sz w:val="20"/>
                <w:szCs w:val="20"/>
              </w:rPr>
            </w:pPr>
            <w:r>
              <w:rPr>
                <w:rFonts w:ascii="PingFang SC" w:hAnsi="PingFang SC" w:eastAsia="PingFang SC" w:cs="PingFang SC"/>
                <w:b/>
                <w:bCs/>
                <w:i w:val="0"/>
                <w:iCs w:val="0"/>
                <w:caps w:val="0"/>
                <w:spacing w:val="0"/>
                <w:sz w:val="24"/>
                <w:szCs w:val="24"/>
                <w:shd w:val="clear" w:fill="FFFFFF"/>
              </w:rPr>
              <w:t xml:space="preserve">面包板 mini </w:t>
            </w:r>
          </w:p>
        </w:tc>
        <w:tc>
          <w:tcPr>
            <w:tcW w:w="2757" w:type="pct"/>
            <w:shd w:val="clear" w:color="auto" w:fill="auto"/>
            <w:noWrap/>
            <w:vAlign w:val="center"/>
          </w:tcPr>
          <w:p w14:paraId="0C0DA4A4">
            <w:pPr>
              <w:jc w:val="center"/>
              <w:rPr>
                <w:rFonts w:ascii="Times New Roman" w:hAnsi="Times New Roman" w:eastAsia="DengXian" w:cs="Times New Roman"/>
                <w:color w:val="000000"/>
                <w:sz w:val="20"/>
                <w:szCs w:val="20"/>
              </w:rPr>
            </w:pPr>
            <w:r>
              <w:drawing>
                <wp:inline distT="0" distB="0" distL="114300" distR="114300">
                  <wp:extent cx="3332480" cy="1375410"/>
                  <wp:effectExtent l="0" t="0" r="5080"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3332480" cy="137541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6D72CC2A">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25</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40A67028">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3.3</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54E087A7">
            <w:pPr>
              <w:widowControl/>
              <w:jc w:val="center"/>
              <w:textAlignment w:val="center"/>
              <w:rPr>
                <w:rFonts w:ascii="Times New Roman" w:hAnsi="Times New Roman" w:eastAsia="DengXian" w:cs="Times New Roman"/>
                <w:b/>
                <w:bCs/>
                <w:color w:val="000000"/>
                <w:sz w:val="20"/>
                <w:szCs w:val="20"/>
              </w:rPr>
            </w:pPr>
          </w:p>
        </w:tc>
      </w:tr>
      <w:tr w14:paraId="5005F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restart"/>
            <w:tcBorders/>
            <w:shd w:val="clear" w:color="auto" w:fill="auto"/>
            <w:noWrap/>
            <w:vAlign w:val="center"/>
          </w:tcPr>
          <w:p w14:paraId="143733EB">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LED灯</w:t>
            </w:r>
          </w:p>
        </w:tc>
        <w:tc>
          <w:tcPr>
            <w:tcW w:w="1053" w:type="pct"/>
            <w:shd w:val="clear" w:color="auto" w:fill="auto"/>
            <w:noWrap/>
            <w:vAlign w:val="center"/>
          </w:tcPr>
          <w:p w14:paraId="7B6B31D9">
            <w:pPr>
              <w:jc w:val="center"/>
              <w:rPr>
                <w:rFonts w:hint="default" w:ascii="PingFang SC" w:hAnsi="PingFang SC" w:eastAsia="SimSun" w:cs="PingFang SC"/>
                <w:b/>
                <w:bCs/>
                <w:i w:val="0"/>
                <w:iCs w:val="0"/>
                <w:caps w:val="0"/>
                <w:spacing w:val="0"/>
                <w:sz w:val="24"/>
                <w:szCs w:val="24"/>
                <w:shd w:val="clear" w:fill="FFFFFF"/>
                <w:lang w:val="en-US" w:eastAsia="zh-CN"/>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-红</w:t>
            </w:r>
          </w:p>
        </w:tc>
        <w:tc>
          <w:tcPr>
            <w:tcW w:w="2757" w:type="pct"/>
            <w:shd w:val="clear" w:color="auto" w:fill="auto"/>
            <w:noWrap/>
            <w:vAlign w:val="center"/>
          </w:tcPr>
          <w:p w14:paraId="6FFE3695">
            <w:pPr>
              <w:jc w:val="center"/>
            </w:pPr>
            <w:r>
              <w:drawing>
                <wp:inline distT="0" distB="0" distL="114300" distR="114300">
                  <wp:extent cx="2840990" cy="1619885"/>
                  <wp:effectExtent l="0" t="0" r="8890" b="1079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2840990" cy="1619885"/>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0EB02E34">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6AAFD25D">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0.22</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53846C5A">
            <w:pPr>
              <w:widowControl/>
              <w:jc w:val="center"/>
              <w:textAlignment w:val="center"/>
              <w:rPr>
                <w:rFonts w:ascii="Times New Roman" w:hAnsi="Times New Roman" w:eastAsia="DengXian" w:cs="Times New Roman"/>
                <w:b/>
                <w:bCs/>
                <w:color w:val="000000"/>
                <w:sz w:val="20"/>
                <w:szCs w:val="20"/>
              </w:rPr>
            </w:pPr>
          </w:p>
        </w:tc>
      </w:tr>
      <w:tr w14:paraId="2629D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6407EC8F">
            <w:pPr>
              <w:jc w:val="center"/>
              <w:rPr>
                <w:rFonts w:hint="eastAsia" w:ascii="Times New Roman" w:hAnsi="Times New Roman" w:eastAsia="DengXian" w:cs="Times New Roman"/>
                <w:color w:val="000000"/>
                <w:sz w:val="20"/>
                <w:szCs w:val="20"/>
                <w:lang w:val="en-US" w:eastAsia="zh-CN"/>
              </w:rPr>
            </w:pPr>
          </w:p>
        </w:tc>
        <w:tc>
          <w:tcPr>
            <w:tcW w:w="1053" w:type="pct"/>
            <w:shd w:val="clear" w:color="auto" w:fill="auto"/>
            <w:noWrap/>
            <w:vAlign w:val="center"/>
          </w:tcPr>
          <w:p w14:paraId="016055E7">
            <w:pPr>
              <w:jc w:val="center"/>
              <w:rPr>
                <w:rFonts w:hint="default" w:ascii="PingFang SC" w:hAnsi="PingFang SC" w:eastAsia="PingFang SC" w:cs="PingFang SC"/>
                <w:b/>
                <w:bCs/>
                <w:i w:val="0"/>
                <w:iCs w:val="0"/>
                <w:caps w:val="0"/>
                <w:spacing w:val="0"/>
                <w:sz w:val="24"/>
                <w:szCs w:val="24"/>
                <w:shd w:val="clear" w:fill="FFFFFF"/>
                <w:lang w:val="en-US"/>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-绿</w:t>
            </w:r>
          </w:p>
        </w:tc>
        <w:tc>
          <w:tcPr>
            <w:tcW w:w="2757" w:type="pct"/>
            <w:shd w:val="clear" w:color="auto" w:fill="auto"/>
            <w:noWrap/>
            <w:vAlign w:val="center"/>
          </w:tcPr>
          <w:p w14:paraId="33BA7FC8">
            <w:pPr>
              <w:jc w:val="center"/>
            </w:pPr>
            <w:r>
              <w:drawing>
                <wp:inline distT="0" distB="0" distL="114300" distR="114300">
                  <wp:extent cx="2846705" cy="1682750"/>
                  <wp:effectExtent l="0" t="0" r="3175" b="889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2846705" cy="168275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108E9C60">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3E336DB5">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0.22</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77BCF7B3">
            <w:pPr>
              <w:widowControl/>
              <w:jc w:val="center"/>
              <w:textAlignment w:val="center"/>
              <w:rPr>
                <w:rFonts w:ascii="Times New Roman" w:hAnsi="Times New Roman" w:eastAsia="DengXian" w:cs="Times New Roman"/>
                <w:b/>
                <w:bCs/>
                <w:color w:val="000000"/>
                <w:sz w:val="20"/>
                <w:szCs w:val="20"/>
              </w:rPr>
            </w:pPr>
          </w:p>
        </w:tc>
      </w:tr>
      <w:tr w14:paraId="69A65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638048A6">
            <w:pPr>
              <w:jc w:val="center"/>
              <w:rPr>
                <w:rFonts w:hint="eastAsia" w:ascii="Times New Roman" w:hAnsi="Times New Roman" w:eastAsia="DengXian" w:cs="Times New Roman"/>
                <w:color w:val="000000"/>
                <w:sz w:val="20"/>
                <w:szCs w:val="20"/>
                <w:lang w:val="en-US" w:eastAsia="zh-CN"/>
              </w:rPr>
            </w:pPr>
          </w:p>
        </w:tc>
        <w:tc>
          <w:tcPr>
            <w:tcW w:w="1053" w:type="pct"/>
            <w:shd w:val="clear" w:color="auto" w:fill="auto"/>
            <w:noWrap/>
            <w:vAlign w:val="center"/>
          </w:tcPr>
          <w:p w14:paraId="530042A3">
            <w:pPr>
              <w:jc w:val="center"/>
              <w:rPr>
                <w:rFonts w:hint="default" w:ascii="PingFang SC" w:hAnsi="PingFang SC" w:eastAsia="PingFang SC" w:cs="PingFang SC"/>
                <w:b/>
                <w:bCs/>
                <w:i w:val="0"/>
                <w:iCs w:val="0"/>
                <w:caps w:val="0"/>
                <w:spacing w:val="0"/>
                <w:sz w:val="24"/>
                <w:szCs w:val="24"/>
                <w:shd w:val="clear" w:fill="FFFFFF"/>
                <w:lang w:val="en-US"/>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-黄</w:t>
            </w:r>
          </w:p>
        </w:tc>
        <w:tc>
          <w:tcPr>
            <w:tcW w:w="2757" w:type="pct"/>
            <w:shd w:val="clear" w:color="auto" w:fill="auto"/>
            <w:noWrap/>
            <w:vAlign w:val="center"/>
          </w:tcPr>
          <w:p w14:paraId="49467D8D">
            <w:pPr>
              <w:jc w:val="center"/>
            </w:pPr>
            <w:r>
              <w:drawing>
                <wp:inline distT="0" distB="0" distL="114300" distR="114300">
                  <wp:extent cx="2846705" cy="1736090"/>
                  <wp:effectExtent l="0" t="0" r="3175" b="12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2846705" cy="173609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7B3B4AD3">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615DBC9F">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0.22</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577EA68C">
            <w:pPr>
              <w:widowControl/>
              <w:jc w:val="center"/>
              <w:textAlignment w:val="center"/>
              <w:rPr>
                <w:rFonts w:ascii="Times New Roman" w:hAnsi="Times New Roman" w:eastAsia="DengXian" w:cs="Times New Roman"/>
                <w:b/>
                <w:bCs/>
                <w:color w:val="000000"/>
                <w:sz w:val="20"/>
                <w:szCs w:val="20"/>
              </w:rPr>
            </w:pPr>
          </w:p>
        </w:tc>
      </w:tr>
      <w:tr w14:paraId="0F672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4D952D3C">
            <w:pPr>
              <w:jc w:val="center"/>
              <w:rPr>
                <w:rFonts w:hint="eastAsia" w:ascii="Times New Roman" w:hAnsi="Times New Roman" w:eastAsia="DengXian" w:cs="Times New Roman"/>
                <w:color w:val="000000"/>
                <w:sz w:val="20"/>
                <w:szCs w:val="20"/>
                <w:lang w:val="en-US" w:eastAsia="zh-CN"/>
              </w:rPr>
            </w:pPr>
          </w:p>
        </w:tc>
        <w:tc>
          <w:tcPr>
            <w:tcW w:w="1053" w:type="pct"/>
            <w:shd w:val="clear" w:color="auto" w:fill="auto"/>
            <w:noWrap/>
            <w:vAlign w:val="center"/>
          </w:tcPr>
          <w:p w14:paraId="3336FB8F">
            <w:pPr>
              <w:jc w:val="center"/>
              <w:rPr>
                <w:rFonts w:hint="default" w:ascii="PingFang SC" w:hAnsi="PingFang SC" w:eastAsia="PingFang SC" w:cs="PingFang SC"/>
                <w:b/>
                <w:bCs/>
                <w:i w:val="0"/>
                <w:iCs w:val="0"/>
                <w:caps w:val="0"/>
                <w:spacing w:val="0"/>
                <w:sz w:val="24"/>
                <w:szCs w:val="24"/>
                <w:shd w:val="clear" w:fill="FFFFFF"/>
                <w:lang w:val="en-US"/>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-蓝</w:t>
            </w:r>
          </w:p>
        </w:tc>
        <w:tc>
          <w:tcPr>
            <w:tcW w:w="2757" w:type="pct"/>
            <w:shd w:val="clear" w:color="auto" w:fill="auto"/>
            <w:noWrap/>
            <w:vAlign w:val="center"/>
          </w:tcPr>
          <w:p w14:paraId="3F569ABD">
            <w:pPr>
              <w:jc w:val="center"/>
            </w:pPr>
            <w:r>
              <w:drawing>
                <wp:inline distT="0" distB="0" distL="114300" distR="114300">
                  <wp:extent cx="2846070" cy="1838325"/>
                  <wp:effectExtent l="0" t="0" r="3810"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2846070" cy="1838325"/>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325D97CC">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5D169420">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0.23</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6FFEECF7">
            <w:pPr>
              <w:widowControl/>
              <w:jc w:val="center"/>
              <w:textAlignment w:val="center"/>
              <w:rPr>
                <w:rFonts w:ascii="Times New Roman" w:hAnsi="Times New Roman" w:eastAsia="DengXian" w:cs="Times New Roman"/>
                <w:b/>
                <w:bCs/>
                <w:color w:val="000000"/>
                <w:sz w:val="20"/>
                <w:szCs w:val="20"/>
              </w:rPr>
            </w:pPr>
          </w:p>
        </w:tc>
      </w:tr>
      <w:tr w14:paraId="70A4A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5C2D83AF">
            <w:pPr>
              <w:jc w:val="center"/>
              <w:rPr>
                <w:rFonts w:hint="eastAsia" w:ascii="Times New Roman" w:hAnsi="Times New Roman" w:eastAsia="DengXian" w:cs="Times New Roman"/>
                <w:color w:val="000000"/>
                <w:sz w:val="20"/>
                <w:szCs w:val="20"/>
                <w:lang w:val="en-US" w:eastAsia="zh-CN"/>
              </w:rPr>
            </w:pPr>
          </w:p>
        </w:tc>
        <w:tc>
          <w:tcPr>
            <w:tcW w:w="1053" w:type="pct"/>
            <w:shd w:val="clear" w:color="auto" w:fill="auto"/>
            <w:noWrap/>
            <w:vAlign w:val="center"/>
          </w:tcPr>
          <w:p w14:paraId="5D614462">
            <w:pPr>
              <w:jc w:val="center"/>
              <w:rPr>
                <w:rFonts w:hint="default" w:ascii="PingFang SC" w:hAnsi="PingFang SC" w:eastAsia="PingFang SC" w:cs="PingFang SC"/>
                <w:b/>
                <w:bCs/>
                <w:i w:val="0"/>
                <w:iCs w:val="0"/>
                <w:caps w:val="0"/>
                <w:spacing w:val="0"/>
                <w:sz w:val="24"/>
                <w:szCs w:val="24"/>
                <w:shd w:val="clear" w:fill="FFFFFF"/>
                <w:lang w:val="en-US"/>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-白</w:t>
            </w:r>
          </w:p>
        </w:tc>
        <w:tc>
          <w:tcPr>
            <w:tcW w:w="2757" w:type="pct"/>
            <w:shd w:val="clear" w:color="auto" w:fill="auto"/>
            <w:noWrap/>
            <w:vAlign w:val="center"/>
          </w:tcPr>
          <w:p w14:paraId="189C78B3">
            <w:pPr>
              <w:jc w:val="center"/>
            </w:pPr>
            <w:r>
              <w:drawing>
                <wp:inline distT="0" distB="0" distL="114300" distR="114300">
                  <wp:extent cx="2842895" cy="1764665"/>
                  <wp:effectExtent l="0" t="0" r="6985" b="31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2842895" cy="1764665"/>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6CEA79DA">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2333A791">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0.28</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38C227A4">
            <w:pPr>
              <w:widowControl/>
              <w:jc w:val="center"/>
              <w:textAlignment w:val="center"/>
              <w:rPr>
                <w:rFonts w:ascii="Times New Roman" w:hAnsi="Times New Roman" w:eastAsia="DengXian" w:cs="Times New Roman"/>
                <w:b/>
                <w:bCs/>
                <w:color w:val="000000"/>
                <w:sz w:val="20"/>
                <w:szCs w:val="20"/>
              </w:rPr>
            </w:pPr>
          </w:p>
        </w:tc>
      </w:tr>
      <w:tr w14:paraId="489B7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vMerge w:val="continue"/>
            <w:tcBorders/>
            <w:shd w:val="clear" w:color="auto" w:fill="auto"/>
            <w:noWrap/>
            <w:vAlign w:val="center"/>
          </w:tcPr>
          <w:p w14:paraId="400C3150">
            <w:pPr>
              <w:jc w:val="center"/>
              <w:rPr>
                <w:rFonts w:hint="eastAsia" w:ascii="Times New Roman" w:hAnsi="Times New Roman" w:eastAsia="DengXian" w:cs="Times New Roman"/>
                <w:color w:val="000000"/>
                <w:sz w:val="20"/>
                <w:szCs w:val="20"/>
                <w:lang w:val="en-US" w:eastAsia="zh-CN"/>
              </w:rPr>
            </w:pPr>
          </w:p>
        </w:tc>
        <w:tc>
          <w:tcPr>
            <w:tcW w:w="1053" w:type="pct"/>
            <w:shd w:val="clear" w:color="auto" w:fill="auto"/>
            <w:noWrap/>
            <w:vAlign w:val="center"/>
          </w:tcPr>
          <w:p w14:paraId="2BC53CEC">
            <w:pPr>
              <w:jc w:val="center"/>
              <w:rPr>
                <w:rFonts w:hint="default" w:ascii="PingFang SC" w:hAnsi="PingFang SC" w:eastAsia="PingFang SC" w:cs="PingFang SC"/>
                <w:b/>
                <w:bCs/>
                <w:i w:val="0"/>
                <w:iCs w:val="0"/>
                <w:caps w:val="0"/>
                <w:spacing w:val="0"/>
                <w:sz w:val="24"/>
                <w:szCs w:val="24"/>
                <w:shd w:val="clear" w:fill="FFFFFF"/>
                <w:lang w:val="en-US"/>
              </w:rPr>
            </w:pPr>
            <w:r>
              <w:rPr>
                <w:rFonts w:ascii="PingFang SC" w:hAnsi="PingFang SC" w:eastAsia="PingFang SC" w:cs="PingFang SC"/>
                <w:b/>
                <w:bCs/>
                <w:i w:val="0"/>
                <w:iCs w:val="0"/>
                <w:caps w:val="0"/>
                <w:spacing w:val="0"/>
                <w:sz w:val="24"/>
                <w:szCs w:val="24"/>
                <w:shd w:val="clear" w:fill="FFFFFF"/>
              </w:rPr>
              <w:t>发光二极管LED灯泡</w:t>
            </w:r>
            <w:r>
              <w:rPr>
                <w:rFonts w:hint="eastAsia" w:ascii="PingFang SC" w:hAnsi="PingFang SC" w:eastAsia="SimSun" w:cs="PingFang SC"/>
                <w:b/>
                <w:bCs/>
                <w:i w:val="0"/>
                <w:iCs w:val="0"/>
                <w:caps w:val="0"/>
                <w:spacing w:val="0"/>
                <w:sz w:val="24"/>
                <w:szCs w:val="24"/>
                <w:shd w:val="clear" w:fill="FFFFFF"/>
                <w:lang w:val="en-US" w:eastAsia="zh-CN"/>
              </w:rPr>
              <w:t>-透明</w:t>
            </w:r>
          </w:p>
        </w:tc>
        <w:tc>
          <w:tcPr>
            <w:tcW w:w="2757" w:type="pct"/>
            <w:shd w:val="clear" w:color="auto" w:fill="auto"/>
            <w:noWrap/>
            <w:vAlign w:val="center"/>
          </w:tcPr>
          <w:p w14:paraId="24473566">
            <w:pPr>
              <w:jc w:val="center"/>
            </w:pPr>
            <w:r>
              <w:drawing>
                <wp:inline distT="0" distB="0" distL="114300" distR="114300">
                  <wp:extent cx="2847340" cy="2020570"/>
                  <wp:effectExtent l="0" t="0" r="254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2847340" cy="202057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1039B758">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5040745A">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0.301</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398516EF">
            <w:pPr>
              <w:widowControl/>
              <w:jc w:val="center"/>
              <w:textAlignment w:val="center"/>
              <w:rPr>
                <w:rFonts w:ascii="Times New Roman" w:hAnsi="Times New Roman" w:eastAsia="DengXian" w:cs="Times New Roman"/>
                <w:b/>
                <w:bCs/>
                <w:color w:val="000000"/>
                <w:sz w:val="20"/>
                <w:szCs w:val="20"/>
              </w:rPr>
            </w:pPr>
          </w:p>
        </w:tc>
      </w:tr>
      <w:tr w14:paraId="20A09F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tcBorders/>
            <w:shd w:val="clear" w:color="auto" w:fill="auto"/>
            <w:noWrap/>
            <w:vAlign w:val="center"/>
          </w:tcPr>
          <w:p w14:paraId="065F7B60">
            <w:pPr>
              <w:jc w:val="both"/>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USB串口线</w:t>
            </w:r>
          </w:p>
        </w:tc>
        <w:tc>
          <w:tcPr>
            <w:tcW w:w="1053" w:type="pct"/>
            <w:shd w:val="clear" w:color="auto" w:fill="auto"/>
            <w:noWrap/>
            <w:vAlign w:val="center"/>
          </w:tcPr>
          <w:p w14:paraId="02735927">
            <w:pPr>
              <w:jc w:val="center"/>
              <w:rPr>
                <w:rFonts w:ascii="PingFang SC" w:hAnsi="PingFang SC" w:eastAsia="PingFang SC" w:cs="PingFang SC"/>
                <w:b/>
                <w:bCs/>
                <w:i w:val="0"/>
                <w:iCs w:val="0"/>
                <w:caps w:val="0"/>
                <w:spacing w:val="0"/>
                <w:sz w:val="24"/>
                <w:szCs w:val="24"/>
                <w:shd w:val="clear" w:fill="FFFFFF"/>
              </w:rPr>
            </w:pPr>
            <w:r>
              <w:rPr>
                <w:rFonts w:ascii="PingFang SC" w:hAnsi="PingFang SC" w:eastAsia="PingFang SC" w:cs="PingFang SC"/>
                <w:b/>
                <w:bCs/>
                <w:i w:val="0"/>
                <w:iCs w:val="0"/>
                <w:caps w:val="0"/>
                <w:spacing w:val="0"/>
                <w:sz w:val="24"/>
                <w:szCs w:val="24"/>
                <w:shd w:val="clear" w:fill="FFFFFF"/>
              </w:rPr>
              <w:t>山泽usb转rs232串口线</w:t>
            </w:r>
          </w:p>
        </w:tc>
        <w:tc>
          <w:tcPr>
            <w:tcW w:w="2757" w:type="pct"/>
            <w:shd w:val="clear" w:color="auto" w:fill="auto"/>
            <w:noWrap/>
            <w:vAlign w:val="center"/>
          </w:tcPr>
          <w:p w14:paraId="1050FB93">
            <w:pPr>
              <w:jc w:val="center"/>
            </w:pPr>
            <w:r>
              <w:drawing>
                <wp:inline distT="0" distB="0" distL="114300" distR="114300">
                  <wp:extent cx="2846070" cy="2372360"/>
                  <wp:effectExtent l="0" t="0" r="3810" b="508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2846070" cy="237236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4F5766CE">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2</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205A88AB">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24.91</w:t>
            </w:r>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4AB1F5E7">
            <w:pPr>
              <w:widowControl/>
              <w:jc w:val="center"/>
              <w:textAlignment w:val="center"/>
              <w:rPr>
                <w:rFonts w:ascii="Times New Roman" w:hAnsi="Times New Roman" w:eastAsia="DengXian" w:cs="Times New Roman"/>
                <w:b/>
                <w:bCs/>
                <w:color w:val="000000"/>
                <w:sz w:val="20"/>
                <w:szCs w:val="20"/>
              </w:rPr>
            </w:pPr>
          </w:p>
        </w:tc>
      </w:tr>
      <w:tr w14:paraId="64349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0" w:type="pct"/>
            <w:tcBorders/>
            <w:shd w:val="clear" w:color="auto" w:fill="auto"/>
            <w:noWrap/>
            <w:vAlign w:val="center"/>
          </w:tcPr>
          <w:p w14:paraId="215A8F7E">
            <w:pPr>
              <w:jc w:val="both"/>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电阻</w:t>
            </w:r>
          </w:p>
        </w:tc>
        <w:tc>
          <w:tcPr>
            <w:tcW w:w="1053" w:type="pct"/>
            <w:shd w:val="clear" w:color="auto" w:fill="auto"/>
            <w:noWrap/>
            <w:vAlign w:val="center"/>
          </w:tcPr>
          <w:p w14:paraId="67421864">
            <w:pPr>
              <w:jc w:val="center"/>
              <w:rPr>
                <w:rFonts w:hint="default" w:ascii="PingFang SC" w:hAnsi="PingFang SC" w:eastAsia="SimSun" w:cs="PingFang SC"/>
                <w:b/>
                <w:bCs/>
                <w:i w:val="0"/>
                <w:iCs w:val="0"/>
                <w:caps w:val="0"/>
                <w:spacing w:val="0"/>
                <w:sz w:val="24"/>
                <w:szCs w:val="24"/>
                <w:shd w:val="clear" w:fill="FFFFFF"/>
                <w:lang w:val="en-US" w:eastAsia="zh-CN"/>
              </w:rPr>
            </w:pPr>
            <w:r>
              <w:rPr>
                <w:rFonts w:ascii="PingFang SC" w:hAnsi="PingFang SC" w:eastAsia="PingFang SC" w:cs="PingFang SC"/>
                <w:b/>
                <w:bCs/>
                <w:i w:val="0"/>
                <w:iCs w:val="0"/>
                <w:caps w:val="0"/>
                <w:spacing w:val="0"/>
                <w:sz w:val="24"/>
                <w:szCs w:val="24"/>
                <w:shd w:val="clear" w:fill="FFFFFF"/>
              </w:rPr>
              <w:t>1/4W碳膜电阻</w:t>
            </w:r>
            <w:r>
              <w:rPr>
                <w:rFonts w:hint="eastAsia" w:ascii="PingFang SC" w:hAnsi="PingFang SC" w:eastAsia="SimSun" w:cs="PingFang SC"/>
                <w:b/>
                <w:bCs/>
                <w:i w:val="0"/>
                <w:iCs w:val="0"/>
                <w:caps w:val="0"/>
                <w:spacing w:val="0"/>
                <w:sz w:val="24"/>
                <w:szCs w:val="24"/>
                <w:shd w:val="clear" w:fill="FFFFFF"/>
                <w:lang w:val="en-US" w:eastAsia="zh-CN"/>
              </w:rPr>
              <w:t xml:space="preserve"> 100R</w:t>
            </w:r>
          </w:p>
        </w:tc>
        <w:tc>
          <w:tcPr>
            <w:tcW w:w="2757" w:type="pct"/>
            <w:shd w:val="clear" w:color="auto" w:fill="auto"/>
            <w:noWrap/>
            <w:vAlign w:val="center"/>
          </w:tcPr>
          <w:p w14:paraId="7541EE00">
            <w:pPr>
              <w:jc w:val="center"/>
            </w:pPr>
            <w:r>
              <w:drawing>
                <wp:inline distT="0" distB="0" distL="114300" distR="114300">
                  <wp:extent cx="2847340" cy="1826260"/>
                  <wp:effectExtent l="0" t="0" r="2540" b="254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6"/>
                          <a:stretch>
                            <a:fillRect/>
                          </a:stretch>
                        </pic:blipFill>
                        <pic:spPr>
                          <a:xfrm>
                            <a:off x="0" y="0"/>
                            <a:ext cx="2847340" cy="1826260"/>
                          </a:xfrm>
                          <a:prstGeom prst="rect">
                            <a:avLst/>
                          </a:prstGeom>
                          <a:noFill/>
                          <a:ln>
                            <a:noFill/>
                          </a:ln>
                        </pic:spPr>
                      </pic:pic>
                    </a:graphicData>
                  </a:graphic>
                </wp:inline>
              </w:drawing>
            </w:r>
          </w:p>
        </w:tc>
        <w:tc>
          <w:tcPr>
            <w:tcW w:w="238" w:type="pct"/>
            <w:tcBorders>
              <w:right w:val="single" w:color="auto" w:sz="4" w:space="0"/>
            </w:tcBorders>
            <w:shd w:val="clear" w:color="auto" w:fill="auto"/>
            <w:noWrap/>
            <w:vAlign w:val="center"/>
          </w:tcPr>
          <w:p w14:paraId="5B2E183D">
            <w:pPr>
              <w:jc w:val="center"/>
              <w:rPr>
                <w:rFonts w:hint="default" w:ascii="Times New Roman" w:hAnsi="Times New Roman" w:eastAsia="DengXian" w:cs="Times New Roman"/>
                <w:color w:val="000000"/>
                <w:sz w:val="20"/>
                <w:szCs w:val="20"/>
                <w:lang w:val="en-US" w:eastAsia="zh-CN"/>
              </w:rPr>
            </w:pPr>
            <w:r>
              <w:rPr>
                <w:rFonts w:hint="eastAsia" w:ascii="Times New Roman" w:hAnsi="Times New Roman" w:eastAsia="DengXian" w:cs="Times New Roman"/>
                <w:color w:val="000000"/>
                <w:sz w:val="20"/>
                <w:szCs w:val="20"/>
                <w:lang w:val="en-US" w:eastAsia="zh-CN"/>
              </w:rPr>
              <w:t>1000</w:t>
            </w:r>
          </w:p>
        </w:tc>
        <w:tc>
          <w:tcPr>
            <w:tcW w:w="461"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3D0C0E27">
            <w:pPr>
              <w:widowControl/>
              <w:jc w:val="center"/>
              <w:textAlignment w:val="center"/>
              <w:rPr>
                <w:rStyle w:val="9"/>
                <w:rFonts w:hint="default" w:ascii="Times New Roman" w:hAnsi="Times New Roman" w:eastAsia="SimSun" w:cs="Times New Roman"/>
                <w:lang w:val="en-US" w:eastAsia="zh-CN" w:bidi="ar"/>
              </w:rPr>
            </w:pPr>
            <w:r>
              <w:rPr>
                <w:rStyle w:val="9"/>
                <w:rFonts w:hint="eastAsia" w:ascii="Times New Roman" w:hAnsi="Times New Roman" w:eastAsia="SimSun" w:cs="Times New Roman"/>
                <w:lang w:val="en-US" w:eastAsia="zh-CN" w:bidi="ar"/>
              </w:rPr>
              <w:t>0.19</w:t>
            </w:r>
            <w:bookmarkStart w:id="5" w:name="_GoBack"/>
            <w:bookmarkEnd w:id="5"/>
          </w:p>
        </w:tc>
        <w:tc>
          <w:tcPr>
            <w:tcW w:w="349" w:type="pct"/>
            <w:tcBorders>
              <w:top w:val="single" w:color="auto" w:sz="4" w:space="0"/>
              <w:left w:val="single" w:color="auto" w:sz="4" w:space="0"/>
              <w:bottom w:val="single" w:color="auto" w:sz="4" w:space="0"/>
              <w:right w:val="single" w:color="auto" w:sz="4" w:space="0"/>
            </w:tcBorders>
            <w:shd w:val="clear" w:color="auto" w:fill="FFFFFF" w:themeFill="background1"/>
            <w:noWrap/>
            <w:vAlign w:val="center"/>
          </w:tcPr>
          <w:p w14:paraId="7C267280">
            <w:pPr>
              <w:widowControl/>
              <w:jc w:val="center"/>
              <w:textAlignment w:val="center"/>
              <w:rPr>
                <w:rFonts w:ascii="Times New Roman" w:hAnsi="Times New Roman" w:eastAsia="DengXian" w:cs="Times New Roman"/>
                <w:b/>
                <w:bCs/>
                <w:color w:val="000000"/>
                <w:sz w:val="20"/>
                <w:szCs w:val="20"/>
              </w:rPr>
            </w:pPr>
          </w:p>
        </w:tc>
      </w:tr>
    </w:tbl>
    <w:p w14:paraId="5C8184E4">
      <w:pPr>
        <w:pStyle w:val="7"/>
        <w:spacing w:line="560" w:lineRule="exact"/>
        <w:ind w:firstLine="0" w:firstLineChars="0"/>
        <w:rPr>
          <w:rFonts w:ascii="仿宋_GB2312" w:hAnsi="华文仿宋" w:eastAsia="仿宋_GB2312" w:cs="Calibri"/>
          <w:sz w:val="32"/>
          <w:szCs w:val="32"/>
        </w:rPr>
      </w:pPr>
    </w:p>
    <w:p w14:paraId="469FC4BC">
      <w:pPr>
        <w:pStyle w:val="7"/>
        <w:spacing w:line="560" w:lineRule="exact"/>
        <w:ind w:firstLine="0" w:firstLineChars="0"/>
        <w:rPr>
          <w:rFonts w:ascii="仿宋_GB2312" w:hAnsi="华文仿宋" w:eastAsia="仿宋_GB2312" w:cs="Calibri"/>
          <w:sz w:val="32"/>
          <w:szCs w:val="32"/>
        </w:rPr>
      </w:pPr>
    </w:p>
    <w:p w14:paraId="7A4B3B7B">
      <w:pPr>
        <w:pStyle w:val="7"/>
        <w:spacing w:line="560" w:lineRule="exact"/>
        <w:ind w:firstLine="0" w:firstLineChars="0"/>
        <w:rPr>
          <w:rFonts w:ascii="仿宋_GB2312" w:hAnsi="华文仿宋" w:eastAsia="仿宋_GB2312" w:cs="Calibri"/>
          <w:sz w:val="32"/>
          <w:szCs w:val="32"/>
        </w:rPr>
      </w:pPr>
    </w:p>
    <w:p w14:paraId="3335E00F">
      <w:pPr>
        <w:pStyle w:val="7"/>
        <w:spacing w:line="560" w:lineRule="exact"/>
        <w:ind w:firstLine="0" w:firstLineChars="0"/>
        <w:rPr>
          <w:rFonts w:ascii="仿宋_GB2312" w:hAnsi="华文仿宋" w:eastAsia="仿宋_GB2312" w:cs="Calibri"/>
          <w:sz w:val="32"/>
          <w:szCs w:val="32"/>
        </w:rPr>
      </w:pPr>
    </w:p>
    <w:p w14:paraId="34E17B63">
      <w:pPr>
        <w:pStyle w:val="7"/>
        <w:spacing w:line="560" w:lineRule="exact"/>
        <w:ind w:firstLine="0" w:firstLineChars="0"/>
        <w:rPr>
          <w:rFonts w:ascii="仿宋_GB2312" w:hAnsi="华文仿宋" w:eastAsia="仿宋_GB2312" w:cs="Calibri"/>
          <w:sz w:val="32"/>
          <w:szCs w:val="32"/>
        </w:rPr>
      </w:pPr>
    </w:p>
    <w:p w14:paraId="494759EF">
      <w:pPr>
        <w:pStyle w:val="7"/>
        <w:spacing w:line="560" w:lineRule="exact"/>
        <w:ind w:firstLine="0" w:firstLineChars="0"/>
        <w:rPr>
          <w:rFonts w:ascii="仿宋_GB2312" w:hAnsi="华文仿宋" w:eastAsia="仿宋_GB2312" w:cs="Calibri"/>
          <w:sz w:val="32"/>
          <w:szCs w:val="32"/>
        </w:rPr>
      </w:pPr>
    </w:p>
    <w:p w14:paraId="5151FEEA">
      <w:pPr>
        <w:pStyle w:val="7"/>
        <w:spacing w:line="560" w:lineRule="exact"/>
        <w:ind w:firstLine="0" w:firstLineChars="0"/>
        <w:rPr>
          <w:rFonts w:ascii="仿宋_GB2312" w:hAnsi="华文仿宋" w:eastAsia="仿宋_GB2312" w:cs="Calibri"/>
          <w:sz w:val="32"/>
          <w:szCs w:val="32"/>
        </w:rPr>
      </w:pPr>
    </w:p>
    <w:p w14:paraId="0CA6E7E5">
      <w:pPr>
        <w:pStyle w:val="7"/>
        <w:spacing w:line="560" w:lineRule="exact"/>
        <w:ind w:firstLine="0" w:firstLineChars="0"/>
        <w:rPr>
          <w:rFonts w:ascii="仿宋_GB2312" w:hAnsi="华文仿宋" w:eastAsia="仿宋_GB2312" w:cs="Calibri"/>
          <w:sz w:val="32"/>
          <w:szCs w:val="32"/>
        </w:rPr>
      </w:pPr>
      <w:r>
        <w:rPr>
          <w:rFonts w:hint="eastAsia" w:ascii="仿宋_GB2312" w:hAnsi="华文仿宋" w:eastAsia="仿宋_GB2312" w:cs="Calibri"/>
          <w:sz w:val="32"/>
          <w:szCs w:val="32"/>
        </w:rPr>
        <w:t>附件2</w:t>
      </w:r>
    </w:p>
    <w:p w14:paraId="7A1B04F2">
      <w:pPr>
        <w:spacing w:line="560" w:lineRule="exact"/>
        <w:jc w:val="center"/>
        <w:rPr>
          <w:rFonts w:ascii="仿宋_GB2312" w:hAnsi="华文仿宋" w:eastAsia="仿宋_GB2312" w:cs="Calibri"/>
          <w:sz w:val="32"/>
          <w:szCs w:val="32"/>
        </w:rPr>
      </w:pPr>
      <w:r>
        <w:rPr>
          <w:rFonts w:hint="eastAsia" w:ascii="仿宋_GB2312" w:hAnsi="华文仿宋" w:eastAsia="仿宋_GB2312" w:cs="Calibri"/>
          <w:sz w:val="32"/>
          <w:szCs w:val="32"/>
        </w:rPr>
        <w:t>北京邮电大学玛丽女王海南学院</w:t>
      </w:r>
      <w:r>
        <w:rPr>
          <w:rFonts w:ascii="仿宋_GB2312" w:hAnsi="华文仿宋" w:eastAsia="仿宋_GB2312" w:cs="Calibri"/>
          <w:sz w:val="32"/>
          <w:szCs w:val="32"/>
        </w:rPr>
        <w:t>2025年</w:t>
      </w:r>
      <w:r>
        <w:rPr>
          <w:rFonts w:hint="eastAsia" w:ascii="仿宋_GB2312" w:hAnsi="华文仿宋" w:eastAsia="仿宋_GB2312" w:cs="Calibri"/>
          <w:sz w:val="32"/>
          <w:szCs w:val="32"/>
        </w:rPr>
        <w:t>秋季学期数字媒体技术专业《数字影像基础》、《</w:t>
      </w:r>
      <w:r>
        <w:rPr>
          <w:rFonts w:hint="eastAsia" w:ascii="仿宋_GB2312" w:hAnsi="仿宋_GB2312" w:eastAsia="仿宋_GB2312" w:cs="FangSong"/>
          <w:sz w:val="32"/>
          <w:szCs w:val="32"/>
        </w:rPr>
        <w:t>镜头语言设计》</w:t>
      </w:r>
      <w:r>
        <w:rPr>
          <w:rFonts w:hint="eastAsia" w:ascii="仿宋_GB2312" w:hAnsi="华文仿宋" w:eastAsia="仿宋_GB2312" w:cs="Calibri"/>
          <w:sz w:val="32"/>
          <w:szCs w:val="32"/>
        </w:rPr>
        <w:t>课程购置设备预算表（</w:t>
      </w:r>
      <w:bookmarkStart w:id="4" w:name="OLE_LINK5"/>
      <w:r>
        <w:rPr>
          <w:rFonts w:hint="eastAsia" w:ascii="仿宋_GB2312" w:hAnsi="华文仿宋" w:eastAsia="仿宋_GB2312" w:cs="Calibri"/>
          <w:sz w:val="32"/>
          <w:szCs w:val="32"/>
        </w:rPr>
        <w:t>相关设备价格来自京东商城</w:t>
      </w:r>
      <w:bookmarkEnd w:id="4"/>
      <w:r>
        <w:rPr>
          <w:rFonts w:hint="eastAsia" w:ascii="仿宋_GB2312" w:hAnsi="华文仿宋" w:eastAsia="仿宋_GB2312" w:cs="Calibri"/>
          <w:sz w:val="32"/>
          <w:szCs w:val="32"/>
        </w:rPr>
        <w:t>）</w:t>
      </w:r>
    </w:p>
    <w:tbl>
      <w:tblPr>
        <w:tblStyle w:val="4"/>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
        <w:gridCol w:w="768"/>
        <w:gridCol w:w="2182"/>
        <w:gridCol w:w="1119"/>
        <w:gridCol w:w="836"/>
        <w:gridCol w:w="1046"/>
        <w:gridCol w:w="2010"/>
      </w:tblGrid>
      <w:tr w14:paraId="51788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shd w:val="clear" w:color="auto" w:fill="auto"/>
            <w:vAlign w:val="center"/>
          </w:tcPr>
          <w:p w14:paraId="7999A010">
            <w:pPr>
              <w:jc w:val="center"/>
              <w:rPr>
                <w:rFonts w:ascii="Times New Roman" w:hAnsi="Times New Roman" w:eastAsia="DengXian" w:cs="Times New Roman"/>
                <w:b/>
                <w:bCs/>
                <w:color w:val="000000"/>
                <w:sz w:val="24"/>
                <w:szCs w:val="24"/>
              </w:rPr>
            </w:pPr>
          </w:p>
          <w:p w14:paraId="159E723D">
            <w:pPr>
              <w:jc w:val="center"/>
              <w:rPr>
                <w:rFonts w:ascii="Times New Roman" w:hAnsi="Times New Roman" w:eastAsia="DengXian" w:cs="Times New Roman"/>
                <w:b/>
                <w:bCs/>
                <w:color w:val="000000"/>
                <w:sz w:val="24"/>
                <w:szCs w:val="24"/>
              </w:rPr>
            </w:pPr>
          </w:p>
        </w:tc>
        <w:tc>
          <w:tcPr>
            <w:tcW w:w="450" w:type="pct"/>
            <w:shd w:val="clear" w:color="auto" w:fill="auto"/>
            <w:vAlign w:val="center"/>
          </w:tcPr>
          <w:p w14:paraId="7A913B57">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名称</w:t>
            </w:r>
          </w:p>
        </w:tc>
        <w:tc>
          <w:tcPr>
            <w:tcW w:w="1281" w:type="pct"/>
            <w:shd w:val="clear" w:color="auto" w:fill="auto"/>
            <w:vAlign w:val="center"/>
          </w:tcPr>
          <w:p w14:paraId="309E66C0">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参数</w:t>
            </w:r>
          </w:p>
        </w:tc>
        <w:tc>
          <w:tcPr>
            <w:tcW w:w="657" w:type="pct"/>
            <w:shd w:val="clear" w:color="auto" w:fill="auto"/>
            <w:vAlign w:val="center"/>
          </w:tcPr>
          <w:p w14:paraId="47D8AE30">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数量</w:t>
            </w:r>
          </w:p>
        </w:tc>
        <w:tc>
          <w:tcPr>
            <w:tcW w:w="491" w:type="pct"/>
            <w:shd w:val="clear" w:color="auto" w:fill="auto"/>
            <w:vAlign w:val="center"/>
          </w:tcPr>
          <w:p w14:paraId="5E9F4A7E">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单价（元）</w:t>
            </w:r>
          </w:p>
        </w:tc>
        <w:tc>
          <w:tcPr>
            <w:tcW w:w="614" w:type="pct"/>
            <w:shd w:val="clear" w:color="auto" w:fill="auto"/>
            <w:vAlign w:val="center"/>
          </w:tcPr>
          <w:p w14:paraId="1FF9A28F">
            <w:pPr>
              <w:widowControl/>
              <w:jc w:val="center"/>
              <w:textAlignment w:val="center"/>
              <w:rPr>
                <w:rFonts w:ascii="Times New Roman" w:hAnsi="Times New Roman" w:eastAsia="DengXian" w:cs="Times New Roman"/>
                <w:b/>
                <w:bCs/>
                <w:color w:val="000000"/>
                <w:sz w:val="24"/>
                <w:szCs w:val="24"/>
              </w:rPr>
            </w:pPr>
            <w:r>
              <w:rPr>
                <w:rStyle w:val="8"/>
                <w:rFonts w:hint="default" w:ascii="Times New Roman" w:hAnsi="Times New Roman" w:cs="Times New Roman"/>
                <w:lang w:bidi="ar"/>
              </w:rPr>
              <w:t>金额（万元）</w:t>
            </w:r>
          </w:p>
        </w:tc>
        <w:tc>
          <w:tcPr>
            <w:tcW w:w="1178" w:type="pct"/>
            <w:shd w:val="clear" w:color="auto" w:fill="auto"/>
            <w:vAlign w:val="center"/>
          </w:tcPr>
          <w:p w14:paraId="46DE192C">
            <w:pPr>
              <w:widowControl/>
              <w:jc w:val="center"/>
              <w:textAlignment w:val="center"/>
              <w:rPr>
                <w:rStyle w:val="8"/>
                <w:rFonts w:hint="default" w:ascii="Times New Roman" w:hAnsi="Times New Roman" w:cs="Times New Roman"/>
                <w:lang w:bidi="ar"/>
              </w:rPr>
            </w:pPr>
            <w:r>
              <w:rPr>
                <w:rFonts w:hint="eastAsia" w:ascii="SimSun" w:hAnsi="SimSun" w:eastAsia="SimSun" w:cs="SimSun"/>
                <w:color w:val="000000"/>
                <w:kern w:val="0"/>
                <w:sz w:val="22"/>
                <w:lang w:bidi="ar"/>
              </w:rPr>
              <w:t>备注</w:t>
            </w:r>
          </w:p>
        </w:tc>
      </w:tr>
      <w:tr w14:paraId="52A6B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vMerge w:val="restart"/>
            <w:shd w:val="clear" w:color="auto" w:fill="auto"/>
            <w:vAlign w:val="center"/>
          </w:tcPr>
          <w:p w14:paraId="1743A50D">
            <w:pPr>
              <w:widowControl/>
              <w:jc w:val="center"/>
              <w:textAlignment w:val="center"/>
              <w:rPr>
                <w:rFonts w:ascii="Times New Roman" w:hAnsi="Times New Roman" w:eastAsia="DengXian" w:cs="Times New Roman"/>
                <w:color w:val="000000"/>
                <w:sz w:val="22"/>
              </w:rPr>
            </w:pPr>
            <w:r>
              <w:rPr>
                <w:rFonts w:hint="eastAsia" w:ascii="Times New Roman" w:hAnsi="Times New Roman" w:eastAsia="DengXian" w:cs="Times New Roman"/>
                <w:color w:val="000000"/>
                <w:sz w:val="22"/>
              </w:rPr>
              <w:t>摄影摄像</w:t>
            </w:r>
          </w:p>
          <w:p w14:paraId="191FAD3B">
            <w:pPr>
              <w:widowControl/>
              <w:jc w:val="center"/>
              <w:textAlignment w:val="center"/>
              <w:rPr>
                <w:rFonts w:ascii="Times New Roman" w:hAnsi="Times New Roman" w:eastAsia="DengXian" w:cs="Times New Roman"/>
                <w:color w:val="000000"/>
                <w:sz w:val="22"/>
              </w:rPr>
            </w:pPr>
            <w:r>
              <w:rPr>
                <w:rFonts w:hint="eastAsia" w:ascii="Times New Roman" w:hAnsi="Times New Roman" w:eastAsia="DengXian" w:cs="Times New Roman"/>
                <w:color w:val="000000"/>
                <w:sz w:val="22"/>
              </w:rPr>
              <w:t>教学设备</w:t>
            </w:r>
          </w:p>
        </w:tc>
        <w:tc>
          <w:tcPr>
            <w:tcW w:w="450" w:type="pct"/>
            <w:shd w:val="clear" w:color="auto" w:fill="auto"/>
            <w:vAlign w:val="center"/>
          </w:tcPr>
          <w:p w14:paraId="6F456B2D">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佳能EOS R100</w:t>
            </w:r>
          </w:p>
          <w:p w14:paraId="552D86C5">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RF-S 18-45 STM</w:t>
            </w:r>
          </w:p>
          <w:p w14:paraId="4E982349">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套机</w:t>
            </w:r>
          </w:p>
          <w:p w14:paraId="3D8E7AB1">
            <w:pPr>
              <w:widowControl/>
              <w:jc w:val="left"/>
            </w:pPr>
            <w:r>
              <w:rPr>
                <w:rFonts w:hint="eastAsia" w:ascii="SimSun" w:hAnsi="SimSun" w:eastAsia="SimSun" w:cs="SimSun"/>
                <w:color w:val="000000"/>
                <w:sz w:val="22"/>
                <w:lang w:bidi="ar"/>
              </w:rPr>
              <w:t>镜头广角到标准</w:t>
            </w:r>
          </w:p>
          <w:p w14:paraId="1E05A39B">
            <w:pPr>
              <w:widowControl/>
              <w:jc w:val="center"/>
              <w:textAlignment w:val="center"/>
              <w:rPr>
                <w:rFonts w:ascii="Times New Roman" w:hAnsi="Times New Roman" w:eastAsia="SimSun" w:cs="Times New Roman"/>
                <w:color w:val="000000"/>
                <w:sz w:val="22"/>
              </w:rPr>
            </w:pPr>
          </w:p>
        </w:tc>
        <w:tc>
          <w:tcPr>
            <w:tcW w:w="1281" w:type="pct"/>
            <w:shd w:val="clear" w:color="auto" w:fill="auto"/>
            <w:vAlign w:val="center"/>
          </w:tcPr>
          <w:p w14:paraId="596239D7">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R100 18-45 STM</w:t>
            </w:r>
          </w:p>
          <w:p w14:paraId="2851C05A">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套机</w:t>
            </w:r>
          </w:p>
          <w:p w14:paraId="634D0EF7">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drawing>
                <wp:inline distT="0" distB="0" distL="114300" distR="114300">
                  <wp:extent cx="1246505" cy="778510"/>
                  <wp:effectExtent l="0" t="0" r="23495" b="8890"/>
                  <wp:docPr id="2" name="图片 2" descr="04f048e299102f49f2bbbec851f58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4f048e299102f49f2bbbec851f587e4"/>
                          <pic:cNvPicPr>
                            <a:picLocks noChangeAspect="1"/>
                          </pic:cNvPicPr>
                        </pic:nvPicPr>
                        <pic:blipFill>
                          <a:blip r:embed="rId17"/>
                          <a:stretch>
                            <a:fillRect/>
                          </a:stretch>
                        </pic:blipFill>
                        <pic:spPr>
                          <a:xfrm>
                            <a:off x="0" y="0"/>
                            <a:ext cx="1246505" cy="778510"/>
                          </a:xfrm>
                          <a:prstGeom prst="rect">
                            <a:avLst/>
                          </a:prstGeom>
                          <a:noFill/>
                          <a:ln>
                            <a:noFill/>
                          </a:ln>
                        </pic:spPr>
                      </pic:pic>
                    </a:graphicData>
                  </a:graphic>
                </wp:inline>
              </w:drawing>
            </w:r>
          </w:p>
          <w:p w14:paraId="1E440481">
            <w:pPr>
              <w:widowControl/>
              <w:jc w:val="center"/>
              <w:rPr>
                <w:rFonts w:ascii="Times New Roman" w:hAnsi="Times New Roman" w:eastAsia="DengXian" w:cs="Times New Roman"/>
                <w:color w:val="000000"/>
                <w:kern w:val="0"/>
                <w:sz w:val="22"/>
              </w:rPr>
            </w:pPr>
          </w:p>
        </w:tc>
        <w:tc>
          <w:tcPr>
            <w:tcW w:w="657" w:type="pct"/>
            <w:shd w:val="clear" w:color="auto" w:fill="auto"/>
            <w:vAlign w:val="center"/>
          </w:tcPr>
          <w:p w14:paraId="326D9C7C">
            <w:pPr>
              <w:widowControl/>
              <w:jc w:val="center"/>
              <w:textAlignment w:val="center"/>
              <w:rPr>
                <w:rFonts w:ascii="Times New Roman" w:hAnsi="Times New Roman" w:eastAsia="DengXian" w:cs="Times New Roman"/>
                <w:color w:val="000000"/>
                <w:kern w:val="0"/>
                <w:sz w:val="22"/>
                <w:lang w:bidi="ar"/>
              </w:rPr>
            </w:pPr>
            <w:r>
              <w:rPr>
                <w:rFonts w:hint="eastAsia" w:ascii="Times New Roman" w:hAnsi="Times New Roman" w:eastAsia="DengXian" w:cs="Times New Roman"/>
                <w:color w:val="000000"/>
                <w:kern w:val="0"/>
                <w:sz w:val="22"/>
                <w:lang w:bidi="ar"/>
              </w:rPr>
              <w:t>2</w:t>
            </w:r>
          </w:p>
        </w:tc>
        <w:tc>
          <w:tcPr>
            <w:tcW w:w="491" w:type="pct"/>
            <w:shd w:val="clear" w:color="auto" w:fill="auto"/>
            <w:vAlign w:val="center"/>
          </w:tcPr>
          <w:p w14:paraId="32190FCC">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eastAsia="SimSun" w:cs="Times New Roman"/>
                <w:color w:val="000000"/>
                <w:sz w:val="22"/>
                <w:lang w:bidi="ar"/>
              </w:rPr>
              <w:t>3999</w:t>
            </w:r>
          </w:p>
        </w:tc>
        <w:tc>
          <w:tcPr>
            <w:tcW w:w="614" w:type="pct"/>
            <w:shd w:val="clear" w:color="auto" w:fill="auto"/>
            <w:vAlign w:val="center"/>
          </w:tcPr>
          <w:p w14:paraId="067FDB48">
            <w:pPr>
              <w:widowControl/>
              <w:jc w:val="center"/>
              <w:textAlignment w:val="center"/>
              <w:rPr>
                <w:rFonts w:ascii="Times New Roman" w:hAnsi="Times New Roman" w:eastAsia="DengXian" w:cs="Times New Roman"/>
                <w:color w:val="000000"/>
                <w:kern w:val="0"/>
                <w:sz w:val="22"/>
                <w:lang w:bidi="ar"/>
              </w:rPr>
            </w:pPr>
            <w:r>
              <w:rPr>
                <w:rFonts w:hint="eastAsia" w:ascii="Times New Roman" w:hAnsi="Times New Roman" w:eastAsia="SimSun" w:cs="Times New Roman"/>
                <w:color w:val="000000"/>
                <w:sz w:val="22"/>
                <w:lang w:bidi="ar"/>
              </w:rPr>
              <w:t>0.</w:t>
            </w:r>
            <w:r>
              <w:rPr>
                <w:rFonts w:ascii="Times New Roman" w:hAnsi="Times New Roman" w:eastAsia="SimSun" w:cs="Times New Roman"/>
                <w:color w:val="000000"/>
                <w:sz w:val="22"/>
                <w:lang w:bidi="ar"/>
              </w:rPr>
              <w:t>7998</w:t>
            </w:r>
          </w:p>
        </w:tc>
        <w:tc>
          <w:tcPr>
            <w:tcW w:w="1178" w:type="pct"/>
            <w:shd w:val="clear" w:color="auto" w:fill="auto"/>
            <w:vAlign w:val="center"/>
          </w:tcPr>
          <w:p w14:paraId="720C0849">
            <w:pPr>
              <w:widowControl/>
              <w:jc w:val="center"/>
              <w:textAlignment w:val="center"/>
              <w:rPr>
                <w:rFonts w:ascii="Times New Roman" w:hAnsi="Times New Roman" w:eastAsia="SimSun" w:cs="Times New Roman"/>
                <w:color w:val="000000"/>
                <w:sz w:val="22"/>
                <w:lang w:bidi="ar"/>
              </w:rPr>
            </w:pPr>
            <w:r>
              <w:rPr>
                <w:rFonts w:hint="eastAsia" w:ascii="SimSun" w:hAnsi="SimSun" w:eastAsia="SimSun" w:cs="SimSun"/>
                <w:color w:val="000000"/>
                <w:sz w:val="22"/>
                <w:lang w:bidi="ar"/>
              </w:rPr>
              <w:t>此款相机是一款轻便易用的入门级全画幅微单相机，搭载2420万像素传感器和DIGIC X影像处理器，支持4K视频录制和高速连拍。其简洁的操控界面、轻巧的机身以及RF卡口的丰富镜头选择，适合摄影教学和学生日常练习。镜头广角到标准</w:t>
            </w:r>
          </w:p>
        </w:tc>
      </w:tr>
      <w:tr w14:paraId="733DA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vMerge w:val="continue"/>
            <w:shd w:val="clear" w:color="auto" w:fill="auto"/>
            <w:vAlign w:val="center"/>
          </w:tcPr>
          <w:p w14:paraId="61881469">
            <w:pPr>
              <w:jc w:val="center"/>
              <w:rPr>
                <w:rFonts w:ascii="Times New Roman" w:hAnsi="Times New Roman" w:eastAsia="DengXian" w:cs="Times New Roman"/>
                <w:color w:val="000000"/>
                <w:sz w:val="22"/>
              </w:rPr>
            </w:pPr>
          </w:p>
        </w:tc>
        <w:tc>
          <w:tcPr>
            <w:tcW w:w="450" w:type="pct"/>
            <w:shd w:val="clear" w:color="auto" w:fill="auto"/>
            <w:vAlign w:val="center"/>
          </w:tcPr>
          <w:p w14:paraId="3C83DF01">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佳能EOS R100</w:t>
            </w:r>
          </w:p>
          <w:p w14:paraId="2A0F018E">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RF-S18-150 套机</w:t>
            </w:r>
          </w:p>
          <w:p w14:paraId="1CBB7669">
            <w:pPr>
              <w:widowControl/>
              <w:jc w:val="left"/>
            </w:pPr>
            <w:r>
              <w:rPr>
                <w:rFonts w:hint="eastAsia" w:ascii="SimSun" w:hAnsi="SimSun" w:eastAsia="SimSun" w:cs="SimSun"/>
                <w:color w:val="000000"/>
                <w:sz w:val="22"/>
                <w:lang w:bidi="ar"/>
              </w:rPr>
              <w:t>镜头广角到中长焦</w:t>
            </w:r>
          </w:p>
          <w:p w14:paraId="5EBA5B1B">
            <w:pPr>
              <w:widowControl/>
              <w:jc w:val="center"/>
              <w:textAlignment w:val="center"/>
              <w:rPr>
                <w:rFonts w:ascii="Times New Roman" w:hAnsi="Times New Roman" w:eastAsia="DengXian" w:cs="Times New Roman"/>
                <w:color w:val="000000"/>
                <w:sz w:val="22"/>
              </w:rPr>
            </w:pPr>
          </w:p>
        </w:tc>
        <w:tc>
          <w:tcPr>
            <w:tcW w:w="1281" w:type="pct"/>
            <w:shd w:val="clear" w:color="auto" w:fill="auto"/>
            <w:vAlign w:val="center"/>
          </w:tcPr>
          <w:p w14:paraId="2E460728">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 xml:space="preserve">R100 18-150 </w:t>
            </w:r>
          </w:p>
          <w:p w14:paraId="4F8D5608">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套机</w:t>
            </w:r>
          </w:p>
          <w:p w14:paraId="7C2A5C33">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drawing>
                <wp:inline distT="0" distB="0" distL="114300" distR="114300">
                  <wp:extent cx="1246505" cy="778510"/>
                  <wp:effectExtent l="0" t="0" r="23495" b="8890"/>
                  <wp:docPr id="3" name="图片 3" descr="880f26de89f7a94c95b2854a872369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80f26de89f7a94c95b2854a872369b9"/>
                          <pic:cNvPicPr>
                            <a:picLocks noChangeAspect="1"/>
                          </pic:cNvPicPr>
                        </pic:nvPicPr>
                        <pic:blipFill>
                          <a:blip r:embed="rId18"/>
                          <a:stretch>
                            <a:fillRect/>
                          </a:stretch>
                        </pic:blipFill>
                        <pic:spPr>
                          <a:xfrm>
                            <a:off x="0" y="0"/>
                            <a:ext cx="1246505" cy="778510"/>
                          </a:xfrm>
                          <a:prstGeom prst="rect">
                            <a:avLst/>
                          </a:prstGeom>
                          <a:noFill/>
                          <a:ln>
                            <a:noFill/>
                          </a:ln>
                        </pic:spPr>
                      </pic:pic>
                    </a:graphicData>
                  </a:graphic>
                </wp:inline>
              </w:drawing>
            </w:r>
          </w:p>
          <w:p w14:paraId="002014EE">
            <w:pPr>
              <w:widowControl/>
              <w:jc w:val="center"/>
              <w:textAlignment w:val="center"/>
              <w:rPr>
                <w:rFonts w:ascii="Times New Roman" w:hAnsi="Times New Roman" w:eastAsia="DengXian" w:cs="Times New Roman"/>
                <w:color w:val="000000"/>
                <w:sz w:val="22"/>
              </w:rPr>
            </w:pPr>
          </w:p>
        </w:tc>
        <w:tc>
          <w:tcPr>
            <w:tcW w:w="657" w:type="pct"/>
            <w:shd w:val="clear" w:color="auto" w:fill="auto"/>
            <w:vAlign w:val="center"/>
          </w:tcPr>
          <w:p w14:paraId="69CFA070">
            <w:pPr>
              <w:widowControl/>
              <w:jc w:val="center"/>
              <w:textAlignment w:val="center"/>
              <w:rPr>
                <w:rFonts w:ascii="Times New Roman" w:hAnsi="Times New Roman" w:cs="Times New Roman"/>
                <w:color w:val="000000"/>
                <w:kern w:val="0"/>
                <w:sz w:val="22"/>
                <w:lang w:bidi="ar"/>
              </w:rPr>
            </w:pPr>
            <w:r>
              <w:rPr>
                <w:rFonts w:hint="eastAsia" w:ascii="Times New Roman" w:hAnsi="Times New Roman" w:cs="Times New Roman"/>
                <w:sz w:val="22"/>
              </w:rPr>
              <w:t>5</w:t>
            </w:r>
          </w:p>
        </w:tc>
        <w:tc>
          <w:tcPr>
            <w:tcW w:w="491" w:type="pct"/>
            <w:shd w:val="clear" w:color="auto" w:fill="auto"/>
            <w:vAlign w:val="center"/>
          </w:tcPr>
          <w:p w14:paraId="5D4AC872">
            <w:pPr>
              <w:widowControl/>
              <w:jc w:val="center"/>
              <w:textAlignment w:val="center"/>
              <w:rPr>
                <w:rFonts w:ascii="Times New Roman" w:hAnsi="Times New Roman" w:eastAsia="DengXian" w:cs="Times New Roman"/>
                <w:color w:val="000000"/>
                <w:kern w:val="0"/>
                <w:sz w:val="22"/>
                <w:lang w:bidi="ar"/>
              </w:rPr>
            </w:pPr>
            <w:r>
              <w:rPr>
                <w:rFonts w:hint="eastAsia" w:ascii="Times New Roman" w:hAnsi="Times New Roman" w:eastAsia="DengXian" w:cs="Times New Roman"/>
                <w:color w:val="000000"/>
                <w:kern w:val="0"/>
                <w:sz w:val="22"/>
                <w:lang w:bidi="ar"/>
              </w:rPr>
              <w:t>6988</w:t>
            </w:r>
          </w:p>
        </w:tc>
        <w:tc>
          <w:tcPr>
            <w:tcW w:w="614" w:type="pct"/>
            <w:shd w:val="clear" w:color="auto" w:fill="auto"/>
            <w:vAlign w:val="center"/>
          </w:tcPr>
          <w:p w14:paraId="18F8AAE3">
            <w:pPr>
              <w:widowControl/>
              <w:jc w:val="center"/>
              <w:textAlignment w:val="center"/>
              <w:rPr>
                <w:rFonts w:ascii="Times New Roman" w:hAnsi="Times New Roman" w:eastAsia="DengXian" w:cs="Times New Roman"/>
                <w:color w:val="000000"/>
                <w:kern w:val="0"/>
                <w:sz w:val="22"/>
                <w:lang w:bidi="ar"/>
              </w:rPr>
            </w:pPr>
            <w:r>
              <w:rPr>
                <w:rFonts w:hint="eastAsia" w:ascii="Times New Roman" w:hAnsi="Times New Roman" w:eastAsia="DengXian" w:cs="Times New Roman"/>
                <w:color w:val="000000"/>
                <w:kern w:val="0"/>
                <w:sz w:val="22"/>
                <w:lang w:bidi="ar"/>
              </w:rPr>
              <w:t>3.4495</w:t>
            </w:r>
          </w:p>
        </w:tc>
        <w:tc>
          <w:tcPr>
            <w:tcW w:w="1178" w:type="pct"/>
            <w:shd w:val="clear" w:color="auto" w:fill="auto"/>
            <w:vAlign w:val="center"/>
          </w:tcPr>
          <w:p w14:paraId="16C08868">
            <w:pPr>
              <w:widowControl/>
              <w:jc w:val="center"/>
              <w:textAlignment w:val="center"/>
              <w:rPr>
                <w:rFonts w:ascii="Times New Roman" w:hAnsi="Times New Roman" w:eastAsia="DengXian" w:cs="Times New Roman"/>
                <w:color w:val="000000"/>
                <w:kern w:val="0"/>
                <w:sz w:val="22"/>
                <w:lang w:bidi="ar"/>
              </w:rPr>
            </w:pPr>
            <w:r>
              <w:rPr>
                <w:rFonts w:hint="eastAsia" w:ascii="SimSun" w:hAnsi="SimSun" w:eastAsia="SimSun" w:cs="SimSun"/>
                <w:color w:val="000000"/>
                <w:sz w:val="22"/>
                <w:lang w:bidi="ar"/>
              </w:rPr>
              <w:t>此款相机是一款轻便易用的入门级全画幅微单相机，搭载2420万像素传感器和DIGIC X影像处理器，支持4K视频录制和高速连拍。其简洁的操控界面、轻巧的机身以及RF卡口的丰富镜头选择，适合摄影教学和学生日常练习。镜头广角到中长焦</w:t>
            </w:r>
          </w:p>
        </w:tc>
      </w:tr>
      <w:tr w14:paraId="1BE61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vMerge w:val="continue"/>
            <w:shd w:val="clear" w:color="auto" w:fill="auto"/>
            <w:vAlign w:val="center"/>
          </w:tcPr>
          <w:p w14:paraId="1FE00CFF">
            <w:pPr>
              <w:jc w:val="center"/>
              <w:rPr>
                <w:rFonts w:ascii="Times New Roman" w:hAnsi="Times New Roman" w:eastAsia="DengXian" w:cs="Times New Roman"/>
                <w:color w:val="000000"/>
                <w:sz w:val="22"/>
              </w:rPr>
            </w:pPr>
          </w:p>
        </w:tc>
        <w:tc>
          <w:tcPr>
            <w:tcW w:w="450" w:type="pct"/>
            <w:shd w:val="clear" w:color="auto" w:fill="auto"/>
            <w:vAlign w:val="center"/>
          </w:tcPr>
          <w:p w14:paraId="715F5C97">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佳能EOS R100</w:t>
            </w:r>
          </w:p>
          <w:p w14:paraId="726FF168">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RF-75-300 套机</w:t>
            </w:r>
          </w:p>
          <w:p w14:paraId="4B8D19FE">
            <w:pPr>
              <w:widowControl/>
              <w:jc w:val="left"/>
            </w:pPr>
            <w:r>
              <w:rPr>
                <w:rFonts w:hint="eastAsia" w:ascii="SimSun" w:hAnsi="SimSun" w:eastAsia="SimSun" w:cs="SimSun"/>
                <w:color w:val="000000"/>
                <w:sz w:val="22"/>
                <w:lang w:bidi="ar"/>
              </w:rPr>
              <w:t>镜头中长焦到长焦</w:t>
            </w:r>
          </w:p>
          <w:p w14:paraId="7F2AFECF">
            <w:pPr>
              <w:widowControl/>
              <w:jc w:val="center"/>
              <w:textAlignment w:val="center"/>
              <w:rPr>
                <w:rFonts w:ascii="Times New Roman" w:hAnsi="Times New Roman" w:eastAsia="DengXian" w:cs="Times New Roman"/>
                <w:color w:val="000000"/>
                <w:sz w:val="22"/>
              </w:rPr>
            </w:pPr>
          </w:p>
        </w:tc>
        <w:tc>
          <w:tcPr>
            <w:tcW w:w="1281" w:type="pct"/>
            <w:shd w:val="clear" w:color="auto" w:fill="auto"/>
            <w:vAlign w:val="center"/>
          </w:tcPr>
          <w:p w14:paraId="2F7E4DBA">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 xml:space="preserve">R100 75-300 </w:t>
            </w:r>
          </w:p>
          <w:p w14:paraId="1B789C3C">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套机</w:t>
            </w:r>
          </w:p>
          <w:p w14:paraId="7D0E5E18">
            <w:pPr>
              <w:widowControl/>
              <w:jc w:val="left"/>
            </w:pPr>
            <w:r>
              <w:rPr>
                <w:rFonts w:hint="eastAsia" w:ascii="SimSun" w:hAnsi="SimSun" w:eastAsia="SimSun" w:cs="SimSun"/>
                <w:color w:val="000000"/>
                <w:sz w:val="22"/>
                <w:lang w:bidi="ar"/>
              </w:rPr>
              <w:drawing>
                <wp:inline distT="0" distB="0" distL="114300" distR="114300">
                  <wp:extent cx="1246505" cy="882015"/>
                  <wp:effectExtent l="0" t="0" r="23495" b="6985"/>
                  <wp:docPr id="4" name="图片 4" descr="18c20f35f00bc42e519390aec1ded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8c20f35f00bc42e519390aec1ded084"/>
                          <pic:cNvPicPr>
                            <a:picLocks noChangeAspect="1"/>
                          </pic:cNvPicPr>
                        </pic:nvPicPr>
                        <pic:blipFill>
                          <a:blip r:embed="rId19"/>
                          <a:stretch>
                            <a:fillRect/>
                          </a:stretch>
                        </pic:blipFill>
                        <pic:spPr>
                          <a:xfrm>
                            <a:off x="0" y="0"/>
                            <a:ext cx="1246505" cy="882015"/>
                          </a:xfrm>
                          <a:prstGeom prst="rect">
                            <a:avLst/>
                          </a:prstGeom>
                          <a:noFill/>
                          <a:ln>
                            <a:noFill/>
                          </a:ln>
                        </pic:spPr>
                      </pic:pic>
                    </a:graphicData>
                  </a:graphic>
                </wp:inline>
              </w:drawing>
            </w:r>
          </w:p>
          <w:p w14:paraId="2B3CB6AE">
            <w:pPr>
              <w:widowControl/>
              <w:jc w:val="center"/>
              <w:textAlignment w:val="center"/>
              <w:rPr>
                <w:rFonts w:ascii="Times New Roman" w:hAnsi="Times New Roman" w:eastAsia="DengXian" w:cs="Times New Roman"/>
                <w:color w:val="000000"/>
                <w:sz w:val="22"/>
              </w:rPr>
            </w:pPr>
          </w:p>
        </w:tc>
        <w:tc>
          <w:tcPr>
            <w:tcW w:w="657" w:type="pct"/>
            <w:shd w:val="clear" w:color="auto" w:fill="auto"/>
            <w:vAlign w:val="center"/>
          </w:tcPr>
          <w:p w14:paraId="533903B5">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3</w:t>
            </w:r>
          </w:p>
        </w:tc>
        <w:tc>
          <w:tcPr>
            <w:tcW w:w="491" w:type="pct"/>
            <w:shd w:val="clear" w:color="auto" w:fill="auto"/>
            <w:vAlign w:val="center"/>
          </w:tcPr>
          <w:p w14:paraId="4D501011">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8000</w:t>
            </w:r>
          </w:p>
        </w:tc>
        <w:tc>
          <w:tcPr>
            <w:tcW w:w="614" w:type="pct"/>
            <w:shd w:val="clear" w:color="auto" w:fill="auto"/>
            <w:vAlign w:val="center"/>
          </w:tcPr>
          <w:p w14:paraId="138549CD">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2.4</w:t>
            </w:r>
          </w:p>
        </w:tc>
        <w:tc>
          <w:tcPr>
            <w:tcW w:w="1178" w:type="pct"/>
            <w:shd w:val="clear" w:color="auto" w:fill="auto"/>
            <w:vAlign w:val="center"/>
          </w:tcPr>
          <w:p w14:paraId="7B6CE6FB">
            <w:pPr>
              <w:widowControl/>
              <w:jc w:val="center"/>
              <w:textAlignment w:val="center"/>
              <w:rPr>
                <w:rFonts w:ascii="Times New Roman" w:hAnsi="Times New Roman" w:cs="Times New Roman"/>
                <w:sz w:val="22"/>
              </w:rPr>
            </w:pPr>
            <w:r>
              <w:rPr>
                <w:rFonts w:hint="eastAsia" w:ascii="SimSun" w:hAnsi="SimSun" w:eastAsia="SimSun" w:cs="SimSun"/>
                <w:color w:val="000000"/>
                <w:sz w:val="22"/>
                <w:lang w:bidi="ar"/>
              </w:rPr>
              <w:t>此款相机是一款轻便易用的入门级全画幅微单相机，搭载2420万像素传感器和DIGIC X影像处理器，支持4K视频录制和高速连拍。其简洁的操控界面、轻巧的机身以及RF卡口的丰富镜头选择，适合摄影教学和学生日常练习。镜头中长焦到长焦</w:t>
            </w:r>
          </w:p>
        </w:tc>
      </w:tr>
      <w:tr w14:paraId="1D5DD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vMerge w:val="continue"/>
            <w:shd w:val="clear" w:color="auto" w:fill="auto"/>
            <w:vAlign w:val="center"/>
          </w:tcPr>
          <w:p w14:paraId="65F91F48">
            <w:pPr>
              <w:jc w:val="center"/>
              <w:rPr>
                <w:rFonts w:ascii="Times New Roman" w:hAnsi="Times New Roman" w:eastAsia="DengXian" w:cs="Times New Roman"/>
                <w:color w:val="000000"/>
                <w:sz w:val="22"/>
              </w:rPr>
            </w:pPr>
          </w:p>
        </w:tc>
        <w:tc>
          <w:tcPr>
            <w:tcW w:w="450" w:type="pct"/>
            <w:shd w:val="clear" w:color="auto" w:fill="auto"/>
            <w:vAlign w:val="center"/>
          </w:tcPr>
          <w:p w14:paraId="2131FD40">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佳能EOS R100</w:t>
            </w:r>
          </w:p>
          <w:p w14:paraId="15CD4FE7">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RF-10-18 套机</w:t>
            </w:r>
          </w:p>
          <w:p w14:paraId="007F079F">
            <w:pPr>
              <w:widowControl/>
              <w:jc w:val="left"/>
            </w:pPr>
            <w:r>
              <w:rPr>
                <w:rFonts w:hint="eastAsia" w:ascii="SimSun" w:hAnsi="SimSun" w:eastAsia="SimSun" w:cs="SimSun"/>
                <w:color w:val="000000"/>
                <w:sz w:val="22"/>
                <w:lang w:bidi="ar"/>
              </w:rPr>
              <w:t>镜头超广角</w:t>
            </w:r>
          </w:p>
          <w:p w14:paraId="245402CE">
            <w:pPr>
              <w:widowControl/>
              <w:jc w:val="center"/>
              <w:textAlignment w:val="center"/>
              <w:rPr>
                <w:rFonts w:ascii="Times New Roman" w:hAnsi="Times New Roman" w:eastAsia="DengXian" w:cs="Times New Roman"/>
                <w:color w:val="000000"/>
                <w:sz w:val="22"/>
              </w:rPr>
            </w:pPr>
          </w:p>
        </w:tc>
        <w:tc>
          <w:tcPr>
            <w:tcW w:w="1281" w:type="pct"/>
            <w:shd w:val="clear" w:color="auto" w:fill="auto"/>
            <w:vAlign w:val="center"/>
          </w:tcPr>
          <w:p w14:paraId="45FC5A79">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 xml:space="preserve">R100 10-18 </w:t>
            </w:r>
          </w:p>
          <w:p w14:paraId="7D27BDCA">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t>套机</w:t>
            </w:r>
          </w:p>
          <w:p w14:paraId="78A8F134">
            <w:pPr>
              <w:widowControl/>
              <w:jc w:val="center"/>
              <w:textAlignment w:val="center"/>
              <w:rPr>
                <w:rFonts w:ascii="SimSun" w:hAnsi="SimSun" w:eastAsia="SimSun" w:cs="SimSun"/>
                <w:color w:val="000000"/>
                <w:kern w:val="0"/>
                <w:sz w:val="22"/>
                <w:lang w:bidi="ar"/>
              </w:rPr>
            </w:pPr>
            <w:r>
              <w:rPr>
                <w:rFonts w:hint="eastAsia" w:ascii="SimSun" w:hAnsi="SimSun" w:eastAsia="SimSun" w:cs="SimSun"/>
                <w:color w:val="000000"/>
                <w:kern w:val="0"/>
                <w:sz w:val="22"/>
                <w:lang w:bidi="ar"/>
              </w:rPr>
              <w:drawing>
                <wp:inline distT="0" distB="0" distL="114300" distR="114300">
                  <wp:extent cx="1403985" cy="691515"/>
                  <wp:effectExtent l="0" t="0" r="18415" b="19685"/>
                  <wp:docPr id="5" name="图片 5" descr="59a5b90155b019021703b3256497e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9a5b90155b019021703b3256497eaa2"/>
                          <pic:cNvPicPr>
                            <a:picLocks noChangeAspect="1"/>
                          </pic:cNvPicPr>
                        </pic:nvPicPr>
                        <pic:blipFill>
                          <a:blip r:embed="rId20"/>
                          <a:stretch>
                            <a:fillRect/>
                          </a:stretch>
                        </pic:blipFill>
                        <pic:spPr>
                          <a:xfrm>
                            <a:off x="0" y="0"/>
                            <a:ext cx="1403985" cy="691515"/>
                          </a:xfrm>
                          <a:prstGeom prst="rect">
                            <a:avLst/>
                          </a:prstGeom>
                          <a:noFill/>
                          <a:ln>
                            <a:noFill/>
                          </a:ln>
                        </pic:spPr>
                      </pic:pic>
                    </a:graphicData>
                  </a:graphic>
                </wp:inline>
              </w:drawing>
            </w:r>
          </w:p>
          <w:p w14:paraId="043A5DCB">
            <w:pPr>
              <w:widowControl/>
              <w:jc w:val="center"/>
              <w:textAlignment w:val="center"/>
              <w:rPr>
                <w:rFonts w:ascii="Times New Roman" w:hAnsi="Times New Roman" w:eastAsia="DengXian" w:cs="Times New Roman"/>
                <w:color w:val="000000"/>
                <w:sz w:val="22"/>
              </w:rPr>
            </w:pPr>
          </w:p>
        </w:tc>
        <w:tc>
          <w:tcPr>
            <w:tcW w:w="657" w:type="pct"/>
            <w:shd w:val="clear" w:color="auto" w:fill="auto"/>
            <w:vAlign w:val="center"/>
          </w:tcPr>
          <w:p w14:paraId="4E2CD8A3">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6</w:t>
            </w:r>
          </w:p>
        </w:tc>
        <w:tc>
          <w:tcPr>
            <w:tcW w:w="491" w:type="pct"/>
            <w:shd w:val="clear" w:color="auto" w:fill="auto"/>
            <w:vAlign w:val="center"/>
          </w:tcPr>
          <w:p w14:paraId="297FBF48">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1800</w:t>
            </w:r>
          </w:p>
        </w:tc>
        <w:tc>
          <w:tcPr>
            <w:tcW w:w="614" w:type="pct"/>
            <w:shd w:val="clear" w:color="auto" w:fill="auto"/>
            <w:vAlign w:val="center"/>
          </w:tcPr>
          <w:p w14:paraId="24D9ED5F">
            <w:pPr>
              <w:widowControl/>
              <w:jc w:val="center"/>
              <w:textAlignment w:val="center"/>
              <w:rPr>
                <w:rFonts w:ascii="Times New Roman" w:hAnsi="Times New Roman" w:eastAsia="DengXian" w:cs="Times New Roman"/>
                <w:color w:val="000000"/>
                <w:kern w:val="0"/>
                <w:sz w:val="22"/>
                <w:lang w:bidi="ar"/>
              </w:rPr>
            </w:pPr>
            <w:r>
              <w:rPr>
                <w:rFonts w:ascii="Times New Roman" w:hAnsi="Times New Roman" w:cs="Times New Roman"/>
                <w:sz w:val="22"/>
              </w:rPr>
              <w:t>1.08</w:t>
            </w:r>
          </w:p>
        </w:tc>
        <w:tc>
          <w:tcPr>
            <w:tcW w:w="1178" w:type="pct"/>
            <w:shd w:val="clear" w:color="auto" w:fill="auto"/>
            <w:vAlign w:val="center"/>
          </w:tcPr>
          <w:p w14:paraId="57742289">
            <w:pPr>
              <w:widowControl/>
              <w:jc w:val="center"/>
              <w:textAlignment w:val="center"/>
              <w:rPr>
                <w:rFonts w:ascii="Times New Roman" w:hAnsi="Times New Roman" w:cs="Times New Roman"/>
                <w:sz w:val="22"/>
              </w:rPr>
            </w:pPr>
            <w:r>
              <w:rPr>
                <w:rFonts w:hint="eastAsia" w:ascii="SimSun" w:hAnsi="SimSun" w:eastAsia="SimSun" w:cs="SimSun"/>
                <w:color w:val="000000"/>
                <w:sz w:val="22"/>
                <w:lang w:bidi="ar"/>
              </w:rPr>
              <w:t>此款相机是一款轻便易用的入门级全画幅微单相机，搭载2420万像素传感器和DIGIC X影像处理器，支持4K视频录制和高速连拍。其简洁的操控界面、轻巧的机身以及RF卡口的丰富镜头选择，适合摄影教学和学生日常练习。镜头超广角</w:t>
            </w:r>
          </w:p>
        </w:tc>
      </w:tr>
      <w:tr w14:paraId="600C5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6" w:type="pct"/>
            <w:shd w:val="clear" w:color="auto" w:fill="auto"/>
            <w:vAlign w:val="center"/>
          </w:tcPr>
          <w:p w14:paraId="3420713C">
            <w:pPr>
              <w:jc w:val="center"/>
              <w:rPr>
                <w:rFonts w:ascii="Times New Roman" w:hAnsi="Times New Roman" w:eastAsia="DengXian" w:cs="Times New Roman"/>
                <w:color w:val="000000"/>
                <w:sz w:val="22"/>
              </w:rPr>
            </w:pPr>
            <w:r>
              <w:rPr>
                <w:rFonts w:hint="eastAsia" w:ascii="Times New Roman" w:hAnsi="Times New Roman" w:eastAsia="DengXian" w:cs="Times New Roman"/>
                <w:color w:val="000000"/>
                <w:sz w:val="22"/>
              </w:rPr>
              <w:t>合计</w:t>
            </w:r>
          </w:p>
        </w:tc>
        <w:tc>
          <w:tcPr>
            <w:tcW w:w="4673" w:type="pct"/>
            <w:gridSpan w:val="6"/>
            <w:shd w:val="clear" w:color="auto" w:fill="auto"/>
            <w:vAlign w:val="center"/>
          </w:tcPr>
          <w:p w14:paraId="5BA4E5AF">
            <w:pPr>
              <w:widowControl/>
              <w:jc w:val="center"/>
              <w:textAlignment w:val="center"/>
              <w:rPr>
                <w:rFonts w:ascii="SimSun" w:hAnsi="SimSun" w:eastAsia="SimSun" w:cs="SimSun"/>
                <w:color w:val="000000"/>
                <w:sz w:val="22"/>
                <w:lang w:bidi="ar"/>
              </w:rPr>
            </w:pPr>
            <w:r>
              <w:rPr>
                <w:rFonts w:hint="eastAsia" w:ascii="SimSun" w:hAnsi="SimSun" w:eastAsia="SimSun" w:cs="SimSun"/>
                <w:color w:val="000000"/>
                <w:sz w:val="22"/>
                <w:lang w:bidi="ar"/>
              </w:rPr>
              <w:t>5.959万元</w:t>
            </w:r>
          </w:p>
        </w:tc>
      </w:tr>
    </w:tbl>
    <w:p w14:paraId="538F3253">
      <w:pPr>
        <w:spacing w:line="560" w:lineRule="exact"/>
        <w:rPr>
          <w:rFonts w:ascii="仿宋_GB2312" w:hAnsi="仿宋_GB2312" w:eastAsia="仿宋_GB2312" w:cs="FangSong"/>
          <w:sz w:val="32"/>
          <w:szCs w:val="32"/>
        </w:rPr>
      </w:pPr>
    </w:p>
    <w:p w14:paraId="378A6DA0">
      <w:pPr>
        <w:spacing w:line="560" w:lineRule="exact"/>
        <w:rPr>
          <w:rFonts w:ascii="仿宋_GB2312" w:hAnsi="仿宋_GB2312" w:eastAsia="仿宋_GB2312" w:cs="FangSong"/>
          <w:sz w:val="32"/>
          <w:szCs w:val="32"/>
        </w:rPr>
      </w:pPr>
    </w:p>
    <w:p w14:paraId="549C53F0">
      <w:pPr>
        <w:spacing w:line="560" w:lineRule="exact"/>
        <w:rPr>
          <w:rFonts w:ascii="仿宋_GB2312" w:hAnsi="仿宋_GB2312" w:eastAsia="仿宋_GB2312" w:cs="FangSong"/>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angSong">
    <w:panose1 w:val="02010609060101010101"/>
    <w:charset w:val="86"/>
    <w:family w:val="modern"/>
    <w:pitch w:val="default"/>
    <w:sig w:usb0="800002BF" w:usb1="38CF7CFA" w:usb2="00000016" w:usb3="00000000" w:csb0="00040001" w:csb1="00000000"/>
  </w:font>
  <w:font w:name="KaiTi">
    <w:panose1 w:val="02010609060101010101"/>
    <w:charset w:val="86"/>
    <w:family w:val="modern"/>
    <w:pitch w:val="default"/>
    <w:sig w:usb0="800002BF" w:usb1="38CF7CFA" w:usb2="00000016" w:usb3="00000000" w:csb0="00040001" w:csb1="00000000"/>
  </w:font>
  <w:font w:name="方正小标宋_GBK">
    <w:altName w:val="Microsoft YaHei"/>
    <w:panose1 w:val="00000000000000000000"/>
    <w:charset w:val="86"/>
    <w:family w:val="auto"/>
    <w:pitch w:val="default"/>
    <w:sig w:usb0="00000000" w:usb1="00000000" w:usb2="00082016" w:usb3="00000000" w:csb0="00040001" w:csb1="00000000"/>
  </w:font>
  <w:font w:name="Microsoft YaHei">
    <w:panose1 w:val="020B0503020204020204"/>
    <w:charset w:val="86"/>
    <w:family w:val="auto"/>
    <w:pitch w:val="default"/>
    <w:sig w:usb0="80000287" w:usb1="2ACF3C50" w:usb2="00000016" w:usb3="00000000" w:csb0="0004001F" w:csb1="00000000"/>
  </w:font>
  <w:font w:name="方正大标宋简体">
    <w:altName w:val="Microsoft YaHei"/>
    <w:panose1 w:val="00000000000000000000"/>
    <w:charset w:val="86"/>
    <w:family w:val="auto"/>
    <w:pitch w:val="default"/>
    <w:sig w:usb0="00000000" w:usb1="00000000" w:usb2="00000012" w:usb3="00000000" w:csb0="00040001" w:csb1="00000000"/>
  </w:font>
  <w:font w:name="楷体_GB2312">
    <w:altName w:val="KaiTi"/>
    <w:panose1 w:val="00000000000000000000"/>
    <w:charset w:val="86"/>
    <w:family w:val="modern"/>
    <w:pitch w:val="default"/>
    <w:sig w:usb0="00000000" w:usb1="00000000" w:usb2="00000000" w:usb3="00000000" w:csb0="00040000" w:csb1="00000000"/>
  </w:font>
  <w:font w:name="仿宋_GB2312">
    <w:altName w:val="FangSong"/>
    <w:panose1 w:val="02010609030101010101"/>
    <w:charset w:val="86"/>
    <w:family w:val="modern"/>
    <w:pitch w:val="default"/>
    <w:sig w:usb0="00000000" w:usb1="00000000" w:usb2="00000010" w:usb3="00000000" w:csb0="00040000" w:csb1="00000000"/>
  </w:font>
  <w:font w:name="华文仿宋">
    <w:altName w:val="FangSong"/>
    <w:panose1 w:val="02010600040101010101"/>
    <w:charset w:val="86"/>
    <w:family w:val="auto"/>
    <w:pitch w:val="default"/>
    <w:sig w:usb0="00000000" w:usb1="00000000" w:usb2="00000010" w:usb3="00000000" w:csb0="0004009F" w:csb1="00000000"/>
  </w:font>
  <w:font w:name="DengXian">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B5917"/>
    <w:rsid w:val="000A0D96"/>
    <w:rsid w:val="001D0222"/>
    <w:rsid w:val="001F1CCE"/>
    <w:rsid w:val="00214EBC"/>
    <w:rsid w:val="00226D30"/>
    <w:rsid w:val="002344F8"/>
    <w:rsid w:val="00287FD6"/>
    <w:rsid w:val="002B1FF3"/>
    <w:rsid w:val="00336649"/>
    <w:rsid w:val="00343D7D"/>
    <w:rsid w:val="00405E20"/>
    <w:rsid w:val="004467E6"/>
    <w:rsid w:val="0069599F"/>
    <w:rsid w:val="007968D4"/>
    <w:rsid w:val="007C1193"/>
    <w:rsid w:val="008522AB"/>
    <w:rsid w:val="008768C4"/>
    <w:rsid w:val="008C58E7"/>
    <w:rsid w:val="0092649E"/>
    <w:rsid w:val="00966CAF"/>
    <w:rsid w:val="009729D3"/>
    <w:rsid w:val="00AD2C47"/>
    <w:rsid w:val="00B668EE"/>
    <w:rsid w:val="00BB4F95"/>
    <w:rsid w:val="00C27A31"/>
    <w:rsid w:val="00C45886"/>
    <w:rsid w:val="00D76FEF"/>
    <w:rsid w:val="00D84B0A"/>
    <w:rsid w:val="00DF0A0F"/>
    <w:rsid w:val="016D0801"/>
    <w:rsid w:val="05B01ED1"/>
    <w:rsid w:val="101D4BCB"/>
    <w:rsid w:val="15622047"/>
    <w:rsid w:val="199A7374"/>
    <w:rsid w:val="39502F1F"/>
    <w:rsid w:val="3D173F62"/>
    <w:rsid w:val="3FDB1733"/>
    <w:rsid w:val="55236924"/>
    <w:rsid w:val="5BEB868E"/>
    <w:rsid w:val="5FB707AE"/>
    <w:rsid w:val="5FEB5917"/>
    <w:rsid w:val="65B73DA6"/>
    <w:rsid w:val="6B0F149F"/>
    <w:rsid w:val="6D76D540"/>
    <w:rsid w:val="6E382693"/>
    <w:rsid w:val="7BF69291"/>
    <w:rsid w:val="7F7F579D"/>
    <w:rsid w:val="8F5F16B4"/>
    <w:rsid w:val="AF67AA74"/>
    <w:rsid w:val="DFB7B354"/>
    <w:rsid w:val="DFFF2D40"/>
    <w:rsid w:val="E97F618A"/>
    <w:rsid w:val="FFFBF94C"/>
    <w:rsid w:val="FFFE1890"/>
    <w:rsid w:val="FFFF0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iPriority w:val="0"/>
    <w:pPr>
      <w:tabs>
        <w:tab w:val="center" w:pos="4153"/>
        <w:tab w:val="right" w:pos="8306"/>
      </w:tabs>
      <w:snapToGrid w:val="0"/>
      <w:jc w:val="left"/>
    </w:pPr>
    <w:rPr>
      <w:sz w:val="18"/>
      <w:szCs w:val="18"/>
    </w:rPr>
  </w:style>
  <w:style w:type="paragraph" w:styleId="3">
    <w:name w:val="header"/>
    <w:basedOn w:val="1"/>
    <w:link w:val="10"/>
    <w:uiPriority w:val="0"/>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0"/>
    <w:rPr>
      <w:b/>
    </w:rPr>
  </w:style>
  <w:style w:type="paragraph" w:styleId="7">
    <w:name w:val="List Paragraph"/>
    <w:basedOn w:val="1"/>
    <w:qFormat/>
    <w:uiPriority w:val="34"/>
    <w:pPr>
      <w:ind w:firstLine="420" w:firstLineChars="200"/>
    </w:pPr>
  </w:style>
  <w:style w:type="character" w:customStyle="1" w:styleId="8">
    <w:name w:val="font81"/>
    <w:basedOn w:val="5"/>
    <w:qFormat/>
    <w:uiPriority w:val="0"/>
    <w:rPr>
      <w:rFonts w:hint="eastAsia" w:ascii="SimSun" w:hAnsi="SimSun" w:eastAsia="SimSun" w:cs="SimSun"/>
      <w:b/>
      <w:bCs/>
      <w:color w:val="000000"/>
      <w:sz w:val="24"/>
      <w:szCs w:val="24"/>
      <w:u w:val="none"/>
    </w:rPr>
  </w:style>
  <w:style w:type="character" w:customStyle="1" w:styleId="9">
    <w:name w:val="font101"/>
    <w:basedOn w:val="5"/>
    <w:uiPriority w:val="0"/>
    <w:rPr>
      <w:rFonts w:hint="eastAsia" w:ascii="SimSun" w:hAnsi="SimSun" w:eastAsia="SimSun" w:cs="SimSun"/>
      <w:b/>
      <w:bCs/>
      <w:color w:val="000000"/>
      <w:sz w:val="20"/>
      <w:szCs w:val="20"/>
      <w:u w:val="none"/>
    </w:rPr>
  </w:style>
  <w:style w:type="character" w:customStyle="1" w:styleId="10">
    <w:name w:val="页眉 字符"/>
    <w:basedOn w:val="5"/>
    <w:link w:val="3"/>
    <w:uiPriority w:val="0"/>
    <w:rPr>
      <w:rFonts w:asciiTheme="minorHAnsi" w:hAnsiTheme="minorHAnsi" w:eastAsiaTheme="minorEastAsia" w:cstheme="minorBidi"/>
      <w:kern w:val="2"/>
      <w:sz w:val="18"/>
      <w:szCs w:val="18"/>
    </w:rPr>
  </w:style>
  <w:style w:type="character" w:customStyle="1" w:styleId="11">
    <w:name w:val="页脚 字符"/>
    <w:basedOn w:val="5"/>
    <w:link w:val="2"/>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1539</Words>
  <Characters>1829</Characters>
  <Lines>14</Lines>
  <Paragraphs>4</Paragraphs>
  <TotalTime>23</TotalTime>
  <ScaleCrop>false</ScaleCrop>
  <LinksUpToDate>false</LinksUpToDate>
  <CharactersWithSpaces>1870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2025-03-13T10:03:00Z</dcterms:created>
  <dc:creator>1010张</dc:creator>
  <cp:lastModifiedBy>沈允郴</cp:lastModifiedBy>
  <dcterms:modified xsi:type="dcterms:W3CDTF">2025-10-21T07:35:40Z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29921B68DD8B1AC307B5CC6851B122F0_43</vt:lpwstr>
  </property>
  <property fmtid="{D5CDD505-2E9C-101B-9397-08002B2CF9AE}" pid="4" name="KSOTemplateDocerSaveRecord">
    <vt:lpwstr>eyJoZGlkIjoiYTM5ZTE1NDY5MDM3YjJmMzgwYWJhOGZjNTE4NTgwYzMiLCJ1c2VySWQiOiI3MzQyNzc2OTAifQ==</vt:lpwstr>
  </property>
</Properties>
</file>