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ЧЕРНОВИК ТЕХНИЧЕСКОГО ЗАДАНИЯ</w:t>
      </w:r>
    </w:p>
    <w:p>
      <w:pPr>
        <w:pStyle w:val="Subtitle"/>
        <w:jc w:val="center"/>
      </w:pPr>
      <w:r>
        <w:t>Развитие системы «ИИ-агент для расчёта сметы». Этап 2</w:t>
      </w:r>
    </w:p>
    <w:p>
      <w:r>
        <w:t>Версия документа: 0.6 от 27.09.2026.</w:t>
      </w:r>
    </w:p>
    <w:p>
      <w:r>
        <w:t>Статус: рабочий черновик для согласования состава, этапов, сроков и стоимости. Юридические формулировки, порядок оплаты и дата начала работ заполняются в договоре.</w:t>
      </w:r>
    </w:p>
    <w:p>
      <w:pPr>
        <w:pStyle w:val="Heading2"/>
      </w:pPr>
      <w:r>
        <w:t>1. Общая цель</w:t>
      </w:r>
    </w:p>
    <w:p>
      <w:r>
        <w:t>Развить существующий полуавтоматический ИИ-сметчик для подготовки полной сметы строительства коробки жилого дома:</w:t>
      </w:r>
    </w:p>
    <w:p>
      <w:pPr>
        <w:pStyle w:val="ListBullet"/>
      </w:pPr>
      <w:r>
        <w:t>добавить новые расчётные разделы, ранее не входившие в систему;</w:t>
      </w:r>
    </w:p>
    <w:p>
      <w:pPr>
        <w:pStyle w:val="ListBullet"/>
      </w:pPr>
      <w:r>
        <w:t>добавить шаблонный раздел подготовительных работ без зависимости от PDF;</w:t>
      </w:r>
    </w:p>
    <w:p>
      <w:pPr>
        <w:pStyle w:val="ListBullet"/>
      </w:pPr>
      <w:r>
        <w:t>переработать гидроизоляцию фундамента с учетом ростверка;</w:t>
      </w:r>
    </w:p>
    <w:p>
      <w:pPr>
        <w:pStyle w:val="ListBullet"/>
      </w:pPr>
      <w:r>
        <w:t>обеспечить формирование динамического количества повторяющихся конструкций;</w:t>
      </w:r>
    </w:p>
    <w:p>
      <w:pPr>
        <w:pStyle w:val="ListBullet"/>
      </w:pPr>
      <w:r>
        <w:t>формировать правую часть себестоимости с рабочими формулами и проверочными подсказками;</w:t>
      </w:r>
    </w:p>
    <w:p>
      <w:pPr>
        <w:pStyle w:val="ListBullet"/>
      </w:pPr>
      <w:r>
        <w:t>сформировать левую клиентскую часть в том же файле итоговой сметы;</w:t>
      </w:r>
    </w:p>
    <w:p>
      <w:pPr>
        <w:pStyle w:val="ListBullet"/>
      </w:pPr>
      <w:r>
        <w:t>объединить все существующие и новые разделы в одну редактируемую Excel-смету;</w:t>
      </w:r>
    </w:p>
    <w:p>
      <w:pPr>
        <w:pStyle w:val="ListBullet"/>
      </w:pPr>
      <w:r>
        <w:t>использовать Google Sheets для промежуточной проверки себестоимости, а не как</w:t>
      </w:r>
    </w:p>
    <w:p>
      <w:r>
        <w:t>источник точной печатной компоновки итогового файла;</w:t>
      </w:r>
    </w:p>
    <w:p>
      <w:pPr>
        <w:pStyle w:val="ListBullet"/>
      </w:pPr>
      <w:r>
        <w:t>подготовить production-версию Telegram-бота и развернуть ее на сервере Заказчика.</w:t>
      </w:r>
    </w:p>
    <w:p>
      <w:r>
        <w:t>Система предназначена для ускорения работы сметчика, но не заменяет его профессиональную проверку.</w:t>
      </w:r>
    </w:p>
    <w:p>
      <w:pPr>
        <w:pStyle w:val="Heading2"/>
      </w:pPr>
      <w:r>
        <w:t>2. Исходное состояние</w:t>
      </w:r>
    </w:p>
    <w:p>
      <w:r>
        <w:t>К началу Этапа 2 реализованы семь расчётных модулей: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Земляные работы.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Фундаментная плита.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Гидроизоляция фундамента.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Несущие стены и перемычки.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Плиты перекрытия.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Плоская кровля.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Вентиляционные каналы Schiedel.</w:t>
      </w:r>
    </w:p>
    <w:p>
      <w:r>
        <w:t xml:space="preserve">В прежнем Техническом задании было указано восемь разделов, поскольку плиты перекрытия первого и второго этажей были перечислены отдельно. Фактически в программной архитектуре это один динамический модуль </w:t>
      </w:r>
      <w:r>
        <w:rPr>
          <w:rFonts w:ascii="Courier New" w:hAnsi="Courier New"/>
          <w:color w:val="374151"/>
          <w:sz w:val="19"/>
        </w:rPr>
        <w:t>Плиты перекрытия</w:t>
      </w:r>
      <w:r>
        <w:t>, способный формировать несколько блоков. Поэтому исходная база настоящего этапа состоит из семи модулей.</w:t>
      </w:r>
    </w:p>
    <w:p>
      <w:r>
        <w:t>Повторная разработка этих семи калькуляторов с нуля в Этап 2 не входит. Входит:</w:t>
      </w:r>
    </w:p>
    <w:p>
      <w:pPr>
        <w:pStyle w:val="ListBullet"/>
      </w:pPr>
      <w:r>
        <w:t>сохранение их работоспособности и регрессионная проверка;</w:t>
      </w:r>
    </w:p>
    <w:p>
      <w:pPr>
        <w:pStyle w:val="ListBullet"/>
      </w:pPr>
      <w:r>
        <w:t>приведение их экспорта к общему стандарту формул и подсказок;</w:t>
      </w:r>
    </w:p>
    <w:p>
      <w:pPr>
        <w:pStyle w:val="ListBullet"/>
      </w:pPr>
      <w:r>
        <w:t>включение в единую полную смету;</w:t>
      </w:r>
    </w:p>
    <w:p>
      <w:pPr>
        <w:pStyle w:val="ListBullet"/>
      </w:pPr>
      <w:r>
        <w:t>целевая переработка гидроизоляции, описанная в разделе 5.2.</w:t>
      </w:r>
    </w:p>
    <w:p>
      <w:pPr>
        <w:pStyle w:val="Heading2"/>
      </w:pPr>
      <w:r>
        <w:t>3. Принцип работы системы</w:t>
      </w:r>
    </w:p>
    <w:p>
      <w:r>
        <w:t>AI используется для:</w:t>
      </w:r>
    </w:p>
    <w:p>
      <w:pPr>
        <w:pStyle w:val="ListBullet"/>
      </w:pPr>
      <w:r>
        <w:t>чтения и структурированного извлечения данных из проектной документации;</w:t>
      </w:r>
    </w:p>
    <w:p>
      <w:pPr>
        <w:pStyle w:val="ListBullet"/>
      </w:pPr>
      <w:r>
        <w:t>поиска таблиц спецификаций, обозначений и конкурирующих значений;</w:t>
      </w:r>
    </w:p>
    <w:p>
      <w:pPr>
        <w:pStyle w:val="ListBullet"/>
      </w:pPr>
      <w:r>
        <w:t>нормализации наименований;</w:t>
      </w:r>
    </w:p>
    <w:p>
      <w:pPr>
        <w:pStyle w:val="ListBullet"/>
      </w:pPr>
      <w:r>
        <w:t>формирования ссылок на файл и страницу источника;</w:t>
      </w:r>
    </w:p>
    <w:p>
      <w:pPr>
        <w:pStyle w:val="ListBullet"/>
      </w:pPr>
      <w:r>
        <w:t>выявления отсутствующих и противоречивых данных.</w:t>
      </w:r>
    </w:p>
    <w:p>
      <w:r>
        <w:t>Расчёт сметы выполняется детерминированно программным кодом:</w:t>
      </w:r>
    </w:p>
    <w:p>
      <w:pPr>
        <w:pStyle w:val="ListBullet"/>
      </w:pPr>
      <w:r>
        <w:t>по заранее разработанным формулам;</w:t>
      </w:r>
    </w:p>
    <w:p>
      <w:pPr>
        <w:pStyle w:val="ListBullet"/>
      </w:pPr>
      <w:r>
        <w:t>по подтвержденным правилам Елены;</w:t>
      </w:r>
    </w:p>
    <w:p>
      <w:pPr>
        <w:pStyle w:val="ListBullet"/>
      </w:pPr>
      <w:r>
        <w:t>по актуальному справочнику цен;</w:t>
      </w:r>
    </w:p>
    <w:p>
      <w:pPr>
        <w:pStyle w:val="ListBullet"/>
      </w:pPr>
      <w:r>
        <w:t>после обязательной проверки исходных данных специалистом Заказчика.</w:t>
      </w:r>
    </w:p>
    <w:p>
      <w:r>
        <w:t>Языковая модель не создаёт новые формулы расчёта самостоятельно и не принимает инженерные решения вместо специалиста.</w:t>
      </w:r>
    </w:p>
    <w:p>
      <w:pPr>
        <w:pStyle w:val="Heading2"/>
      </w:pPr>
      <w:r>
        <w:t>4. Производственный сценарий</w:t>
      </w:r>
    </w:p>
    <w:p>
      <w:pPr>
        <w:spacing w:before="60" w:after="140"/>
        <w:ind w:left="283" w:right="283"/>
        <w:shd w:fill="F1F5F9"/>
      </w:pPr>
      <w:r>
        <w:rPr>
          <w:rFonts w:ascii="Courier New" w:hAnsi="Courier New"/>
          <w:sz w:val="17"/>
        </w:rPr>
        <w:t>полный комплект PDF проекта</w:t>
        <w:br/>
        <w:t xml:space="preserve">    -&gt; структурированное извлечение данных</w:t>
        <w:br/>
        <w:t xml:space="preserve">    -&gt; промежуточная Google-таблица себестоимости</w:t>
        <w:br/>
        <w:t xml:space="preserve">    -&gt; проверка и корректировка сметчиком</w:t>
        <w:br/>
        <w:t xml:space="preserve">    -&gt; подтверждение правой части</w:t>
        <w:br/>
        <w:t xml:space="preserve">    -&gt; прямое создание одной полной Excel-сметы (.xlsx)</w:t>
        <w:br/>
        <w:t xml:space="preserve">    -&gt; формирование клиентской части в этой же Excel-книге</w:t>
        <w:br/>
        <w:t xml:space="preserve">    -&gt; настройка печатной области A:I</w:t>
        <w:br/>
        <w:t xml:space="preserve">    -&gt; ручная финальная проверка</w:t>
        <w:br/>
        <w:t xml:space="preserve">    -&gt; полная внутренняя смета .xlsx и клиентская печатная выдача</w:t>
      </w:r>
    </w:p>
    <w:p>
      <w:r>
        <w:t>Отдельная промежуточная таблица для клиентской части не создаётся.</w:t>
      </w:r>
    </w:p>
    <w:p>
      <w:r>
        <w:t xml:space="preserve">Итоговая смета генерируется программой напрямую в формате </w:t>
      </w:r>
      <w:r>
        <w:rPr>
          <w:rFonts w:ascii="Courier New" w:hAnsi="Courier New"/>
          <w:color w:val="374151"/>
          <w:sz w:val="19"/>
        </w:rPr>
        <w:t>.xlsx</w:t>
      </w:r>
      <w:r>
        <w:t>, а не путём конвертации Google Sheets в Excel. Готовый файл допускается хранить на Google Drive без преобразования в формат Google Sheets.</w:t>
      </w:r>
    </w:p>
    <w:p>
      <w:r>
        <w:t>Параметры шаблонных разделов, отсутствующие в PDF, добавляются в промежуточную таблицу как явные поля сметчика и проходят такое же обязательное подтверждение.</w:t>
      </w:r>
    </w:p>
    <w:p>
      <w:pPr>
        <w:pStyle w:val="Heading2"/>
      </w:pPr>
      <w:r>
        <w:t>5. Состав работ</w:t>
      </w:r>
    </w:p>
    <w:p>
      <w:pPr>
        <w:pStyle w:val="Heading3"/>
      </w:pPr>
      <w:r>
        <w:t>5.1. Общая формульная архитектура</w:t>
      </w:r>
    </w:p>
    <w:p>
      <w:r>
        <w:t>Необходимо реализовать единый механизм:</w:t>
      </w:r>
    </w:p>
    <w:p>
      <w:pPr>
        <w:pStyle w:val="ListBullet"/>
      </w:pPr>
      <w:r>
        <w:t>динамической карты разделов и строк конкретного проекта;</w:t>
      </w:r>
    </w:p>
    <w:p>
      <w:pPr>
        <w:pStyle w:val="ListBullet"/>
      </w:pPr>
      <w:r>
        <w:t xml:space="preserve">устойчивых технических идентификаторов </w:t>
      </w:r>
      <w:r>
        <w:rPr>
          <w:rFonts w:ascii="Courier New" w:hAnsi="Courier New"/>
          <w:color w:val="374151"/>
          <w:sz w:val="19"/>
        </w:rPr>
        <w:t>section_id</w:t>
      </w:r>
      <w:r>
        <w:t xml:space="preserve"> и </w:t>
      </w:r>
      <w:r>
        <w:rPr>
          <w:rFonts w:ascii="Courier New" w:hAnsi="Courier New"/>
          <w:color w:val="374151"/>
          <w:sz w:val="19"/>
        </w:rPr>
        <w:t>line_id</w:t>
      </w:r>
      <w:r>
        <w:t>;</w:t>
      </w:r>
    </w:p>
    <w:p>
      <w:pPr>
        <w:pStyle w:val="ListBullet"/>
      </w:pPr>
      <w:r>
        <w:t>записи формул по фактическим адресам ячеек;</w:t>
      </w:r>
    </w:p>
    <w:p>
      <w:pPr>
        <w:pStyle w:val="ListBullet"/>
      </w:pPr>
      <w:r>
        <w:t>переноса подтвержденных данных из промежуточной таблицы;</w:t>
      </w:r>
    </w:p>
    <w:p>
      <w:pPr>
        <w:pStyle w:val="ListBullet"/>
      </w:pPr>
      <w:r>
        <w:t>сохранения нулевых строк шаблона Елены;</w:t>
      </w:r>
    </w:p>
    <w:p>
      <w:pPr>
        <w:pStyle w:val="ListBullet"/>
      </w:pPr>
      <w:r>
        <w:t>проверки наличия обязательных формул и цен;</w:t>
      </w:r>
    </w:p>
    <w:p>
      <w:pPr>
        <w:pStyle w:val="ListBullet"/>
      </w:pPr>
      <w:r>
        <w:t>формирования правых подсказок и предупреждений.</w:t>
      </w:r>
    </w:p>
    <w:p>
      <w:r>
        <w:t>Жестко заданные номера строк конкретного эталонного проекта использовать нельзя.</w:t>
      </w:r>
    </w:p>
    <w:p>
      <w:r>
        <w:t>Отдельное правило классификации плит: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foundation_slab</w:t>
      </w:r>
      <w:r>
        <w:t xml:space="preserve"> — фундаментная плита, несущая фундаментная конструкция;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ground_floor_slab</w:t>
      </w:r>
      <w:r>
        <w:t xml:space="preserve"> — плита основания пола по грунту/подготовленному основанию;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floor_slabs</w:t>
      </w:r>
      <w:r>
        <w:t xml:space="preserve"> — надземные плиты перекрытия и покрытия.</w:t>
      </w:r>
    </w:p>
    <w:p>
      <w:r>
        <w:t xml:space="preserve">Плита основания пола не включается автоматически в ростверк, фундаментную ленту, ребро плиты или надземное перекрытие. Эталоны: ЛВП — одна плита основания пола дома; АРХ — самостоятельные плиты пола дома и гаража; ЮРВ — плиты основания пола 300/250 мм. Каждая физическая плита сохраняется отдельным динамическим блоком. Если явный адаптер </w:t>
      </w:r>
      <w:r>
        <w:rPr>
          <w:rFonts w:ascii="Courier New" w:hAnsi="Courier New"/>
          <w:color w:val="374151"/>
          <w:sz w:val="19"/>
        </w:rPr>
        <w:t>ground_floor_slab</w:t>
      </w:r>
      <w:r>
        <w:t xml:space="preserve"> ещё не реализован, система выводит </w:t>
      </w:r>
      <w:r>
        <w:rPr>
          <w:rFonts w:ascii="Courier New" w:hAnsi="Courier New"/>
          <w:color w:val="374151"/>
          <w:sz w:val="19"/>
        </w:rPr>
        <w:t>calculation_module_missing</w:t>
      </w:r>
      <w:r>
        <w:t xml:space="preserve"> / </w:t>
      </w:r>
      <w:r>
        <w:rPr>
          <w:rFonts w:ascii="Courier New" w:hAnsi="Courier New"/>
          <w:color w:val="374151"/>
          <w:sz w:val="19"/>
        </w:rPr>
        <w:t>needs_review</w:t>
      </w:r>
      <w:r>
        <w:t>, а не направляет конструкцию в ближайший раздел по слову «плита». Допускается переиспользование формул существующей фундаментной плиты через отдельный режим, но без объединения нескольких плит и без двойного учёта материалов с ростверком.</w:t>
      </w:r>
    </w:p>
    <w:p>
      <w:pPr>
        <w:pStyle w:val="Heading3"/>
      </w:pPr>
      <w:r>
        <w:t>5.2. Переработка раздела гидроизоляции</w:t>
      </w:r>
    </w:p>
    <w:p>
      <w:r>
        <w:t>Существующий калькулятор гидроизоляции необходимо сделать универсальным для разных типов фундамента.</w:t>
      </w:r>
    </w:p>
    <w:p>
      <w:r>
        <w:t>Требования: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Гидроизоляция фундаментной плиты продолжает рассчитываться по действующим подтвержденным правилам.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При наличии ростверка, фундаментных стен/лент или рёбер плиты система добавляет</w:t>
      </w:r>
    </w:p>
    <w:p>
      <w:r>
        <w:t>относящиеся к ним объёмы и строки гидроизоляции к общему разделу гидроизоляции фундамента.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При отсутствии соответствующей конструктивной группы её составляющие имеют нулевой</w:t>
      </w:r>
    </w:p>
    <w:p>
      <w:r>
        <w:t>объём и не влияют на результат.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Один и тот же объём не должен одновременно учитываться в конструктивном разделе</w:t>
      </w:r>
    </w:p>
    <w:p>
      <w:r>
        <w:t>фундамента и гидроизоляции дважды.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Для плиты, ростверка, фундаментных стен/лент и рёбер сохраняются раздельные исходные</w:t>
      </w:r>
    </w:p>
    <w:p>
      <w:r>
        <w:t>параметры и подсказки, даже если в смете отдельные площади или материалы суммируются.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Поддерживаются предусмотренные эталонами типы: обмазочная гидроизоляция, профилированная мембрана, отсечная гидроизоляция, утепление и иные подтвержденные строки существующего раздела.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Состав строк и нулевые позиции Елены сохраняются.</w:t>
      </w:r>
    </w:p>
    <w:p>
      <w:pPr>
        <w:spacing w:after="60"/>
        <w:ind w:left="369" w:hanging="369"/>
      </w:pPr>
      <w:r>
        <w:rPr>
          <w:b/>
        </w:rPr>
        <w:t xml:space="preserve">8. </w:t>
      </w:r>
      <w:r>
        <w:t>Старые проекты без дополнительных лент, стен или рёбер должны пройти регрессионную</w:t>
      </w:r>
    </w:p>
    <w:p>
      <w:r>
        <w:t>проверку без необъяснимого изменения результата.</w:t>
      </w:r>
    </w:p>
    <w:p>
      <w:pPr>
        <w:spacing w:after="60"/>
        <w:ind w:left="369" w:hanging="369"/>
      </w:pPr>
      <w:r>
        <w:rPr>
          <w:b/>
        </w:rPr>
        <w:t xml:space="preserve">9. </w:t>
      </w:r>
      <w:r>
        <w:t>Обмазочная гидроизоляция стен/лент учитывает подтверждённые вертикальные торцевые</w:t>
      </w:r>
    </w:p>
    <w:p>
      <w:r>
        <w:t>поверхности; верх конструкции не добавляется автоматически механическим сложением площадей.</w:t>
      </w:r>
    </w:p>
    <w:p>
      <w:pPr>
        <w:spacing w:after="60"/>
        <w:ind w:left="369" w:hanging="369"/>
      </w:pPr>
      <w:r>
        <w:rPr>
          <w:b/>
        </w:rPr>
        <w:t xml:space="preserve">10. </w:t>
      </w:r>
      <w:r>
        <w:t>Готовые площади утепления и гидроизоляции из спецификации имеют приоритет над</w:t>
      </w:r>
    </w:p>
    <w:p>
      <w:r>
        <w:t>восстановлением площади через кубатуру. Переход между площадью, объёмом и упаковками показывается в подсказке, поскольку округление может изменить закупку на целую упаковку.</w:t>
      </w:r>
    </w:p>
    <w:p>
      <w:pPr>
        <w:spacing w:after="60"/>
        <w:ind w:left="369" w:hanging="369"/>
      </w:pPr>
      <w:r>
        <w:rPr>
          <w:b/>
        </w:rPr>
        <w:t xml:space="preserve">11. </w:t>
      </w:r>
      <w:r>
        <w:t>Утепление ЭППС под фундаментными стенами/лентами учитывается отдельным компонентом,</w:t>
      </w:r>
    </w:p>
    <w:p>
      <w:r>
        <w:t>если оно присутствует в спецификации, и не должно теряться между разделами.</w:t>
      </w:r>
    </w:p>
    <w:p>
      <w:pPr>
        <w:spacing w:after="60"/>
        <w:ind w:left="369" w:hanging="369"/>
      </w:pPr>
      <w:r>
        <w:rPr>
          <w:b/>
        </w:rPr>
        <w:t xml:space="preserve">12. </w:t>
      </w:r>
      <w:r>
        <w:t>Одинаковый рулонный материал, используемый последовательно в ростверке и фундаментной</w:t>
      </w:r>
    </w:p>
    <w:p>
      <w:r>
        <w:t>плите, по согласованному правилу суммируется до округления закупки; остаток одной группы может использоваться следующей группой без повторной покупки полного рулона.</w:t>
      </w:r>
    </w:p>
    <w:p>
      <w:pPr>
        <w:pStyle w:val="Heading3"/>
      </w:pPr>
      <w:r>
        <w:t>5.3. Ростверк, фундаментные ленты и рёбра плиты</w:t>
      </w:r>
    </w:p>
    <w:p>
      <w:r>
        <w:t>Разработать единый динамический модуль для связанных по составу работ монолитных элементов фундамента. Общий калькулятор не означает, что все конструкции называются ростверком: для каждой группы сохраняется её фактический конструктивный тип.</w:t>
      </w:r>
    </w:p>
    <w:p>
      <w:r>
        <w:t>Поддерживаемые типы:</w:t>
      </w:r>
    </w:p>
    <w:p>
      <w:pPr>
        <w:pStyle w:val="ListBullet"/>
      </w:pPr>
      <w:r>
        <w:t>ростверк с подколонниками;</w:t>
      </w:r>
    </w:p>
    <w:p>
      <w:pPr>
        <w:pStyle w:val="ListBullet"/>
      </w:pPr>
      <w:r>
        <w:t>ростверк без подколонников;</w:t>
      </w:r>
    </w:p>
    <w:p>
      <w:pPr>
        <w:pStyle w:val="ListBullet"/>
      </w:pPr>
      <w:r>
        <w:t>фундаментные стены или ленты;</w:t>
      </w:r>
    </w:p>
    <w:p>
      <w:pPr>
        <w:pStyle w:val="ListBullet"/>
      </w:pPr>
      <w:r>
        <w:t>рёбра фундаментной плиты вверх;</w:t>
      </w:r>
    </w:p>
    <w:p>
      <w:pPr>
        <w:pStyle w:val="ListBullet"/>
      </w:pPr>
      <w:r>
        <w:t>рёбра фундаментной плиты вниз;</w:t>
      </w:r>
    </w:p>
    <w:p>
      <w:pPr>
        <w:pStyle w:val="ListBullet"/>
      </w:pPr>
      <w:r>
        <w:t>утепление под лентами и рёбрами, если оно предусмотрено проектом;</w:t>
      </w:r>
    </w:p>
    <w:p>
      <w:pPr>
        <w:pStyle w:val="ListBullet"/>
      </w:pPr>
      <w:r>
        <w:t>разные группы сечений и участков;</w:t>
      </w:r>
    </w:p>
    <w:p>
      <w:pPr>
        <w:pStyle w:val="ListBullet"/>
      </w:pPr>
      <w:r>
        <w:t>опалубка, армирование, бетон, доставка, бетононасос и демонтаж;</w:t>
      </w:r>
    </w:p>
    <w:p>
      <w:pPr>
        <w:pStyle w:val="ListBullet"/>
      </w:pPr>
      <w:r>
        <w:t>закупочные количества материалов, запасы, округления и логистика;</w:t>
      </w:r>
    </w:p>
    <w:p>
      <w:pPr>
        <w:pStyle w:val="ListBullet"/>
      </w:pPr>
      <w:r>
        <w:t>связь с универсальным разделом гидроизоляции.</w:t>
      </w:r>
    </w:p>
    <w:p>
      <w:r>
        <w:t>Для каждой конструктивной группы должны сохраняться:</w:t>
      </w:r>
    </w:p>
    <w:p>
      <w:pPr>
        <w:pStyle w:val="ListBullet"/>
      </w:pPr>
      <w:r>
        <w:t>проектное обозначение и исходное название;</w:t>
      </w:r>
    </w:p>
    <w:p>
      <w:pPr>
        <w:pStyle w:val="ListBullet"/>
      </w:pPr>
      <w:r>
        <w:t xml:space="preserve">тип </w:t>
      </w:r>
      <w:r>
        <w:rPr>
          <w:rFonts w:ascii="Courier New" w:hAnsi="Courier New"/>
          <w:color w:val="374151"/>
          <w:sz w:val="19"/>
        </w:rPr>
        <w:t>ростверк</w:t>
      </w:r>
      <w:r>
        <w:t xml:space="preserve">, </w:t>
      </w:r>
      <w:r>
        <w:rPr>
          <w:rFonts w:ascii="Courier New" w:hAnsi="Courier New"/>
          <w:color w:val="374151"/>
          <w:sz w:val="19"/>
        </w:rPr>
        <w:t>фундаментная стена/лента</w:t>
      </w:r>
      <w:r>
        <w:t xml:space="preserve">, </w:t>
      </w:r>
      <w:r>
        <w:rPr>
          <w:rFonts w:ascii="Courier New" w:hAnsi="Courier New"/>
          <w:color w:val="374151"/>
          <w:sz w:val="19"/>
        </w:rPr>
        <w:t>ребро вверх</w:t>
      </w:r>
      <w:r>
        <w:t xml:space="preserve"> или </w:t>
      </w:r>
      <w:r>
        <w:rPr>
          <w:rFonts w:ascii="Courier New" w:hAnsi="Courier New"/>
          <w:color w:val="374151"/>
          <w:sz w:val="19"/>
        </w:rPr>
        <w:t>ребро вниз</w:t>
      </w:r>
      <w:r>
        <w:t>;</w:t>
      </w:r>
    </w:p>
    <w:p>
      <w:pPr>
        <w:pStyle w:val="ListBullet"/>
      </w:pPr>
      <w:r>
        <w:t>связь с фундаментной плитой;</w:t>
      </w:r>
    </w:p>
    <w:p>
      <w:pPr>
        <w:pStyle w:val="ListBullet"/>
      </w:pPr>
      <w:r>
        <w:t>длина, ширина, высота, сечение и отметка;</w:t>
      </w:r>
    </w:p>
    <w:p>
      <w:pPr>
        <w:pStyle w:val="ListBullet"/>
      </w:pPr>
      <w:r>
        <w:t>отдельные готовые объёмы бетона, площади опалубки и состав арматуры;</w:t>
      </w:r>
    </w:p>
    <w:p>
      <w:pPr>
        <w:pStyle w:val="ListBullet"/>
      </w:pPr>
      <w:r>
        <w:t>признак наличия подколонников и других вложенных элементов.</w:t>
      </w:r>
    </w:p>
    <w:p>
      <w:r>
        <w:t xml:space="preserve">Классификация выполняется по назначению, положению относительно плиты, геометрии и спецификации, а не только по названию раздела в старой смете. Термины «вверх» и «вниз» относятся к положению рёбер относительно фундаментной плиты, а не к отдельному виду стен. Плиты основания пола типа </w:t>
      </w:r>
      <w:r>
        <w:rPr>
          <w:rFonts w:ascii="Courier New" w:hAnsi="Courier New"/>
          <w:color w:val="374151"/>
          <w:sz w:val="19"/>
        </w:rPr>
        <w:t>ground_floor_slab</w:t>
      </w:r>
      <w:r>
        <w:t xml:space="preserve"> прямо исключены из этого модуля.</w:t>
      </w:r>
    </w:p>
    <w:p>
      <w:r>
        <w:t>Если рёбра монолитно связаны с плитой, калькулятор обязан проверить границу объёмов:</w:t>
      </w:r>
    </w:p>
    <w:p>
      <w:pPr>
        <w:pStyle w:val="ListBullet"/>
      </w:pPr>
      <w:r>
        <w:t>при раздельных итогах спецификации плита и рёбра рассчитываются отдельными группами;</w:t>
      </w:r>
    </w:p>
    <w:p>
      <w:pPr>
        <w:pStyle w:val="ListBullet"/>
      </w:pPr>
      <w:r>
        <w:t>при одном объединённом итоге система не разделяет объём самостоятельно и требует</w:t>
      </w:r>
    </w:p>
    <w:p>
      <w:r>
        <w:t>подтверждения сметчика;</w:t>
      </w:r>
    </w:p>
    <w:p>
      <w:pPr>
        <w:pStyle w:val="ListBullet"/>
      </w:pPr>
      <w:r>
        <w:t>бетон, арматура, опалубка и гидроизоляция рёбер не должны повторно добавляться к уже</w:t>
      </w:r>
    </w:p>
    <w:p>
      <w:r>
        <w:t>включающему их итогу фундаментной плиты.</w:t>
      </w:r>
    </w:p>
    <w:p>
      <w:r>
        <w:t>Сметное название Елены может сохраняться для отображения, но не используется как единственный классификатор. В частности, раздел с названием «ростверковый фундамент» может фактически описывать рёбра фундаментной плиты.</w:t>
      </w:r>
    </w:p>
    <w:p>
      <w:r>
        <w:t>Основные построчно разобранные эталоны: АРК и ГФК-11. Старые ЛВП и АРХ используются как примеры ростверка с отдельной плитой пола; РВР — как пример рёбер вверх; МКП-1 — как пример рёбер вниз. До отдельного построчного разбора старые проекты подтверждают классификацию и состав сценариев, но не универсальные формулы или цены.</w:t>
      </w:r>
    </w:p>
    <w:p>
      <w:r>
        <w:t>Подтверждённые правила расчёта ростверка:</w:t>
      </w:r>
    </w:p>
    <w:p>
      <w:pPr>
        <w:pStyle w:val="ListBullet"/>
      </w:pPr>
      <w:r>
        <w:t>бетон, площади опалубки и площади профилированной мембраны берутся из спецификации;</w:t>
      </w:r>
    </w:p>
    <w:p>
      <w:pPr>
        <w:pStyle w:val="ListBullet"/>
      </w:pPr>
      <w:r>
        <w:t>для подколонников итоги спецификации считаются данными на комплект и повторно на число</w:t>
      </w:r>
    </w:p>
    <w:p>
      <w:r>
        <w:t>элементов не умножаются;</w:t>
      </w:r>
    </w:p>
    <w:p>
      <w:pPr>
        <w:pStyle w:val="ListBullet"/>
      </w:pPr>
      <w:r>
        <w:t xml:space="preserve">для деревянной опалубки используется фактическая площадь листа </w:t>
      </w:r>
      <w:r>
        <w:rPr>
          <w:rFonts w:ascii="Courier New" w:hAnsi="Courier New"/>
          <w:color w:val="374151"/>
          <w:sz w:val="19"/>
        </w:rPr>
        <w:t>1,52 x 1,52 = 2,3104 м2</w:t>
      </w:r>
      <w:r>
        <w:t>,</w:t>
      </w:r>
    </w:p>
    <w:p>
      <w:r>
        <w:t xml:space="preserve">доска толщиной 50 мм и округление пиломатериала вверх до </w:t>
      </w:r>
      <w:r>
        <w:rPr>
          <w:rFonts w:ascii="Courier New" w:hAnsi="Courier New"/>
          <w:color w:val="374151"/>
          <w:sz w:val="19"/>
        </w:rPr>
        <w:t>0,1 м3</w:t>
      </w:r>
      <w:r>
        <w:t>;</w:t>
      </w:r>
    </w:p>
    <w:p>
      <w:pPr>
        <w:pStyle w:val="ListBullet"/>
      </w:pPr>
      <w:r>
        <w:t>демонтаж включает все площади инвентарной и деревянной опалубки, а зачистка поверхности</w:t>
      </w:r>
    </w:p>
    <w:p>
      <w:r>
        <w:t>равна площади демонтажа;</w:t>
      </w:r>
    </w:p>
    <w:p>
      <w:pPr>
        <w:pStyle w:val="ListBullet"/>
      </w:pPr>
      <w:r>
        <w:t xml:space="preserve">расходники для опалубки считаются как площадь опалубки x </w:t>
      </w:r>
      <w:r>
        <w:rPr>
          <w:rFonts w:ascii="Courier New" w:hAnsi="Courier New"/>
          <w:color w:val="374151"/>
          <w:sz w:val="19"/>
        </w:rPr>
        <w:t>47 руб./м2</w:t>
      </w:r>
      <w:r>
        <w:t>;</w:t>
      </w:r>
    </w:p>
    <w:p>
      <w:pPr>
        <w:pStyle w:val="ListBullet"/>
      </w:pPr>
      <w:r>
        <w:t xml:space="preserve">доставка и вывоз опалубки до </w:t>
      </w:r>
      <w:r>
        <w:rPr>
          <w:rFonts w:ascii="Courier New" w:hAnsi="Courier New"/>
          <w:color w:val="374151"/>
          <w:sz w:val="19"/>
        </w:rPr>
        <w:t>200 м2</w:t>
      </w:r>
      <w:r>
        <w:t xml:space="preserve"> включительно принимаются по одной единице, свыше</w:t>
      </w:r>
    </w:p>
    <w:p>
      <w:r>
        <w:rPr>
          <w:rFonts w:ascii="Courier New" w:hAnsi="Courier New"/>
          <w:color w:val="374151"/>
          <w:sz w:val="19"/>
        </w:rPr>
        <w:t>200 м2</w:t>
      </w:r>
      <w:r>
        <w:t xml:space="preserve"> — по две единицы;</w:t>
      </w:r>
    </w:p>
    <w:p>
      <w:pPr>
        <w:pStyle w:val="ListBullet"/>
      </w:pPr>
      <w:r>
        <w:t xml:space="preserve">подача опалубки автокраном при площади до </w:t>
      </w:r>
      <w:r>
        <w:rPr>
          <w:rFonts w:ascii="Courier New" w:hAnsi="Courier New"/>
          <w:color w:val="374151"/>
          <w:sz w:val="19"/>
        </w:rPr>
        <w:t>150 м2</w:t>
      </w:r>
      <w:r>
        <w:t xml:space="preserve"> включительно принимается как одна</w:t>
      </w:r>
    </w:p>
    <w:p>
      <w:r>
        <w:t xml:space="preserve">смена, свыше </w:t>
      </w:r>
      <w:r>
        <w:rPr>
          <w:rFonts w:ascii="Courier New" w:hAnsi="Courier New"/>
          <w:color w:val="374151"/>
          <w:sz w:val="19"/>
        </w:rPr>
        <w:t>150 м2</w:t>
      </w:r>
      <w:r>
        <w:t xml:space="preserve"> — как две смены; результат выводится в проверочную часть </w:t>
      </w:r>
      <w:r>
        <w:rPr>
          <w:rFonts w:ascii="Courier New" w:hAnsi="Courier New"/>
          <w:color w:val="374151"/>
          <w:sz w:val="19"/>
        </w:rPr>
        <w:t>01-1</w:t>
      </w:r>
      <w:r>
        <w:t>;</w:t>
      </w:r>
    </w:p>
    <w:p>
      <w:pPr>
        <w:pStyle w:val="ListBullet"/>
      </w:pPr>
      <w:r>
        <w:t>работа по изготовлению и монтажу арматурного каркаса считается по суммарной закупочной</w:t>
      </w:r>
    </w:p>
    <w:p>
      <w:r>
        <w:t>длине арматуры, а доставка арматуры — по массе уже округлённого закупочного заказа;</w:t>
      </w:r>
    </w:p>
    <w:p>
      <w:pPr>
        <w:pStyle w:val="ListBullet"/>
      </w:pPr>
      <w:r>
        <w:t xml:space="preserve">вместимость одного миксера для расчёта доставки бетона принимается </w:t>
      </w:r>
      <w:r>
        <w:rPr>
          <w:rFonts w:ascii="Courier New" w:hAnsi="Courier New"/>
          <w:color w:val="374151"/>
          <w:sz w:val="19"/>
        </w:rPr>
        <w:t>7 м3</w:t>
      </w:r>
      <w:r>
        <w:t>;</w:t>
      </w:r>
    </w:p>
    <w:p>
      <w:pPr>
        <w:pStyle w:val="ListBullet"/>
      </w:pPr>
      <w:r>
        <w:t>ручная подача бетона для подколонников сохраняется отдельной строкой с нулевым значением</w:t>
      </w:r>
    </w:p>
    <w:p>
      <w:r>
        <w:t xml:space="preserve">и ручным вводом на листе </w:t>
      </w:r>
      <w:r>
        <w:rPr>
          <w:rFonts w:ascii="Courier New" w:hAnsi="Courier New"/>
          <w:color w:val="374151"/>
          <w:sz w:val="19"/>
        </w:rPr>
        <w:t>01-1</w:t>
      </w:r>
      <w:r>
        <w:t>; бетон повторно в закупку не добавляется;</w:t>
      </w:r>
    </w:p>
    <w:p>
      <w:pPr>
        <w:pStyle w:val="ListBullet"/>
      </w:pPr>
      <w:r>
        <w:t>марки, диаметры и длины арматуры берутся из спецификации; найденные расхождения с</w:t>
      </w:r>
    </w:p>
    <w:p>
      <w:r>
        <w:t>эскизами показываются в записке после парсинга, но не смешиваются молча.</w:t>
      </w:r>
    </w:p>
    <w:p>
      <w:pPr>
        <w:pStyle w:val="Heading3"/>
      </w:pPr>
      <w:r>
        <w:t>5.4. Монолитные колонны</w:t>
      </w:r>
    </w:p>
    <w:p>
      <w:r>
        <w:t>Разработать модуль монолитных колонн с поддержкой:</w:t>
      </w:r>
    </w:p>
    <w:p>
      <w:pPr>
        <w:pStyle w:val="ListBullet"/>
      </w:pPr>
      <w:r>
        <w:t>нескольких марок колонн в одном проекте;</w:t>
      </w:r>
    </w:p>
    <w:p>
      <w:pPr>
        <w:pStyle w:val="ListBullet"/>
      </w:pPr>
      <w:r>
        <w:t>количества колонн каждой марки;</w:t>
      </w:r>
    </w:p>
    <w:p>
      <w:pPr>
        <w:pStyle w:val="ListBullet"/>
      </w:pPr>
      <w:r>
        <w:t>размеров сечения и высоты;</w:t>
      </w:r>
    </w:p>
    <w:p>
      <w:pPr>
        <w:pStyle w:val="ListBullet"/>
      </w:pPr>
      <w:r>
        <w:t>бетона, опалубки, арматуры, закладных деталей и утепления, если они предусмотрены проектом;</w:t>
      </w:r>
    </w:p>
    <w:p>
      <w:pPr>
        <w:pStyle w:val="ListBullet"/>
      </w:pPr>
      <w:r>
        <w:t>объединенного либо раздельного отображения групп по подтвержденной схеме Елены;</w:t>
      </w:r>
    </w:p>
    <w:p>
      <w:pPr>
        <w:pStyle w:val="ListBullet"/>
      </w:pPr>
      <w:r>
        <w:t>динамического формирования блоков.</w:t>
      </w:r>
    </w:p>
    <w:p>
      <w:r>
        <w:t>Подтверждённые правила:</w:t>
      </w:r>
    </w:p>
    <w:p>
      <w:pPr>
        <w:pStyle w:val="ListBullet"/>
      </w:pPr>
      <w:r>
        <w:t>парсер извлекает по каждой марке количество колонн, ширину и глубину сечения, высоту и</w:t>
      </w:r>
    </w:p>
    <w:p>
      <w:r>
        <w:t>готовую площадь опалубки из спецификации;</w:t>
      </w:r>
    </w:p>
    <w:p>
      <w:pPr>
        <w:pStyle w:val="ListBullet"/>
      </w:pPr>
      <w:r>
        <w:t xml:space="preserve">если все колонны группы имеют сечение не более </w:t>
      </w:r>
      <w:r>
        <w:rPr>
          <w:rFonts w:ascii="Courier New" w:hAnsi="Courier New"/>
          <w:color w:val="374151"/>
          <w:sz w:val="19"/>
        </w:rPr>
        <w:t>300 x 300 мм</w:t>
      </w:r>
      <w:r>
        <w:t>, а их количество не более</w:t>
      </w:r>
    </w:p>
    <w:p>
      <w:r>
        <w:t>четырёх включительно, применяется деревянная опалубка из фанеры и пиломатериала;</w:t>
      </w:r>
    </w:p>
    <w:p>
      <w:pPr>
        <w:pStyle w:val="ListBullet"/>
      </w:pPr>
      <w:r>
        <w:t>для деревянной опалубки используется фактическая площадь листа фанеры</w:t>
      </w:r>
    </w:p>
    <w:p>
      <w:r>
        <w:rPr>
          <w:rFonts w:ascii="Courier New" w:hAnsi="Courier New"/>
          <w:color w:val="374151"/>
          <w:sz w:val="19"/>
        </w:rPr>
        <w:t>1,52 x 1,52 = 2,3104 м2</w:t>
      </w:r>
      <w:r>
        <w:t xml:space="preserve"> и доска толщиной </w:t>
      </w:r>
      <w:r>
        <w:rPr>
          <w:rFonts w:ascii="Courier New" w:hAnsi="Courier New"/>
          <w:color w:val="374151"/>
          <w:sz w:val="19"/>
        </w:rPr>
        <w:t>100 мм</w:t>
      </w:r>
      <w:r>
        <w:t>;</w:t>
      </w:r>
    </w:p>
    <w:p>
      <w:pPr>
        <w:pStyle w:val="ListBullet"/>
      </w:pPr>
      <w:r>
        <w:t>при большем сечении либо количестве применяется инвентарная опалубка по предложению</w:t>
      </w:r>
    </w:p>
    <w:p>
      <w:r>
        <w:t>поставщика с доставкой, амортизацией и демонтажом;</w:t>
      </w:r>
    </w:p>
    <w:p>
      <w:pPr>
        <w:pStyle w:val="ListBullet"/>
      </w:pPr>
      <w:r>
        <w:t>если колонн больше восьми, добавляется строка подачи опалубки автокраном, но количество</w:t>
      </w:r>
    </w:p>
    <w:p>
      <w:r>
        <w:t xml:space="preserve">смен остаётся ручным вводом на листе </w:t>
      </w:r>
      <w:r>
        <w:rPr>
          <w:rFonts w:ascii="Courier New" w:hAnsi="Courier New"/>
          <w:color w:val="374151"/>
          <w:sz w:val="19"/>
        </w:rPr>
        <w:t>01-1</w:t>
      </w:r>
      <w:r>
        <w:t>;</w:t>
      </w:r>
    </w:p>
    <w:p>
      <w:pPr>
        <w:pStyle w:val="ListBullet"/>
      </w:pPr>
      <w:r>
        <w:t xml:space="preserve">ручная подача бетона является отдельным ручным вводом на листе </w:t>
      </w:r>
      <w:r>
        <w:rPr>
          <w:rFonts w:ascii="Courier New" w:hAnsi="Courier New"/>
          <w:color w:val="374151"/>
          <w:sz w:val="19"/>
        </w:rPr>
        <w:t>01-1</w:t>
      </w:r>
      <w:r>
        <w:t>;</w:t>
      </w:r>
    </w:p>
    <w:p>
      <w:pPr>
        <w:pStyle w:val="ListBullet"/>
      </w:pPr>
      <w:r>
        <w:t xml:space="preserve">при объёме бетона более </w:t>
      </w:r>
      <w:r>
        <w:rPr>
          <w:rFonts w:ascii="Courier New" w:hAnsi="Courier New"/>
          <w:color w:val="374151"/>
          <w:sz w:val="19"/>
        </w:rPr>
        <w:t>3 м3</w:t>
      </w:r>
      <w:r>
        <w:t xml:space="preserve"> автоматически добавляется одна смена бетононасоса </w:t>
      </w:r>
      <w:r>
        <w:rPr>
          <w:rFonts w:ascii="Courier New" w:hAnsi="Courier New"/>
          <w:color w:val="374151"/>
          <w:sz w:val="19"/>
        </w:rPr>
        <w:t>36 м</w:t>
      </w:r>
      <w:r>
        <w:t>;</w:t>
      </w:r>
    </w:p>
    <w:p>
      <w:pPr>
        <w:pStyle w:val="ListBullet"/>
      </w:pPr>
      <w:r>
        <w:t>объём работы по бетонированию берётся из готового проектного значения без добавления</w:t>
      </w:r>
    </w:p>
    <w:p>
      <w:r>
        <w:t>закупочного запаса к объёму работы;</w:t>
      </w:r>
    </w:p>
    <w:p>
      <w:pPr>
        <w:pStyle w:val="ListBullet"/>
      </w:pPr>
      <w:r>
        <w:t>прямые продольные стержни могут не иметь номера позиции и сохраняются как погонаж;</w:t>
      </w:r>
    </w:p>
    <w:p>
      <w:r>
        <w:t>номера позиций обязательны для элементов, имеющих отдельную форму;</w:t>
      </w:r>
    </w:p>
    <w:p>
      <w:pPr>
        <w:pStyle w:val="ListBullet"/>
      </w:pPr>
      <w:r>
        <w:t>цена поставщика применяется как единая цена для соответствующего типа инвентарной</w:t>
      </w:r>
    </w:p>
    <w:p>
      <w:r>
        <w:t>опалубки без разбиения по поставщикам или зонам;</w:t>
      </w:r>
    </w:p>
    <w:p>
      <w:pPr>
        <w:pStyle w:val="ListBullet"/>
      </w:pPr>
      <w:r>
        <w:t>в проекте ТРЦ колонны отсутствуют; прежняя фраза о выпусках под колонны являлась опечаткой.</w:t>
      </w:r>
    </w:p>
    <w:p>
      <w:r>
        <w:t>Если обозначение, класс бетона или иное значение расходится между спецификацией и эскизом, используется исправленная спецификация, а несоответствие фиксируется в записке после парсинга.</w:t>
      </w:r>
    </w:p>
    <w:p>
      <w:pPr>
        <w:pStyle w:val="Heading3"/>
      </w:pPr>
      <w:r>
        <w:t>5.5. Монолитные лестницы</w:t>
      </w:r>
    </w:p>
    <w:p>
      <w:r>
        <w:t>Разработать динамический модуль лестничных конструкций:</w:t>
      </w:r>
    </w:p>
    <w:p>
      <w:pPr>
        <w:pStyle w:val="ListBullet"/>
      </w:pPr>
      <w:r>
        <w:t>отдельный блок на каждую найденную лестницу;</w:t>
      </w:r>
    </w:p>
    <w:p>
      <w:pPr>
        <w:pStyle w:val="ListBullet"/>
      </w:pPr>
      <w:r>
        <w:t>марши, площадки и связанные монолитные элементы;</w:t>
      </w:r>
    </w:p>
    <w:p>
      <w:pPr>
        <w:pStyle w:val="ListBullet"/>
      </w:pPr>
      <w:r>
        <w:t>бетон, армирование, опалубка и демонтаж;</w:t>
      </w:r>
    </w:p>
    <w:p>
      <w:pPr>
        <w:pStyle w:val="ListBullet"/>
      </w:pPr>
      <w:r>
        <w:t>количество ступеней и площадок;</w:t>
      </w:r>
    </w:p>
    <w:p>
      <w:pPr>
        <w:pStyle w:val="ListBullet"/>
      </w:pPr>
      <w:r>
        <w:t>штробление и другие подтвержденные работы;</w:t>
      </w:r>
    </w:p>
    <w:p>
      <w:pPr>
        <w:pStyle w:val="ListBullet"/>
      </w:pPr>
      <w:r>
        <w:t>возможность отключить раздел, если лестница есть в проекте, но не входит в договорную коробку.</w:t>
      </w:r>
    </w:p>
    <w:p>
      <w:r>
        <w:t>Монолитная плита лестничной зоны и самостоятельная лестница не должны дублировать друг друга.</w:t>
      </w:r>
    </w:p>
    <w:p>
      <w:r>
        <w:t>Для каждой лестницы обязательными готовыми полями спецификации являются:</w:t>
      </w:r>
    </w:p>
    <w:p>
      <w:pPr>
        <w:pStyle w:val="ListBullet"/>
      </w:pPr>
      <w:r>
        <w:t>площадь опалубки;</w:t>
      </w:r>
    </w:p>
    <w:p>
      <w:pPr>
        <w:pStyle w:val="ListBullet"/>
      </w:pPr>
      <w:r>
        <w:t>количество ступеней;</w:t>
      </w:r>
    </w:p>
    <w:p>
      <w:pPr>
        <w:pStyle w:val="ListBullet"/>
      </w:pPr>
      <w:r>
        <w:t>количество площадок;</w:t>
      </w:r>
    </w:p>
    <w:p>
      <w:pPr>
        <w:pStyle w:val="ListBullet"/>
      </w:pPr>
      <w:r>
        <w:t>длина штробления под площадку.</w:t>
      </w:r>
    </w:p>
    <w:p>
      <w:r>
        <w:t xml:space="preserve">Эти значения берутся из спецификации, а не восстанавливаются ручным обмером чертежа. Если обязательное поле отсутствует, система устанавливает статус </w:t>
      </w:r>
      <w:r>
        <w:rPr>
          <w:rFonts w:ascii="Courier New" w:hAnsi="Courier New"/>
          <w:color w:val="374151"/>
          <w:sz w:val="19"/>
        </w:rPr>
        <w:t>missing_spec_data</w:t>
      </w:r>
      <w:r>
        <w:t xml:space="preserve"> и передаёт его на исправление или ручное подтверждение, не подставляя догадку модели.</w:t>
      </w:r>
    </w:p>
    <w:p>
      <w:r>
        <w:t>Керамзит и кирпич относятся к последующему этапу отделки, поэтому в раздел монолитных лестниц и в смету коробки не включаются. После исправления проектировщиком этих строк не должно быть в конструктивной спецификации лестницы.</w:t>
      </w:r>
    </w:p>
    <w:p>
      <w:pPr>
        <w:pStyle w:val="Heading3"/>
      </w:pPr>
      <w:r>
        <w:t>5.6. Перегородки и перемычки</w:t>
      </w:r>
    </w:p>
    <w:p>
      <w:r>
        <w:t>Разработать отдельный модуль перегородок:</w:t>
      </w:r>
    </w:p>
    <w:p>
      <w:pPr>
        <w:pStyle w:val="ListBullet"/>
      </w:pPr>
      <w:r>
        <w:t>извлечение всех проектных перегородок независимо от состава договора;</w:t>
      </w:r>
    </w:p>
    <w:p>
      <w:pPr>
        <w:pStyle w:val="ListBullet"/>
      </w:pPr>
      <w:r>
        <w:t>разделение по этажам, материалу, плотности и толщине;</w:t>
      </w:r>
    </w:p>
    <w:p>
      <w:pPr>
        <w:pStyle w:val="ListBullet"/>
      </w:pPr>
      <w:r>
        <w:t>блоки, клей, армирование, перемычки и связанные работы;</w:t>
      </w:r>
    </w:p>
    <w:p>
      <w:pPr>
        <w:pStyle w:val="ListBullet"/>
      </w:pPr>
      <w:r>
        <w:t>округление материалов до подтвержденных закупочных единиц;</w:t>
      </w:r>
    </w:p>
    <w:p>
      <w:pPr>
        <w:pStyle w:val="ListBullet"/>
      </w:pPr>
      <w:r>
        <w:t>возможность отключить весь раздел при сборке сметы.</w:t>
      </w:r>
    </w:p>
    <w:p>
      <w:r>
        <w:t>Несущие стены и перегородки должны оставаться разными расчётными разделами.</w:t>
      </w:r>
    </w:p>
    <w:p>
      <w:pPr>
        <w:pStyle w:val="Heading3"/>
      </w:pPr>
      <w:r>
        <w:t>5.7. Армопояс</w:t>
      </w:r>
    </w:p>
    <w:p>
      <w:r>
        <w:t>Разработать динамический модуль армопоясов:</w:t>
      </w:r>
    </w:p>
    <w:p>
      <w:pPr>
        <w:pStyle w:val="ListBullet"/>
      </w:pPr>
      <w:r>
        <w:t>отдельный блок на каждую отметку или конструктивную группу;</w:t>
      </w:r>
    </w:p>
    <w:p>
      <w:pPr>
        <w:pStyle w:val="ListBullet"/>
      </w:pPr>
      <w:r>
        <w:t>длина, сечение, бетон и опалубка;</w:t>
      </w:r>
    </w:p>
    <w:p>
      <w:pPr>
        <w:pStyle w:val="ListBullet"/>
      </w:pPr>
      <w:r>
        <w:t>продольная и поперечная арматура;</w:t>
      </w:r>
    </w:p>
    <w:p>
      <w:pPr>
        <w:pStyle w:val="ListBullet"/>
      </w:pPr>
      <w:r>
        <w:t>утепление наружной стороны;</w:t>
      </w:r>
    </w:p>
    <w:p>
      <w:pPr>
        <w:pStyle w:val="ListBullet"/>
      </w:pPr>
      <w:r>
        <w:t>доставка, бетононасос, демонтаж и подтвержденные служебные строки;</w:t>
      </w:r>
    </w:p>
    <w:p>
      <w:pPr>
        <w:pStyle w:val="ListBullet"/>
      </w:pPr>
      <w:r>
        <w:t>несколько сечений внутри одного армопояса при наличии готовых данных.</w:t>
      </w:r>
    </w:p>
    <w:p>
      <w:r>
        <w:t>Основные дополнительные эталоны: НВД-3, ЮРВ и МКП-1.</w:t>
      </w:r>
    </w:p>
    <w:p>
      <w:pPr>
        <w:pStyle w:val="Heading3"/>
      </w:pPr>
      <w:r>
        <w:t>5.8. Металлические конструкции</w:t>
      </w:r>
    </w:p>
    <w:p>
      <w:r>
        <w:t>Разработать модуль металлических конструкций с двумя сценариями после подтверждения методики Еленой: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Простые и лёгкие конструкции — работа рассчитывается в погонных метрах по подтвержденной ставке.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Тяжёлые и сложные конструкции — работа рассчитывается по массе металла; стоимость изготовления и поставки металла вводится по предложению поставщика.</w:t>
      </w:r>
    </w:p>
    <w:p>
      <w:r>
        <w:t>Модуль должен поддерживать:</w:t>
      </w:r>
    </w:p>
    <w:p>
      <w:pPr>
        <w:pStyle w:val="ListBullet"/>
      </w:pPr>
      <w:r>
        <w:t>стойки, балки, навесы и связанные закладные детали;</w:t>
      </w:r>
    </w:p>
    <w:p>
      <w:pPr>
        <w:pStyle w:val="ListBullet"/>
      </w:pPr>
      <w:r>
        <w:t>профиль, длину, массу и количество элементов;</w:t>
      </w:r>
    </w:p>
    <w:p>
      <w:pPr>
        <w:pStyle w:val="ListBullet"/>
      </w:pPr>
      <w:r>
        <w:t>пластины, анкеры, сварочные и монтажные работы;</w:t>
      </w:r>
    </w:p>
    <w:p>
      <w:pPr>
        <w:pStyle w:val="ListBullet"/>
      </w:pPr>
      <w:r>
        <w:t>ручной ввод предложения поставщика;</w:t>
      </w:r>
    </w:p>
    <w:p>
      <w:pPr>
        <w:pStyle w:val="ListBullet"/>
      </w:pPr>
      <w:r>
        <w:t>указание способа расчёта и причины его выбора;</w:t>
      </w:r>
    </w:p>
    <w:p>
      <w:pPr>
        <w:pStyle w:val="ListBullet"/>
      </w:pPr>
      <w:r>
        <w:t>предупреждение, если масса, порог или способ расчёта не подтверждены.</w:t>
      </w:r>
    </w:p>
    <w:p>
      <w:r>
        <w:t>Порог перехода между расчётом в погонных метрах и расчётом по массе не задаётся разработчиком самостоятельно и должен быть предоставлен или подтвержден Еленой.</w:t>
      </w:r>
    </w:p>
    <w:p>
      <w:pPr>
        <w:pStyle w:val="Heading3"/>
      </w:pPr>
      <w:r>
        <w:t>5.9. Скатная кровля</w:t>
      </w:r>
    </w:p>
    <w:p>
      <w:r>
        <w:t>Скатная кровля реализуется как группа из пяти независимых расчётных модулей: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Перекрытие скатной кровли.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Стропильная система скатной кровли.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Утепление скатной кровли.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Кровельное покрытие скатной кровли.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Утепление перекрытия скатной кровли.</w:t>
      </w:r>
    </w:p>
    <w:p>
      <w:r>
        <w:t>Требования:</w:t>
      </w:r>
    </w:p>
    <w:p>
      <w:pPr>
        <w:pStyle w:val="ListBullet"/>
      </w:pPr>
      <w:r>
        <w:t>каждый модуль можно включать и отключать отдельно;</w:t>
      </w:r>
    </w:p>
    <w:p>
      <w:pPr>
        <w:pStyle w:val="ListBullet"/>
      </w:pPr>
      <w:r>
        <w:t>плоская и скатная кровля могут одновременно присутствовать в одном проекте;</w:t>
      </w:r>
    </w:p>
    <w:p>
      <w:pPr>
        <w:pStyle w:val="ListBullet"/>
      </w:pPr>
      <w:r>
        <w:t>разные участки одной кровли не должны взаимно исключаться;</w:t>
      </w:r>
    </w:p>
    <w:p>
      <w:pPr>
        <w:pStyle w:val="ListBullet"/>
      </w:pPr>
      <w:r>
        <w:t>утепление скатов, стен и перекрытия не объединяется в одно неразделимое количество;</w:t>
      </w:r>
    </w:p>
    <w:p>
      <w:pPr>
        <w:pStyle w:val="ListBullet"/>
      </w:pPr>
      <w:r>
        <w:t>материалы покрытия и комплектующие формируются по выбранному типу покрытия;</w:t>
      </w:r>
    </w:p>
    <w:p>
      <w:pPr>
        <w:pStyle w:val="ListBullet"/>
      </w:pPr>
      <w:r>
        <w:t>опорные элементы и опорные подушки реализуются как вложенный опциональный блок соответствующего конструктивного раздела, если их наличие и расчёт подтверждены;</w:t>
      </w:r>
    </w:p>
    <w:p>
      <w:pPr>
        <w:pStyle w:val="ListBullet"/>
      </w:pPr>
      <w:r>
        <w:t>индивидуальное поликарбонатное покрытие ЮСВ не включается в универсальный модуль;</w:t>
      </w:r>
    </w:p>
    <w:p>
      <w:pPr>
        <w:pStyle w:val="ListBullet"/>
      </w:pPr>
      <w:r>
        <w:t>старые цены и конкретные бренды используются только как пример состава строк, а не как обязательное правило.</w:t>
      </w:r>
    </w:p>
    <w:p>
      <w:r>
        <w:t>Основные эталоны: ГФК-11, ЮРВ и МКП-1. Дополнительные проекты предоставляются Заказчиком по мере готовности.</w:t>
      </w:r>
    </w:p>
    <w:p>
      <w:pPr>
        <w:pStyle w:val="Heading3"/>
      </w:pPr>
      <w:r>
        <w:t>5.10. Подготовительные работы</w:t>
      </w:r>
    </w:p>
    <w:p>
      <w:r>
        <w:t>Разработать отдельный шаблонный калькулятор раздела «Подготовительные работы, организация строительного городка». Раздел не извлекается из PDF: исходные параметры организации строительства вводит и подтверждает сметчик в промежуточной таблице.</w:t>
      </w:r>
    </w:p>
    <w:p>
      <w:r>
        <w:t>Раздел должен включать:</w:t>
      </w:r>
    </w:p>
    <w:p>
      <w:pPr>
        <w:pStyle w:val="ListBullet"/>
      </w:pPr>
      <w:r>
        <w:t>завоз бытовки с сохранением строки при нулевом количестве;</w:t>
      </w:r>
    </w:p>
    <w:p>
      <w:pPr>
        <w:pStyle w:val="ListBullet"/>
      </w:pPr>
      <w:r>
        <w:t>подключение бытовки с сохранением строки при нулевом количестве;</w:t>
      </w:r>
    </w:p>
    <w:p>
      <w:pPr>
        <w:pStyle w:val="ListBullet"/>
      </w:pPr>
      <w:r>
        <w:t>содержание строительного городка в течение заданного числа месяцев;</w:t>
      </w:r>
    </w:p>
    <w:p>
      <w:pPr>
        <w:pStyle w:val="ListBullet"/>
      </w:pPr>
      <w:r>
        <w:t>опциональную камеру видеонаблюдения;</w:t>
      </w:r>
    </w:p>
    <w:p>
      <w:pPr>
        <w:pStyle w:val="ListBullet"/>
      </w:pPr>
      <w:r>
        <w:t>опциональный вложенный блок подъездной дороги;</w:t>
      </w:r>
    </w:p>
    <w:p>
      <w:pPr>
        <w:pStyle w:val="ListBullet"/>
      </w:pPr>
      <w:r>
        <w:t>формулы серой себестоимости, правые расчётные подсказки и клиентскую часть.</w:t>
      </w:r>
    </w:p>
    <w:p>
      <w:r>
        <w:t>Блок подъездной дороги должен поддерживать:</w:t>
      </w:r>
    </w:p>
    <w:p>
      <w:pPr>
        <w:pStyle w:val="ListBullet"/>
      </w:pPr>
      <w:r>
        <w:t>работу экскаватора-погрузчика JCB;</w:t>
      </w:r>
    </w:p>
    <w:p>
      <w:pPr>
        <w:pStyle w:val="ListBullet"/>
      </w:pPr>
      <w:r>
        <w:t>песчаную подсыпку и строительный песок;</w:t>
      </w:r>
    </w:p>
    <w:p>
      <w:pPr>
        <w:pStyle w:val="ListBullet"/>
      </w:pPr>
      <w:r>
        <w:t>укладку дорожных железобетонных плит;</w:t>
      </w:r>
    </w:p>
    <w:p>
      <w:pPr>
        <w:pStyle w:val="ListBullet"/>
      </w:pPr>
      <w:r>
        <w:t>количество и стоимость плит;</w:t>
      </w:r>
    </w:p>
    <w:p>
      <w:pPr>
        <w:pStyle w:val="ListBullet"/>
      </w:pPr>
      <w:r>
        <w:t>доставку плит манипулятором;</w:t>
      </w:r>
    </w:p>
    <w:p>
      <w:pPr>
        <w:pStyle w:val="ListBullet"/>
      </w:pPr>
      <w:r>
        <w:t>расходные материалы и амортизацию инструмента по настраиваемой процентной ставке.</w:t>
      </w:r>
    </w:p>
    <w:p>
      <w:r>
        <w:t>Связанные количества должны пересчитываться формулами: количество материала плит равно количеству укладываемых плит, а количество песка связано с подтверждённым объёмом подсыпки. Геометрическая формула подсыпки выводится как проверочная подсказка, но итоговое количество подтверждает сметчик до согласования универсального правила округления.</w:t>
      </w:r>
    </w:p>
    <w:p>
      <w:r>
        <w:t xml:space="preserve">Для раздела применяется специальный контроль минимальной клиентской суммы </w:t>
      </w:r>
      <w:r>
        <w:rPr>
          <w:rFonts w:ascii="Courier New" w:hAnsi="Courier New"/>
          <w:color w:val="374151"/>
          <w:sz w:val="19"/>
        </w:rPr>
        <w:t>себестоимость x 1,1</w:t>
      </w:r>
      <w:r>
        <w:t>. Строки технического надзора, заготовительно-складских расходов, накладных расходов и сметной прибыли в этот раздел не добавляются, поскольку они отсутствуют во всех проверенных эталонах.</w:t>
      </w:r>
    </w:p>
    <w:p>
      <w:r>
        <w:t>Весь раздел, подъездная дорога и камера должны включаться и отключаться независимо. Основные эталоны: АРК, ТРЦ и ЮСВ. ГФК-11, ЛВП, АРХ, МКП-1, ЮРВ и РВР используются для проверки расширенного и сокращённого вариантов. Старые цены эталонов не являются источником production-цен.</w:t>
      </w:r>
    </w:p>
    <w:p>
      <w:r>
        <w:t xml:space="preserve">До окончательного ответа Елены процент расходников, округление объёма подсыпки и назначение вспомогательной формулы </w:t>
      </w:r>
      <w:r>
        <w:rPr>
          <w:rFonts w:ascii="Courier New" w:hAnsi="Courier New"/>
          <w:color w:val="374151"/>
          <w:sz w:val="19"/>
        </w:rPr>
        <w:t>количество плит x 900</w:t>
      </w:r>
      <w:r>
        <w:t xml:space="preserve"> остаются явными настраиваемыми или проверочными параметрами и не блокируют разработку раздела.</w:t>
      </w:r>
    </w:p>
    <w:p>
      <w:pPr>
        <w:pStyle w:val="Heading3"/>
      </w:pPr>
      <w:r>
        <w:t>5.11. Дополнительные и отключаемые разделы</w:t>
      </w:r>
    </w:p>
    <w:p>
      <w:r>
        <w:t>Конструктор сметы должен позволять включать и отключать найденные разделы без изменения результата парсинга.</w:t>
      </w:r>
    </w:p>
    <w:p>
      <w:r>
        <w:t>Наличие конструкции в проекте не означает её обязательного включения в договорную смету. Парсер извлекает конструкцию, а решение о включении принимает сметчик.</w:t>
      </w:r>
    </w:p>
    <w:p>
      <w:r>
        <w:t>Террасы, крыльца и другие дополнительные конструкции могут присутствовать в структуре как ручные или шаблонные блоки. Их автоматический расчёт не входит в настоящий объём, если они прямо не перечислены в разделе 5.</w:t>
      </w:r>
    </w:p>
    <w:p>
      <w:pPr>
        <w:pStyle w:val="Heading2"/>
      </w:pPr>
      <w:r>
        <w:t>6. Формулы себестоимости и правые подсказки</w:t>
      </w:r>
    </w:p>
    <w:p>
      <w:r>
        <w:t>Для существующих и новых разделов правая часть имеет структуру: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J</w:t>
      </w:r>
      <w:r>
        <w:t xml:space="preserve"> — количество;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K</w:t>
      </w:r>
      <w:r>
        <w:t xml:space="preserve"> — цена материала или механизма;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L</w:t>
      </w:r>
      <w:r>
        <w:t xml:space="preserve"> — сумма материала;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M</w:t>
      </w:r>
      <w:r>
        <w:t xml:space="preserve"> — цена работы;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N</w:t>
      </w:r>
      <w:r>
        <w:t xml:space="preserve"> — сумма работы;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O</w:t>
      </w:r>
      <w:r>
        <w:t xml:space="preserve"> — полная себестоимость строки;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P</w:t>
      </w:r>
      <w:r>
        <w:t xml:space="preserve"> и правее — расчетные подсказки, контроль и технические данные.</w:t>
      </w:r>
    </w:p>
    <w:p>
      <w:r>
        <w:t>Минимальный набор формул:</w:t>
      </w:r>
    </w:p>
    <w:p>
      <w:pPr>
        <w:spacing w:before="60" w:after="140"/>
        <w:ind w:left="283" w:right="283"/>
        <w:shd w:fill="F1F5F9"/>
      </w:pPr>
      <w:r>
        <w:rPr>
          <w:rFonts w:ascii="Courier New" w:hAnsi="Courier New"/>
          <w:sz w:val="17"/>
        </w:rPr>
        <w:t>L = J * K</w:t>
        <w:br/>
        <w:t>N = J * M</w:t>
        <w:br/>
        <w:t>O = L + N</w:t>
        <w:br/>
        <w:t>итог раздела = сумма фактических строк раздела</w:t>
      </w:r>
    </w:p>
    <w:p>
      <w:r>
        <w:t>Формулами оформляются также:</w:t>
      </w:r>
    </w:p>
    <w:p>
      <w:pPr>
        <w:pStyle w:val="ListBullet"/>
      </w:pPr>
      <w:r>
        <w:t>запас;</w:t>
      </w:r>
    </w:p>
    <w:p>
      <w:pPr>
        <w:pStyle w:val="ListBullet"/>
      </w:pPr>
      <w:r>
        <w:t>округление до рулона, упаковки, палеты, листа, рейса или смены;</w:t>
      </w:r>
    </w:p>
    <w:p>
      <w:pPr>
        <w:pStyle w:val="ListBullet"/>
      </w:pPr>
      <w:r>
        <w:t>закупочное количество;</w:t>
      </w:r>
    </w:p>
    <w:p>
      <w:pPr>
        <w:pStyle w:val="ListBullet"/>
      </w:pPr>
      <w:r>
        <w:t>масса и длина арматуры;</w:t>
      </w:r>
    </w:p>
    <w:p>
      <w:pPr>
        <w:pStyle w:val="ListBullet"/>
      </w:pPr>
      <w:r>
        <w:t>логистика и зависимые количества;</w:t>
      </w:r>
    </w:p>
    <w:p>
      <w:pPr>
        <w:pStyle w:val="ListBullet"/>
      </w:pPr>
      <w:r>
        <w:t>промежуточные и контрольные суммы.</w:t>
      </w:r>
    </w:p>
    <w:p>
      <w:r>
        <w:t>Правые подсказки должны показывать:</w:t>
      </w:r>
    </w:p>
    <w:p>
      <w:pPr>
        <w:pStyle w:val="ListBullet"/>
      </w:pPr>
      <w:r>
        <w:t>исходное проектное значение;</w:t>
      </w:r>
    </w:p>
    <w:p>
      <w:pPr>
        <w:pStyle w:val="ListBullet"/>
      </w:pPr>
      <w:r>
        <w:t>источник и страницу;</w:t>
      </w:r>
    </w:p>
    <w:p>
      <w:pPr>
        <w:pStyle w:val="ListBullet"/>
      </w:pPr>
      <w:r>
        <w:t>коэффициент запаса;</w:t>
      </w:r>
    </w:p>
    <w:p>
      <w:pPr>
        <w:pStyle w:val="ListBullet"/>
      </w:pPr>
      <w:r>
        <w:t>правило округления и размер упаковки;</w:t>
      </w:r>
    </w:p>
    <w:p>
      <w:pPr>
        <w:pStyle w:val="ListBullet"/>
      </w:pPr>
      <w:r>
        <w:t>закупочное количество;</w:t>
      </w:r>
    </w:p>
    <w:p>
      <w:pPr>
        <w:pStyle w:val="ListBullet"/>
      </w:pPr>
      <w:r>
        <w:t>остаток, массу или другую контрольную величину;</w:t>
      </w:r>
    </w:p>
    <w:p>
      <w:pPr>
        <w:pStyle w:val="ListBullet"/>
      </w:pPr>
      <w:r>
        <w:t>предупреждение о конфликте или ручном значении.</w:t>
      </w:r>
    </w:p>
    <w:p>
      <w:r>
        <w:t>Подсказка не должна содержать скрытую стоимость или случайную константу одного проекта.</w:t>
      </w:r>
    </w:p>
    <w:p>
      <w:pPr>
        <w:pStyle w:val="Heading2"/>
      </w:pPr>
      <w:r>
        <w:t>7. Клиентская часть и единая смета</w:t>
      </w:r>
    </w:p>
    <w:p>
      <w:r>
        <w:t xml:space="preserve">После подтверждения промежуточной себестоимости программа напрямую формирует одну полную Excel-смету </w:t>
      </w:r>
      <w:r>
        <w:rPr>
          <w:rFonts w:ascii="Courier New" w:hAnsi="Courier New"/>
          <w:color w:val="374151"/>
          <w:sz w:val="19"/>
        </w:rPr>
        <w:t>.xlsx</w:t>
      </w:r>
      <w:r>
        <w:t>: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A:I</w:t>
      </w:r>
      <w:r>
        <w:t xml:space="preserve"> — клиентская часть;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J:O</w:t>
      </w:r>
      <w:r>
        <w:t xml:space="preserve"> — серая себестоимость;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P</w:t>
      </w:r>
      <w:r>
        <w:t xml:space="preserve"> и правее — подсказки и контроль.</w:t>
      </w:r>
    </w:p>
    <w:p>
      <w:r>
        <w:t>Промежуточная Google-таблица используется для проверки и подтверждения входов правой части. Она не является итоговой сметой и не используется как источник точной печатной компоновки. Маршрут конвертации Google Sheets в Excel для итогового файла не применяется.</w:t>
      </w:r>
    </w:p>
    <w:p>
      <w:r>
        <w:t>Клиентская часть должна содержать формулы для:</w:t>
      </w:r>
    </w:p>
    <w:p>
      <w:pPr>
        <w:pStyle w:val="ListBullet"/>
      </w:pPr>
      <w:r>
        <w:t>количества и связи с соответствующей строкой себестоимости;</w:t>
      </w:r>
    </w:p>
    <w:p>
      <w:pPr>
        <w:pStyle w:val="ListBullet"/>
      </w:pPr>
      <w:r>
        <w:t>стоимости материалов и работ;</w:t>
      </w:r>
    </w:p>
    <w:p>
      <w:pPr>
        <w:pStyle w:val="ListBullet"/>
      </w:pPr>
      <w:r>
        <w:t>суммы строки и итогов разделов;</w:t>
      </w:r>
    </w:p>
    <w:p>
      <w:pPr>
        <w:pStyle w:val="ListBullet"/>
      </w:pPr>
      <w:r>
        <w:t>технического надзора в разделах, где он предусмотрен эталонной структурой;</w:t>
      </w:r>
    </w:p>
    <w:p>
      <w:pPr>
        <w:pStyle w:val="ListBullet"/>
      </w:pPr>
      <w:r>
        <w:t>заготовительно-складских расходов в разделах, где они предусмотрены;</w:t>
      </w:r>
    </w:p>
    <w:p>
      <w:pPr>
        <w:pStyle w:val="ListBullet"/>
      </w:pPr>
      <w:r>
        <w:t>накладных расходов в разделах, где они предусмотрены;</w:t>
      </w:r>
    </w:p>
    <w:p>
      <w:pPr>
        <w:pStyle w:val="ListBullet"/>
      </w:pPr>
      <w:r>
        <w:t>сметной прибыли в разделах, где она предусмотрена;</w:t>
      </w:r>
    </w:p>
    <w:p>
      <w:pPr>
        <w:pStyle w:val="ListBullet"/>
      </w:pPr>
      <w:r>
        <w:t>контроля минимальной клиентской суммы относительно себестоимости и коэффициента рентабельности;</w:t>
      </w:r>
    </w:p>
    <w:p>
      <w:pPr>
        <w:pStyle w:val="ListBullet"/>
      </w:pPr>
      <w:r>
        <w:t>общих итогов, скидок, компенсаций и иных договорных корректировок.</w:t>
      </w:r>
    </w:p>
    <w:p>
      <w:r>
        <w:t>Правила первой версии определяются по эталонным сметам АРК, ТРЦ, ЮСВ и НВД-3:</w:t>
      </w:r>
    </w:p>
    <w:p>
      <w:pPr>
        <w:pStyle w:val="ListBullet"/>
      </w:pPr>
      <w:r>
        <w:t>правило, устойчиво повторяющееся минимум в трёх сопоставимых проектах, применяется автоматически;</w:t>
      </w:r>
    </w:p>
    <w:p>
      <w:pPr>
        <w:pStyle w:val="ListBullet"/>
      </w:pPr>
      <w:r>
        <w:t>два подтверждения используются как стартовая подсказка;</w:t>
      </w:r>
    </w:p>
    <w:p>
      <w:pPr>
        <w:pStyle w:val="ListBullet"/>
      </w:pPr>
      <w:r>
        <w:t>единичный случай требует внимания сметчика;</w:t>
      </w:r>
    </w:p>
    <w:p>
      <w:pPr>
        <w:pStyle w:val="ListBullet"/>
      </w:pPr>
      <w:r>
        <w:t>числовая стартовая расценка определяется по медиане сопоставимых значений;</w:t>
      </w:r>
    </w:p>
    <w:p>
      <w:pPr>
        <w:pStyle w:val="ListBullet"/>
      </w:pPr>
      <w:r>
        <w:t>материалы, фиксированные услуги, доставка и работа бетононасоса не используются для автоматического добора клиентской суммы без отдельного правила;</w:t>
      </w:r>
    </w:p>
    <w:p>
      <w:pPr>
        <w:pStyle w:val="ListBullet"/>
      </w:pPr>
      <w:r>
        <w:t>коэффициенты и проценты являются настраиваемыми параметрами, а не навсегда зашитыми числами.</w:t>
      </w:r>
    </w:p>
    <w:p>
      <w:r>
        <w:t xml:space="preserve">В итоговой книге сохраняются нативные формулы Excel. Сметчик может изменить значение, коэффициент или формулу непосредственно в </w:t>
      </w:r>
      <w:r>
        <w:rPr>
          <w:rFonts w:ascii="Courier New" w:hAnsi="Courier New"/>
          <w:color w:val="374151"/>
          <w:sz w:val="19"/>
        </w:rPr>
        <w:t>.xlsx</w:t>
      </w:r>
      <w:r>
        <w:t>, после чего Excel пересчитывает обе части. Повторная автоматическая сборка не должна молча затирать ручные изменения: перед пересборкой предыдущая версия файла сохраняется отдельно.</w:t>
      </w:r>
    </w:p>
    <w:p>
      <w:r>
        <w:t xml:space="preserve">Для основного листа задаются печатная область </w:t>
      </w:r>
      <w:r>
        <w:rPr>
          <w:rFonts w:ascii="Courier New" w:hAnsi="Courier New"/>
          <w:color w:val="374151"/>
          <w:sz w:val="19"/>
        </w:rPr>
        <w:t>A:I</w:t>
      </w:r>
      <w:r>
        <w:t xml:space="preserve">, ориентация, масштаб по ширине, поля, повтор заголовков и разрывы страниц. Внутренняя книга с себестоимостью не передаётся клиенту только со скрытыми правыми колонками: клиентская выдача формируется как PDF из </w:t>
      </w:r>
      <w:r>
        <w:rPr>
          <w:rFonts w:ascii="Courier New" w:hAnsi="Courier New"/>
          <w:color w:val="374151"/>
          <w:sz w:val="19"/>
        </w:rPr>
        <w:t>A:I</w:t>
      </w:r>
      <w:r>
        <w:t xml:space="preserve"> либо как отдельная Excel-копия клиентской части. Полный </w:t>
      </w:r>
      <w:r>
        <w:rPr>
          <w:rFonts w:ascii="Courier New" w:hAnsi="Courier New"/>
          <w:color w:val="374151"/>
          <w:sz w:val="19"/>
        </w:rPr>
        <w:t>.xlsx</w:t>
      </w:r>
      <w:r>
        <w:t xml:space="preserve"> можно хранить на Google Drive как файл без преобразования в формат Google Sheets.</w:t>
      </w:r>
    </w:p>
    <w:p>
      <w:pPr>
        <w:pStyle w:val="Heading2"/>
      </w:pPr>
      <w:r>
        <w:t>8. База цен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 xml:space="preserve">Источник актуальных цен — первый лист согласованной Google-таблицы </w:t>
      </w:r>
      <w:r>
        <w:rPr>
          <w:rFonts w:ascii="Courier New" w:hAnsi="Courier New"/>
          <w:color w:val="374151"/>
          <w:sz w:val="19"/>
        </w:rPr>
        <w:t>Цены</w:t>
      </w:r>
      <w:r>
        <w:t>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Ответственность за актуальность первого листа несёт назначенный Заказчиком специалист снабжения.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Другие листы не используются производственным калькулятором как скрытый резерв цен.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Вся необходимая арматура и иные используемые позиции должны присутствовать на первом листе.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При отсутствии однозначной позиции система не подставляет случайный аналог, а формирует поле ручного выбора или предупреждение.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Старые сметы используются для структуры и логики, но не как источник актуальных цен.</w:t>
      </w:r>
    </w:p>
    <w:p>
      <w:r>
        <w:t>Для production-доступа к Google Sheets используется отдельный сервисный аккаунт. Рабочие таблицы и папки Заказчика предоставляются этому аккаунту с необходимыми правами. Секрет сервисного аккаунта не хранится в Git.</w:t>
      </w:r>
    </w:p>
    <w:p>
      <w:pPr>
        <w:pStyle w:val="Heading2"/>
      </w:pPr>
      <w:r>
        <w:t>9. Обработка ошибок проектной документации и смет</w:t>
      </w:r>
    </w:p>
    <w:p>
      <w:r>
        <w:t>В проектах и эталонных сметах ожидаются ошибки, неполные данные и противоречия. Их выявление и контролируемая обработка входят в работу по каждому новому разделу.</w:t>
      </w:r>
    </w:p>
    <w:p>
      <w:r>
        <w:t>Типовые случаи:</w:t>
      </w:r>
    </w:p>
    <w:p>
      <w:pPr>
        <w:pStyle w:val="ListBullet"/>
      </w:pPr>
      <w:r>
        <w:t>несовпадение готового итога спецификации с произведением размеров;</w:t>
      </w:r>
    </w:p>
    <w:p>
      <w:pPr>
        <w:pStyle w:val="ListBullet"/>
      </w:pPr>
      <w:r>
        <w:t>чужой адрес, шифр или кадастровый номер в скопированном штампе;</w:t>
      </w:r>
    </w:p>
    <w:p>
      <w:pPr>
        <w:pStyle w:val="ListBullet"/>
      </w:pPr>
      <w:r>
        <w:t>разные размеры, марки или плотности материала в спецификации, примечании и пояснительной записке;</w:t>
      </w:r>
    </w:p>
    <w:p>
      <w:pPr>
        <w:pStyle w:val="ListBullet"/>
      </w:pPr>
      <w:r>
        <w:t>один код, использованный для разных конструкций;</w:t>
      </w:r>
    </w:p>
    <w:p>
      <w:pPr>
        <w:pStyle w:val="ListBullet"/>
      </w:pPr>
      <w:r>
        <w:t>разные единицы измерения одной позиции;</w:t>
      </w:r>
    </w:p>
    <w:p>
      <w:pPr>
        <w:pStyle w:val="ListBullet"/>
      </w:pPr>
      <w:r>
        <w:t>отсутствующие строки или итоги спецификации;</w:t>
      </w:r>
    </w:p>
    <w:p>
      <w:pPr>
        <w:pStyle w:val="ListBullet"/>
      </w:pPr>
      <w:r>
        <w:t>формулы Excel с ошибкой, ссылкой на чужую строку или ручной константой;</w:t>
      </w:r>
    </w:p>
    <w:p>
      <w:pPr>
        <w:pStyle w:val="ListBullet"/>
      </w:pPr>
      <w:r>
        <w:t>пустая цена, которую нельзя отличить от подтвержденного нуля;</w:t>
      </w:r>
    </w:p>
    <w:p>
      <w:pPr>
        <w:pStyle w:val="ListBullet"/>
      </w:pPr>
      <w:r>
        <w:t>старое название раздела, не соответствующее фактической конструкции;</w:t>
      </w:r>
    </w:p>
    <w:p>
      <w:pPr>
        <w:pStyle w:val="ListBullet"/>
      </w:pPr>
      <w:r>
        <w:t>одна и та же конструкция, ошибочно учтенная в двух разделах.</w:t>
      </w:r>
    </w:p>
    <w:p>
      <w:r>
        <w:t>Общие правила: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Готовое число таблицы спецификации имеет приоритет над геометрической проверкой, если для раздела не согласовано иное.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Геометрический расчёт используется как контроль и источник предупреждения, а не для молчаливой замены спецификации.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Идентификатор проекта определяется по титульному листу; чужой штамп фиксируется как ошибка.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При конфликте спецификации, примечания и пояснительной записки сохраняются все существенные кандидаты со ссылками на источники.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Система не исправляет проект «по смыслу» без подтвержденного правила.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Нулевые строки Елены сохраняются. Неясное пустое значение не считается подтвержденным нулём.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Ошибочная формула эталонной сметы не переносится как правило нового калькулятора.</w:t>
      </w:r>
    </w:p>
    <w:p>
      <w:pPr>
        <w:spacing w:after="60"/>
        <w:ind w:left="369" w:hanging="369"/>
      </w:pPr>
      <w:r>
        <w:rPr>
          <w:b/>
        </w:rPr>
        <w:t xml:space="preserve">8. </w:t>
      </w:r>
      <w:r>
        <w:t>Каждое принятое исключение документируется и покрывается тестом.</w:t>
      </w:r>
    </w:p>
    <w:p>
      <w:pPr>
        <w:pStyle w:val="Heading2"/>
      </w:pPr>
      <w:r>
        <w:t>10. Требования к исходным спецификациям</w:t>
      </w:r>
    </w:p>
    <w:p>
      <w:r>
        <w:t>Языковая модель не должна надёжно воспроизводить ручной визуальный обмер чертежей, выполняемый опытным сметчиком.</w:t>
      </w:r>
    </w:p>
    <w:p>
      <w:r>
        <w:t>Если для расчёта требуется:</w:t>
      </w:r>
    </w:p>
    <w:p>
      <w:pPr>
        <w:pStyle w:val="ListBullet"/>
      </w:pPr>
      <w:r>
        <w:t>суммировать графические длины;</w:t>
      </w:r>
    </w:p>
    <w:p>
      <w:pPr>
        <w:pStyle w:val="ListBullet"/>
      </w:pPr>
      <w:r>
        <w:t>вручную снимать размеры с плана;</w:t>
      </w:r>
    </w:p>
    <w:p>
      <w:pPr>
        <w:pStyle w:val="ListBullet"/>
      </w:pPr>
      <w:r>
        <w:t>считать изображенные элементы;</w:t>
      </w:r>
    </w:p>
    <w:p>
      <w:pPr>
        <w:pStyle w:val="ListBullet"/>
      </w:pPr>
      <w:r>
        <w:t>восстанавливать сечение по нескольким чертежам;</w:t>
      </w:r>
    </w:p>
    <w:p>
      <w:pPr>
        <w:pStyle w:val="ListBullet"/>
      </w:pPr>
      <w:r>
        <w:t>принимать проектное решение;</w:t>
      </w:r>
    </w:p>
    <w:p>
      <w:r>
        <w:t>система должна: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использовать явное ручное поле для сметчика; либо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потребовать готовое число в спецификации; и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сформировать предложение проектировщикам о дополнении стандартной формы спецификации.</w:t>
      </w:r>
    </w:p>
    <w:p>
      <w:r>
        <w:t>Ожидание ответа Елены или исправления спецификации не входит в чистое время разработки и сдвигает срок соответствующего этапа.</w:t>
      </w:r>
    </w:p>
    <w:p>
      <w:pPr>
        <w:pStyle w:val="Heading2"/>
      </w:pPr>
      <w:r>
        <w:t>11. Проверочная Google-таблица</w:t>
      </w:r>
    </w:p>
    <w:p>
      <w:r>
        <w:t>Для каждого параметра должны сохраняться:</w:t>
      </w:r>
    </w:p>
    <w:p>
      <w:pPr>
        <w:pStyle w:val="ListBullet"/>
      </w:pPr>
      <w:r>
        <w:t>значение;</w:t>
      </w:r>
    </w:p>
    <w:p>
      <w:pPr>
        <w:pStyle w:val="ListBullet"/>
      </w:pPr>
      <w:r>
        <w:t>единица измерения;</w:t>
      </w:r>
    </w:p>
    <w:p>
      <w:pPr>
        <w:pStyle w:val="ListBullet"/>
      </w:pPr>
      <w:r>
        <w:t>раздел и группа конструкции;</w:t>
      </w:r>
    </w:p>
    <w:p>
      <w:pPr>
        <w:pStyle w:val="ListBullet"/>
      </w:pPr>
      <w:r>
        <w:t>файл и страница источника;</w:t>
      </w:r>
    </w:p>
    <w:p>
      <w:pPr>
        <w:pStyle w:val="ListBullet"/>
      </w:pPr>
      <w:r>
        <w:t xml:space="preserve">статус </w:t>
      </w:r>
      <w:r>
        <w:rPr>
          <w:rFonts w:ascii="Courier New" w:hAnsi="Courier New"/>
          <w:color w:val="374151"/>
          <w:sz w:val="19"/>
        </w:rPr>
        <w:t>found</w:t>
      </w:r>
      <w:r>
        <w:t xml:space="preserve">, </w:t>
      </w:r>
      <w:r>
        <w:rPr>
          <w:rFonts w:ascii="Courier New" w:hAnsi="Courier New"/>
          <w:color w:val="374151"/>
          <w:sz w:val="19"/>
        </w:rPr>
        <w:t>candidate</w:t>
      </w:r>
      <w:r>
        <w:t xml:space="preserve">, </w:t>
      </w:r>
      <w:r>
        <w:rPr>
          <w:rFonts w:ascii="Courier New" w:hAnsi="Courier New"/>
          <w:color w:val="374151"/>
          <w:sz w:val="19"/>
        </w:rPr>
        <w:t>missing</w:t>
      </w:r>
      <w:r>
        <w:t xml:space="preserve">, </w:t>
      </w:r>
      <w:r>
        <w:rPr>
          <w:rFonts w:ascii="Courier New" w:hAnsi="Courier New"/>
          <w:color w:val="374151"/>
          <w:sz w:val="19"/>
        </w:rPr>
        <w:t>auto_calculated</w:t>
      </w:r>
      <w:r>
        <w:t xml:space="preserve"> или </w:t>
      </w:r>
      <w:r>
        <w:rPr>
          <w:rFonts w:ascii="Courier New" w:hAnsi="Courier New"/>
          <w:color w:val="374151"/>
          <w:sz w:val="19"/>
        </w:rPr>
        <w:t>needs_review</w:t>
      </w:r>
      <w:r>
        <w:t>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комментарий модели;</w:t>
      </w:r>
    </w:p>
    <w:p>
      <w:pPr>
        <w:pStyle w:val="ListBullet"/>
      </w:pPr>
      <w:r>
        <w:t>поле ручного исправления;</w:t>
      </w:r>
    </w:p>
    <w:p>
      <w:pPr>
        <w:pStyle w:val="ListBullet"/>
      </w:pPr>
      <w:r>
        <w:t>финальное подтвержденное значение.</w:t>
      </w:r>
    </w:p>
    <w:p>
      <w:r>
        <w:t xml:space="preserve">Для ручных и шаблонных параметров без PDF-источника вместо файла и страницы фиксируется источник </w:t>
      </w:r>
      <w:r>
        <w:rPr>
          <w:rFonts w:ascii="Courier New" w:hAnsi="Courier New"/>
          <w:color w:val="374151"/>
          <w:sz w:val="19"/>
        </w:rPr>
        <w:t>manual_estimator_input</w:t>
      </w:r>
      <w:r>
        <w:t xml:space="preserve"> или </w:t>
      </w:r>
      <w:r>
        <w:rPr>
          <w:rFonts w:ascii="Courier New" w:hAnsi="Courier New"/>
          <w:color w:val="374151"/>
          <w:sz w:val="19"/>
        </w:rPr>
        <w:t>company_default</w:t>
      </w:r>
      <w:r>
        <w:t>, а поле остаётся явно редактируемым до подтверждения сметчиком.</w:t>
      </w:r>
    </w:p>
    <w:p>
      <w:r>
        <w:t xml:space="preserve">Для неподдерживаемой конструкции допускается статус </w:t>
      </w:r>
      <w:r>
        <w:rPr>
          <w:rFonts w:ascii="Courier New" w:hAnsi="Courier New"/>
          <w:color w:val="374151"/>
          <w:sz w:val="19"/>
        </w:rPr>
        <w:t>расчётный модуль отсутствует</w:t>
      </w:r>
      <w:r>
        <w:t>. Такая конструкция не должна мешать расчету остальных разделов.</w:t>
      </w:r>
    </w:p>
    <w:p>
      <w:pPr>
        <w:pStyle w:val="Heading2"/>
      </w:pPr>
      <w:r>
        <w:t>12. Telegram-бот</w:t>
      </w:r>
    </w:p>
    <w:p>
      <w:r>
        <w:t>Бот должен обеспечивать предусмотренный production-сценарий:</w:t>
      </w:r>
    </w:p>
    <w:p>
      <w:pPr>
        <w:pStyle w:val="ListBullet"/>
      </w:pPr>
      <w:r>
        <w:t>создание задания;</w:t>
      </w:r>
    </w:p>
    <w:p>
      <w:pPr>
        <w:pStyle w:val="ListBullet"/>
      </w:pPr>
      <w:r>
        <w:t>прием подготовленного структурированного результата;</w:t>
      </w:r>
    </w:p>
    <w:p>
      <w:pPr>
        <w:pStyle w:val="ListBullet"/>
      </w:pPr>
      <w:r>
        <w:t>создание ссылки на промежуточную Google-таблицу;</w:t>
      </w:r>
    </w:p>
    <w:p>
      <w:pPr>
        <w:pStyle w:val="ListBullet"/>
      </w:pPr>
      <w:r>
        <w:t>получение подтвержденных данных;</w:t>
      </w:r>
    </w:p>
    <w:p>
      <w:pPr>
        <w:pStyle w:val="ListBullet"/>
      </w:pPr>
      <w:r>
        <w:t>запуск калькуляторов;</w:t>
      </w:r>
    </w:p>
    <w:p>
      <w:pPr>
        <w:pStyle w:val="ListBullet"/>
      </w:pPr>
      <w:r>
        <w:t xml:space="preserve">прямое создание полной Excel-сметы </w:t>
      </w:r>
      <w:r>
        <w:rPr>
          <w:rFonts w:ascii="Courier New" w:hAnsi="Courier New"/>
          <w:color w:val="374151"/>
          <w:sz w:val="19"/>
        </w:rPr>
        <w:t>.xlsx</w:t>
      </w:r>
      <w:r>
        <w:t>;</w:t>
      </w:r>
    </w:p>
    <w:p>
      <w:pPr>
        <w:pStyle w:val="ListBullet"/>
      </w:pPr>
      <w:r>
        <w:t>отображение статуса и ошибок;</w:t>
      </w:r>
    </w:p>
    <w:p>
      <w:pPr>
        <w:pStyle w:val="ListBullet"/>
      </w:pPr>
      <w:r>
        <w:t>выдачу итогового файла или ссылки.</w:t>
      </w:r>
    </w:p>
    <w:p>
      <w:r>
        <w:t>Свободный диалог с языковой моделью в Telegram-боте в настоящий объём не входит.</w:t>
      </w:r>
    </w:p>
    <w:p>
      <w:pPr>
        <w:pStyle w:val="Heading2"/>
      </w:pPr>
      <w:r>
        <w:t>13. Production-развёртывание</w:t>
      </w:r>
    </w:p>
    <w:p>
      <w:r>
        <w:t>Production-версия разворачивается на сервере Заказчика при соблюдении следующих условий:</w:t>
      </w:r>
    </w:p>
    <w:p>
      <w:pPr>
        <w:pStyle w:val="ListBullet"/>
      </w:pPr>
      <w:r>
        <w:t xml:space="preserve">каталог приложения — внутри </w:t>
      </w:r>
      <w:r>
        <w:rPr>
          <w:rFonts w:ascii="Courier New" w:hAnsi="Courier New"/>
          <w:color w:val="374151"/>
          <w:sz w:val="19"/>
        </w:rPr>
        <w:t>/home/calc/</w:t>
      </w:r>
      <w:r>
        <w:t>;</w:t>
      </w:r>
    </w:p>
    <w:p>
      <w:pPr>
        <w:pStyle w:val="ListBullet"/>
      </w:pPr>
      <w:r>
        <w:t xml:space="preserve">процесс запускается пользователем </w:t>
      </w:r>
      <w:r>
        <w:rPr>
          <w:rFonts w:ascii="Courier New" w:hAnsi="Courier New"/>
          <w:color w:val="374151"/>
          <w:sz w:val="19"/>
        </w:rPr>
        <w:t>calc</w:t>
      </w:r>
      <w:r>
        <w:t>;</w:t>
      </w:r>
    </w:p>
    <w:p>
      <w:pPr>
        <w:pStyle w:val="ListBullet"/>
      </w:pPr>
      <w:r>
        <w:t xml:space="preserve">зависимости устанавливаются только в отдельный </w:t>
      </w:r>
      <w:r>
        <w:rPr>
          <w:rFonts w:ascii="Courier New" w:hAnsi="Courier New"/>
          <w:color w:val="374151"/>
          <w:sz w:val="19"/>
        </w:rPr>
        <w:t>venv</w:t>
      </w:r>
      <w:r>
        <w:t>;</w:t>
      </w:r>
    </w:p>
    <w:p>
      <w:pPr>
        <w:pStyle w:val="ListBullet"/>
      </w:pPr>
      <w:r>
        <w:t xml:space="preserve">используется отдельный </w:t>
      </w:r>
      <w:r>
        <w:rPr>
          <w:rFonts w:ascii="Courier New" w:hAnsi="Courier New"/>
          <w:color w:val="374151"/>
          <w:sz w:val="19"/>
        </w:rPr>
        <w:t>systemd</w:t>
      </w:r>
      <w:r>
        <w:t xml:space="preserve">-сервис </w:t>
      </w:r>
      <w:r>
        <w:rPr>
          <w:rFonts w:ascii="Courier New" w:hAnsi="Courier New"/>
          <w:color w:val="374151"/>
          <w:sz w:val="19"/>
        </w:rPr>
        <w:t>calc.service</w:t>
      </w:r>
      <w:r>
        <w:t>;</w:t>
      </w:r>
    </w:p>
    <w:p>
      <w:pPr>
        <w:pStyle w:val="ListBullet"/>
      </w:pPr>
      <w:r>
        <w:rPr>
          <w:rFonts w:ascii="Courier New" w:hAnsi="Courier New"/>
          <w:color w:val="374151"/>
          <w:sz w:val="19"/>
        </w:rPr>
        <w:t>Restart=on-failure</w:t>
      </w:r>
      <w:r>
        <w:t xml:space="preserve">, </w:t>
      </w:r>
      <w:r>
        <w:rPr>
          <w:rFonts w:ascii="Courier New" w:hAnsi="Courier New"/>
          <w:color w:val="374151"/>
          <w:sz w:val="19"/>
        </w:rPr>
        <w:t>RestartSec=10</w:t>
      </w:r>
      <w:r>
        <w:t>;</w:t>
      </w:r>
    </w:p>
    <w:p>
      <w:pPr>
        <w:pStyle w:val="ListBullet"/>
      </w:pPr>
      <w:r>
        <w:t>существующие боты, каталоги и сервисы Заказчика не изменяются;</w:t>
      </w:r>
    </w:p>
    <w:p>
      <w:pPr>
        <w:pStyle w:val="ListBullet"/>
      </w:pPr>
      <w:r>
        <w:t>Telegram API используется через предоставленный SOCKS5-прокси;</w:t>
      </w:r>
    </w:p>
    <w:p>
      <w:pPr>
        <w:pStyle w:val="ListBullet"/>
      </w:pPr>
      <w:r>
        <w:t>прокси применяется только к Telegram;</w:t>
      </w:r>
    </w:p>
    <w:p>
      <w:pPr>
        <w:pStyle w:val="ListBullet"/>
      </w:pPr>
      <w:r>
        <w:t>одновременно работает только один Telegram poller;</w:t>
      </w:r>
    </w:p>
    <w:p>
      <w:pPr>
        <w:pStyle w:val="ListBullet"/>
      </w:pPr>
      <w:r>
        <w:t>секреты Google, Telegram и прокси не хранятся в репозитории и логах;</w:t>
      </w:r>
    </w:p>
    <w:p>
      <w:pPr>
        <w:pStyle w:val="ListBullet"/>
      </w:pPr>
      <w:r>
        <w:t>системные пакеты, firewall, SSH и перезагрузка сервера не изменяются без разрешения Заказчика;</w:t>
      </w:r>
    </w:p>
    <w:p>
      <w:pPr>
        <w:pStyle w:val="ListBullet"/>
      </w:pPr>
      <w:r>
        <w:t>для деплоя формируется отдельный production-пакет без отчетов, тестовых PDF, локальных логов и секретов.</w:t>
      </w:r>
    </w:p>
    <w:p>
      <w:r>
        <w:t>Администрирование операционной системы, резервное копирование всего сервера и сопровождение сторонних сервисов не входят в настоящий объём.</w:t>
      </w:r>
    </w:p>
    <w:p>
      <w:pPr>
        <w:pStyle w:val="Heading2"/>
      </w:pPr>
      <w:r>
        <w:t>14. Тестирование</w:t>
      </w:r>
    </w:p>
    <w:p>
      <w:r>
        <w:t>Каждый новый или измененный модуль проходит: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Модульные тесты формул и округлений.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Тест контракта данных и обязательных полей.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Проверку извлечения на PDF-эталонах для модулей, использующих PDF, либо проверку</w:t>
      </w:r>
    </w:p>
    <w:p>
      <w:r>
        <w:t>ручного контракта входных данных для шаблонных модулей.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Проверку промежуточной Google-таблицы.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Построчное сравнение серой части с эталонной сметой.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 xml:space="preserve">Проверку формул и подсказок в итоговом </w:t>
      </w:r>
      <w:r>
        <w:rPr>
          <w:rFonts w:ascii="Courier New" w:hAnsi="Courier New"/>
          <w:color w:val="374151"/>
          <w:sz w:val="19"/>
        </w:rPr>
        <w:t>.xlsx</w:t>
      </w:r>
      <w:r>
        <w:t>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Проверку динамического количества блоков.</w:t>
      </w:r>
    </w:p>
    <w:p>
      <w:pPr>
        <w:spacing w:after="60"/>
        <w:ind w:left="369" w:hanging="369"/>
      </w:pPr>
      <w:r>
        <w:rPr>
          <w:b/>
        </w:rPr>
        <w:t xml:space="preserve">8. </w:t>
      </w:r>
      <w:r>
        <w:t>Регрессию семи существующих разделов.</w:t>
      </w:r>
    </w:p>
    <w:p>
      <w:pPr>
        <w:spacing w:after="60"/>
        <w:ind w:left="369" w:hanging="369"/>
      </w:pPr>
      <w:r>
        <w:rPr>
          <w:b/>
        </w:rPr>
        <w:t xml:space="preserve">9. </w:t>
      </w:r>
      <w:r>
        <w:t>Проверку проекта, в котором новый раздел отсутствует или отключен.</w:t>
      </w:r>
    </w:p>
    <w:p>
      <w:pPr>
        <w:spacing w:after="60"/>
        <w:ind w:left="369" w:hanging="369"/>
      </w:pPr>
      <w:r>
        <w:rPr>
          <w:b/>
        </w:rPr>
        <w:t xml:space="preserve">10. </w:t>
      </w:r>
      <w:r>
        <w:t>Фиксацию известных расхождений и их причин.</w:t>
      </w:r>
    </w:p>
    <w:p>
      <w:pPr>
        <w:spacing w:after="60"/>
        <w:ind w:left="369" w:hanging="369"/>
      </w:pPr>
      <w:r>
        <w:rPr>
          <w:b/>
        </w:rPr>
        <w:t xml:space="preserve">11. </w:t>
      </w:r>
      <w:r>
        <w:t xml:space="preserve">Проверку открытия книги в Excel, пересчёта формул и печати только области </w:t>
      </w:r>
      <w:r>
        <w:rPr>
          <w:rFonts w:ascii="Courier New" w:hAnsi="Courier New"/>
          <w:color w:val="374151"/>
          <w:sz w:val="19"/>
        </w:rPr>
        <w:t>A:I</w:t>
      </w:r>
      <w:r>
        <w:t>.</w:t>
      </w:r>
    </w:p>
    <w:p>
      <w:r>
        <w:t>Сравнение стоимости выполняется только при одинаковом наборе строк и одинаковых ценах. Расхождение из-за старого прайса эталонной сметы не считается ошибкой калькулятора.</w:t>
      </w:r>
    </w:p>
    <w:p>
      <w:pPr>
        <w:pStyle w:val="Heading2"/>
      </w:pPr>
      <w:r>
        <w:t>15. Приёмочные проекты</w:t>
      </w:r>
    </w:p>
    <w:p>
      <w:r>
        <w:t>Основная база разработки и проверки:</w:t>
      </w:r>
    </w:p>
    <w:p>
      <w:pPr>
        <w:pStyle w:val="ListBullet"/>
      </w:pPr>
      <w:r>
        <w:t>АРК;</w:t>
      </w:r>
    </w:p>
    <w:p>
      <w:pPr>
        <w:pStyle w:val="ListBullet"/>
      </w:pPr>
      <w:r>
        <w:t>ТРЦ;</w:t>
      </w:r>
    </w:p>
    <w:p>
      <w:pPr>
        <w:pStyle w:val="ListBullet"/>
      </w:pPr>
      <w:r>
        <w:t>ЮСВ;</w:t>
      </w:r>
    </w:p>
    <w:p>
      <w:pPr>
        <w:pStyle w:val="ListBullet"/>
      </w:pPr>
      <w:r>
        <w:t>НВД-3;</w:t>
      </w:r>
    </w:p>
    <w:p>
      <w:pPr>
        <w:pStyle w:val="ListBullet"/>
      </w:pPr>
      <w:r>
        <w:t>ГФК-11.</w:t>
      </w:r>
    </w:p>
    <w:p>
      <w:r>
        <w:t>Дополнительные старые проекты ЛВП, ЮРВ, РВР от 18.12.2024, АРХ и МКП-1 используются для проверки вариантов конструкций и порядка строк. Их старые цены не участвуют в приёмке стоимости.</w:t>
      </w:r>
    </w:p>
    <w:p>
      <w:r>
        <w:t>Если конструкция представлена только в одном проекте, приёмка подтверждает поддержку этого конкретного варианта. Гарантия обработки ранее не встречавшегося варианта конструкции возникает только после его отдельного анализа и добавления в тестовую базу.</w:t>
      </w:r>
    </w:p>
    <w:p>
      <w:pPr>
        <w:pStyle w:val="Heading2"/>
      </w:pPr>
      <w:r>
        <w:t>16. Результаты работ</w:t>
      </w:r>
    </w:p>
    <w:p>
      <w:r>
        <w:t>Исполнитель передаёт:</w:t>
      </w:r>
    </w:p>
    <w:p>
      <w:pPr>
        <w:pStyle w:val="ListBullet"/>
      </w:pPr>
      <w:r>
        <w:t>обновленный исходный код;</w:t>
      </w:r>
    </w:p>
    <w:p>
      <w:pPr>
        <w:pStyle w:val="ListBullet"/>
      </w:pPr>
      <w:r>
        <w:t>контракты и схемы данных новых разделов;</w:t>
      </w:r>
    </w:p>
    <w:p>
      <w:pPr>
        <w:pStyle w:val="ListBullet"/>
      </w:pPr>
      <w:r>
        <w:t>калькуляторы и адаптеры;</w:t>
      </w:r>
    </w:p>
    <w:p>
      <w:pPr>
        <w:pStyle w:val="ListBullet"/>
      </w:pPr>
      <w:r>
        <w:t>шаблоны промежуточной и полной сметы;</w:t>
      </w:r>
    </w:p>
    <w:p>
      <w:pPr>
        <w:pStyle w:val="ListBullet"/>
      </w:pPr>
      <w:r>
        <w:t>формулы и правые подсказки;</w:t>
      </w:r>
    </w:p>
    <w:p>
      <w:pPr>
        <w:pStyle w:val="ListBullet"/>
      </w:pPr>
      <w:r>
        <w:t>набор автоматических тестов;</w:t>
      </w:r>
    </w:p>
    <w:p>
      <w:pPr>
        <w:pStyle w:val="ListBullet"/>
      </w:pPr>
      <w:r>
        <w:t>отчёты построчного сравнения эталонов;</w:t>
      </w:r>
    </w:p>
    <w:p>
      <w:pPr>
        <w:pStyle w:val="ListBullet"/>
      </w:pPr>
      <w:r>
        <w:t>список выявленных ошибок проектов и согласованных решений;</w:t>
      </w:r>
    </w:p>
    <w:p>
      <w:pPr>
        <w:pStyle w:val="ListBullet"/>
      </w:pPr>
      <w:r>
        <w:t>предложения по дополнению спецификаций;</w:t>
      </w:r>
    </w:p>
    <w:p>
      <w:pPr>
        <w:pStyle w:val="ListBullet"/>
      </w:pPr>
      <w:r>
        <w:t xml:space="preserve">production-пакет и </w:t>
      </w:r>
      <w:r>
        <w:rPr>
          <w:rFonts w:ascii="Courier New" w:hAnsi="Courier New"/>
          <w:color w:val="374151"/>
          <w:sz w:val="19"/>
        </w:rPr>
        <w:t>requirements-prod.txt</w:t>
      </w:r>
      <w:r>
        <w:t>;</w:t>
      </w:r>
    </w:p>
    <w:p>
      <w:pPr>
        <w:pStyle w:val="ListBullet"/>
      </w:pPr>
      <w:r>
        <w:t xml:space="preserve">конфигурацию </w:t>
      </w:r>
      <w:r>
        <w:rPr>
          <w:rFonts w:ascii="Courier New" w:hAnsi="Courier New"/>
          <w:color w:val="374151"/>
          <w:sz w:val="19"/>
        </w:rPr>
        <w:t>calc.service</w:t>
      </w:r>
      <w:r>
        <w:t xml:space="preserve"> без секретов;</w:t>
      </w:r>
    </w:p>
    <w:p>
      <w:pPr>
        <w:pStyle w:val="ListBullet"/>
      </w:pPr>
      <w:r>
        <w:t>инструкцию по развёртыванию, проверке и откату;</w:t>
      </w:r>
    </w:p>
    <w:p>
      <w:pPr>
        <w:pStyle w:val="ListBullet"/>
      </w:pPr>
      <w:r>
        <w:t>рабочую production-версию на сервере Заказчика при выполнении серверных условий.</w:t>
      </w:r>
    </w:p>
    <w:p>
      <w:pPr>
        <w:pStyle w:val="Heading2"/>
      </w:pPr>
      <w:r>
        <w:t>17. Что не входит в объём</w:t>
      </w:r>
    </w:p>
    <w:p>
      <w:pPr>
        <w:pStyle w:val="ListBullet"/>
      </w:pPr>
      <w:r>
        <w:t>повторная разработка семи существующих калькуляторов с нуля;</w:t>
      </w:r>
    </w:p>
    <w:p>
      <w:pPr>
        <w:pStyle w:val="ListBullet"/>
      </w:pPr>
      <w:r>
        <w:t>гарантированная обработка любых неизвестных конструкций без предоставления примера;</w:t>
      </w:r>
    </w:p>
    <w:p>
      <w:pPr>
        <w:pStyle w:val="ListBullet"/>
      </w:pPr>
      <w:r>
        <w:t>инженерные системы и внутренняя отделка;</w:t>
      </w:r>
    </w:p>
    <w:p>
      <w:pPr>
        <w:pStyle w:val="ListBullet"/>
      </w:pPr>
      <w:r>
        <w:t>автоматический обмер произвольных чертежей вместо спецификаций;</w:t>
      </w:r>
    </w:p>
    <w:p>
      <w:pPr>
        <w:pStyle w:val="ListBullet"/>
      </w:pPr>
      <w:r>
        <w:t>DWG без экспорта в PDF;</w:t>
      </w:r>
    </w:p>
    <w:p>
      <w:pPr>
        <w:pStyle w:val="ListBullet"/>
      </w:pPr>
      <w:r>
        <w:t>автоматическая интеграция с УНИКМА и подбор товара по её каталогу;</w:t>
      </w:r>
    </w:p>
    <w:p>
      <w:pPr>
        <w:pStyle w:val="ListBullet"/>
      </w:pPr>
      <w:r>
        <w:t>автоматический расчет цены металла поставщика без предоставленного предложения;</w:t>
      </w:r>
    </w:p>
    <w:p>
      <w:pPr>
        <w:pStyle w:val="ListBullet"/>
      </w:pPr>
      <w:r>
        <w:t>индивидуальное покрытие ЮСВ из поликарбоната;</w:t>
      </w:r>
    </w:p>
    <w:p>
      <w:pPr>
        <w:pStyle w:val="ListBullet"/>
      </w:pPr>
      <w:r>
        <w:t>автоматический расчет террас, крылец и иных разделов, не перечисленных в разделе 5;</w:t>
      </w:r>
    </w:p>
    <w:p>
      <w:pPr>
        <w:pStyle w:val="ListBullet"/>
      </w:pPr>
      <w:r>
        <w:t>свободный чат с нейросетью внутри Telegram-бота;</w:t>
      </w:r>
    </w:p>
    <w:p>
      <w:pPr>
        <w:pStyle w:val="ListBullet"/>
      </w:pPr>
      <w:r>
        <w:t>обучение собственной фундаментальной модели;</w:t>
      </w:r>
    </w:p>
    <w:p>
      <w:pPr>
        <w:pStyle w:val="ListBullet"/>
      </w:pPr>
      <w:r>
        <w:t>исправление исходной проектной документации за проектировщиков;</w:t>
      </w:r>
    </w:p>
    <w:p>
      <w:pPr>
        <w:pStyle w:val="ListBullet"/>
      </w:pPr>
      <w:r>
        <w:t>круглосуточное администрирование сервера и сторонних аккаунтов.</w:t>
      </w:r>
    </w:p>
    <w:p>
      <w:pPr>
        <w:pStyle w:val="Heading2"/>
      </w:pPr>
      <w:r>
        <w:t>18. Этапы и предварительные сроки</w:t>
      </w:r>
    </w:p>
    <w:p>
      <w:r>
        <w:t>Основной анализ разделов, эталонных смет и PDF-проектов уже выполнен до начала разработки. Поэтому срок настоящего этапа считается не как исследование разделов с нуля, а как реализация уже описанных правил.</w:t>
      </w:r>
    </w:p>
    <w:p>
      <w:r>
        <w:t>Сроки указаны с момента письменного согласования ТЗ и получения необходимых файлов, доступов и ответов на блокирующие вопросы. Ожидание данных Заказчика или Елены в срок этапа не входит.</w:t>
      </w:r>
    </w:p>
    <w:p>
      <w:pPr>
        <w:pStyle w:val="Heading3"/>
      </w:pPr>
      <w:r>
        <w:t>18.1. Реализация калькуляторов — 13 рабочих дней</w:t>
      </w:r>
    </w:p>
    <w:p>
      <w:r>
        <w:t>Базовый норматив — один калькулятор за один рабочий день: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День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Калькулятор / доработка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Ростверк, фундаментные ленты и рёбра плиты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Универсальная гидроизоляция плиты и ростверка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Монолитные колонны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Монолитные лестницы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Перегородки и перемычки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Армопояс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Металлические конструкции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Подготовительные работы и организация строительного городка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Перекрытие скатной кровли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Стропильная система скатной кровли, включая опциональные опорные элементы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Утепление скатной кровли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Кровельное покрытие скатной кровли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Утепление перекрытия скатной кровли</w:t>
            </w:r>
          </w:p>
        </w:tc>
      </w:tr>
    </w:tbl>
    <w:p>
      <w:pPr>
        <w:spacing w:after="0"/>
      </w:pPr>
    </w:p>
    <w:p>
      <w:r>
        <w:t>В один рабочий день по каждому калькулятору входят:</w:t>
      </w:r>
    </w:p>
    <w:p>
      <w:pPr>
        <w:pStyle w:val="ListBullet"/>
      </w:pPr>
      <w:r>
        <w:t>схема входных данных на основе уже выполненного анализа;</w:t>
      </w:r>
    </w:p>
    <w:p>
      <w:pPr>
        <w:pStyle w:val="ListBullet"/>
      </w:pPr>
      <w:r>
        <w:t>адаптер подтвержденных данных;</w:t>
      </w:r>
    </w:p>
    <w:p>
      <w:pPr>
        <w:pStyle w:val="ListBullet"/>
      </w:pPr>
      <w:r>
        <w:t>детерминированный расчет;</w:t>
      </w:r>
    </w:p>
    <w:p>
      <w:pPr>
        <w:pStyle w:val="ListBullet"/>
      </w:pPr>
      <w:r>
        <w:t>строки серой части по порядку Елены;</w:t>
      </w:r>
    </w:p>
    <w:p>
      <w:pPr>
        <w:pStyle w:val="ListBullet"/>
      </w:pPr>
      <w:r>
        <w:t>базовые модульные тесты.</w:t>
      </w:r>
    </w:p>
    <w:p>
      <w:r>
        <w:t xml:space="preserve">Если до соответствующего дня не получен ответ на блокирующий вопрос, калькулятор реализуется с явным ручным полем или статусом </w:t>
      </w:r>
      <w:r>
        <w:rPr>
          <w:rFonts w:ascii="Courier New" w:hAnsi="Courier New"/>
          <w:color w:val="374151"/>
          <w:sz w:val="19"/>
        </w:rPr>
        <w:t>needs_review</w:t>
      </w:r>
      <w:r>
        <w:t>, а окончательное правило добавляется после ответа в пределах этапа исправлений.</w:t>
      </w:r>
    </w:p>
    <w:p>
      <w:pPr>
        <w:pStyle w:val="Heading3"/>
      </w:pPr>
      <w:r>
        <w:t>18.2. Формулы и подсказки — 2 рабочих дня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День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Работа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Формулы и правые подсказки семи существующих разделов; проверка их совместимости с новым экспортом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Формулы и правые подсказки новых разделов; динамическая карта строк и общие итоги</w:t>
            </w:r>
          </w:p>
        </w:tc>
      </w:tr>
    </w:tbl>
    <w:p>
      <w:pPr>
        <w:spacing w:after="0"/>
      </w:pPr>
    </w:p>
    <w:p>
      <w:r>
        <w:t xml:space="preserve">Новые калькуляторы изначально создаются с расчетной логикой. Эти два дня предназначены для прямого формирования итоговой Excel-книги, межраздельных ссылок, правых подсказок и окончательной проверки нативных формул в ячейках </w:t>
      </w:r>
      <w:r>
        <w:rPr>
          <w:rFonts w:ascii="Courier New" w:hAnsi="Courier New"/>
          <w:color w:val="374151"/>
          <w:sz w:val="19"/>
        </w:rPr>
        <w:t>.xlsx</w:t>
      </w:r>
      <w:r>
        <w:t>. Промежуточная Google-таблица остаётся средством проверки исходных данных себестоимости.</w:t>
      </w:r>
    </w:p>
    <w:p>
      <w:pPr>
        <w:pStyle w:val="Heading3"/>
      </w:pPr>
      <w:r>
        <w:t>18.3. Клиентская часть — 1 рабочий день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День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Работа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Генерация левой клиентской части в итоговой Excel-книге, предусмотренных разделами ТН, ЗСР, НР, СП, итогов, контроля относительно себестоимости и печатной области </w:t>
            </w:r>
            <w:r>
              <w:rPr>
                <w:rFonts w:ascii="Arial" w:hAnsi="Arial"/>
                <w:color w:val="374151"/>
                <w:sz w:val="18"/>
              </w:rPr>
              <w:t>A:I</w:t>
            </w:r>
          </w:p>
        </w:tc>
      </w:tr>
    </w:tbl>
    <w:p>
      <w:pPr>
        <w:spacing w:after="0"/>
      </w:pPr>
    </w:p>
    <w:p>
      <w:r>
        <w:t>Работа выполняется на уже согласованной динамической карте строк и модели клиентской части.</w:t>
      </w:r>
    </w:p>
    <w:p>
      <w:pPr>
        <w:pStyle w:val="Heading3"/>
      </w:pPr>
      <w:r>
        <w:t>18.4. Сквозные тесты и исправления — 5 рабочих дней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День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Работа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Сквозной прогон АРК и ГФК-11; ростверк/ленты, гидроизоляция, колонны и подготовительные работы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Сквозной прогон ТРЦ и НВД-3; лестницы, перегородки, армопояс и отключение шаблонных разделов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Проверка металлоконструкций и пяти модулей скатной кровли на основных и старых эталонах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Проверка полной клиентской и себестоимостной Excel-сметы, формул и печати </w:t>
            </w:r>
            <w:r>
              <w:rPr>
                <w:rFonts w:ascii="Arial" w:hAnsi="Arial"/>
                <w:color w:val="374151"/>
                <w:sz w:val="18"/>
              </w:rPr>
              <w:t>A:I</w:t>
            </w:r>
            <w:r>
              <w:rPr>
                <w:rFonts w:ascii="Arial" w:hAnsi="Arial"/>
                <w:sz w:val="18"/>
              </w:rPr>
              <w:t>; регрессия семи существующих разделов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Исправления, повторный прогон, production smoke-test, документация и приёмочная версия</w:t>
            </w:r>
          </w:p>
        </w:tc>
      </w:tr>
    </w:tbl>
    <w:p>
      <w:pPr>
        <w:spacing w:after="0"/>
      </w:pPr>
    </w:p>
    <w:p>
      <w:pPr>
        <w:pStyle w:val="Heading3"/>
      </w:pPr>
      <w:r>
        <w:t>18.5. Общий срок</w:t>
      </w:r>
    </w:p>
    <w:p>
      <w:r>
        <w:t xml:space="preserve">Предварительный общий срок разработки: </w:t>
      </w:r>
      <w:r>
        <w:rPr>
          <w:b/>
        </w:rPr>
        <w:t>21 рабочий день</w:t>
      </w:r>
      <w:r>
        <w:t xml:space="preserve">, то есть ориентировочно </w:t>
      </w:r>
      <w:r>
        <w:rPr>
          <w:b/>
        </w:rPr>
        <w:t>4 календарные недели и 1 рабочий день</w:t>
      </w:r>
      <w:r>
        <w:t xml:space="preserve"> при пятидневной рабочей неделе.</w:t>
      </w:r>
    </w:p>
    <w:p>
      <w:r>
        <w:t>Срок включает предусмотренные настоящим ТЗ калькуляторы, формулы, клиентскую часть, пять дней тестирования и исправлений. Production-запуск включается в последний этап при условии, что сервер, прокси, сервисный аккаунт Google и остальные доступы подготовлены заранее.</w:t>
      </w:r>
    </w:p>
    <w:p>
      <w:r>
        <w:t>Рекомендуемые промежуточные точки приёмки: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После дня 7 — монолитные и металлические разделы.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После дня 13 — подготовительные работы и все пять модулей скатной кровли.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После дня 16 — единая полная Excel-смета с настроенной клиентской печатной областью.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После дня 21 — итоговая production-версия.</w:t>
      </w:r>
    </w:p>
    <w:p>
      <w:pPr>
        <w:pStyle w:val="Heading2"/>
      </w:pPr>
      <w:r>
        <w:t>19. Стоимость и условия по сроку</w:t>
      </w:r>
    </w:p>
    <w:p>
      <w:r>
        <w:t>Стоимость работ по настоящему ТЗ: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Работа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Стоимость, руб.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Разработка и доработка расчётных разделов Этапа 2 с формулами себестоимости и правыми подсказками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100 000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Формирование левой клиентской части единой сметы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15 000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Добавление формул и правых подсказок в семь ранее разработанных разделов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15 000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Production-развёртывание на сервере Заказчика при наличии необходимых доступов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Итого</w:t>
            </w:r>
          </w:p>
        </w:tc>
        <w:tc>
          <w:tcPr>
            <w:tcW w:type="dxa" w:w="50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130 000</w:t>
            </w:r>
          </w:p>
        </w:tc>
      </w:tr>
    </w:tbl>
    <w:p>
      <w:pPr>
        <w:spacing w:after="0"/>
      </w:pPr>
    </w:p>
    <w:p>
      <w:r>
        <w:t>Условия, связанные со сроком выполнения: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При полной сдаче и приёмке результата ранее согласованного срока Исполнителю</w:t>
      </w:r>
    </w:p>
    <w:p>
      <w:r>
        <w:t xml:space="preserve">выплачивается премия </w:t>
      </w:r>
      <w:r>
        <w:rPr>
          <w:rFonts w:ascii="Courier New" w:hAnsi="Courier New"/>
          <w:color w:val="374151"/>
          <w:sz w:val="19"/>
        </w:rPr>
        <w:t>20%</w:t>
      </w:r>
      <w:r>
        <w:t xml:space="preserve"> от общей стоимости работ: </w:t>
      </w:r>
      <w:r>
        <w:rPr>
          <w:rFonts w:ascii="Courier New" w:hAnsi="Courier New"/>
          <w:color w:val="374151"/>
          <w:sz w:val="19"/>
        </w:rPr>
        <w:t>26 000 руб.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 xml:space="preserve">Общая стоимость с премией за досрочную сдачу составляет </w:t>
      </w:r>
      <w:r>
        <w:rPr>
          <w:rFonts w:ascii="Courier New" w:hAnsi="Courier New"/>
          <w:color w:val="374151"/>
          <w:sz w:val="19"/>
        </w:rPr>
        <w:t>156 000 руб.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При сдаче в согласованный срок, включая последний день срока, премия не начисляется;</w:t>
      </w:r>
    </w:p>
    <w:p>
      <w:r>
        <w:t xml:space="preserve">стоимость работ составляет </w:t>
      </w:r>
      <w:r>
        <w:rPr>
          <w:rFonts w:ascii="Courier New" w:hAnsi="Courier New"/>
          <w:color w:val="374151"/>
          <w:sz w:val="19"/>
        </w:rPr>
        <w:t>130 000 руб.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При нарушении срока применяются неустойки в размере и порядке, установленных</w:t>
      </w:r>
    </w:p>
    <w:p>
      <w:r>
        <w:t>договором. Настоящее ТЗ не устанавливает отдельный размер неустойки.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Досрочная сдача означает завершение всего согласованного объёма, успешное прохождение</w:t>
      </w:r>
    </w:p>
    <w:p>
      <w:r>
        <w:t>предусмотренных тестов и передачу результата на приёмку до окончания договорного срока.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Периоды документированного ожидания файлов, доступов, решений Заказчика или ответов</w:t>
      </w:r>
    </w:p>
    <w:p>
      <w:r>
        <w:t>на блокирующие вопросы не считаются просрочкой Исполнителя и учитываются по правилам договора и раздела 20 настоящего ТЗ.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Бесплатное production-развёртывание не включает отдельные платные работы по</w:t>
      </w:r>
    </w:p>
    <w:p>
      <w:r>
        <w:t>администрированию сервера, изменению сторонних сервисов или устранению проблем инфраструктуры, не относящихся к разработанному приложению.</w:t>
      </w:r>
    </w:p>
    <w:p>
      <w:r>
        <w:t>Порядок и даты платежей, форма подтверждения досрочной сдачи и порядок приёмки фиксируются в договоре.</w:t>
      </w:r>
    </w:p>
    <w:p>
      <w:pPr>
        <w:pStyle w:val="Heading2"/>
      </w:pPr>
      <w:r>
        <w:t>20. Условия, влияющие на сроки</w:t>
      </w:r>
    </w:p>
    <w:p>
      <w:r>
        <w:t>Срок пересматривается, если:</w:t>
      </w:r>
    </w:p>
    <w:p>
      <w:pPr>
        <w:pStyle w:val="ListBullet"/>
      </w:pPr>
      <w:r>
        <w:t>предоставлен новый тип конструкции, отсутствующий в согласованных эталонах;</w:t>
      </w:r>
    </w:p>
    <w:p>
      <w:pPr>
        <w:pStyle w:val="ListBullet"/>
      </w:pPr>
      <w:r>
        <w:t>для формулы отсутствует готовый параметр в спецификации;</w:t>
      </w:r>
    </w:p>
    <w:p>
      <w:pPr>
        <w:pStyle w:val="ListBullet"/>
      </w:pPr>
      <w:r>
        <w:t>требуется ждать решения Елены;</w:t>
      </w:r>
    </w:p>
    <w:p>
      <w:pPr>
        <w:pStyle w:val="ListBullet"/>
      </w:pPr>
      <w:r>
        <w:t>меняется порядок или состав строк эталонной сметы;</w:t>
      </w:r>
    </w:p>
    <w:p>
      <w:pPr>
        <w:pStyle w:val="ListBullet"/>
      </w:pPr>
      <w:r>
        <w:t>меняется источник цен или формат Google-таблицы;</w:t>
      </w:r>
    </w:p>
    <w:p>
      <w:pPr>
        <w:pStyle w:val="ListBullet"/>
      </w:pPr>
      <w:r>
        <w:t>требуется отдельная интеграция с внешним API;</w:t>
      </w:r>
    </w:p>
    <w:p>
      <w:pPr>
        <w:pStyle w:val="ListBullet"/>
      </w:pPr>
      <w:r>
        <w:t>сервер не соответствует согласованным условиям;</w:t>
      </w:r>
    </w:p>
    <w:p>
      <w:pPr>
        <w:pStyle w:val="ListBullet"/>
      </w:pPr>
      <w:r>
        <w:t>Заказчик просит включить новый раздел, отсутствующий в настоящем ТЗ.</w:t>
      </w:r>
    </w:p>
    <w:p>
      <w:r>
        <w:t>Выявление ошибки в проекте само по себе не считается расширением объёма, если она обрабатывается общим правилом настоящего ТЗ. Разработка новой специальной логики для уникального случая оценивается отдельно.</w:t>
      </w:r>
    </w:p>
    <w:p>
      <w:pPr>
        <w:pStyle w:val="Heading2"/>
      </w:pPr>
      <w:r>
        <w:t>21. Критерии завершения</w:t>
      </w:r>
    </w:p>
    <w:p>
      <w:r>
        <w:t>Работа считается технически завершенной, когда: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Все перечисленные в разделе 5 модули реализованы в согласованных вариантах.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Гидроизоляция корректно работает с ростверком, фундаментными лентами/стенами,</w:t>
      </w:r>
    </w:p>
    <w:p>
      <w:r>
        <w:t>рёбрами плиты и без этих дополнительных групп.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Существующие семь разделов проходят регрессию.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Все расчетные строки новой сметы имеют формулы либо явно обозначенный редактируемый ручной ввод.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Подсказки позволяют проверить источник, запас и округление.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Динамические конструкции формируют необходимое количество блоков.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Сметчик может отключить найденный раздел.</w:t>
      </w:r>
    </w:p>
    <w:p>
      <w:pPr>
        <w:spacing w:after="60"/>
        <w:ind w:left="369" w:hanging="369"/>
      </w:pPr>
      <w:r>
        <w:rPr>
          <w:b/>
        </w:rPr>
        <w:t xml:space="preserve">8. </w:t>
      </w:r>
      <w:r>
        <w:t xml:space="preserve">Создаётся одна полная Excel-смета </w:t>
      </w:r>
      <w:r>
        <w:rPr>
          <w:rFonts w:ascii="Courier New" w:hAnsi="Courier New"/>
          <w:color w:val="374151"/>
          <w:sz w:val="19"/>
        </w:rPr>
        <w:t>.xlsx</w:t>
      </w:r>
      <w:r>
        <w:t xml:space="preserve"> с клиентской частью, себестоимостью и правыми</w:t>
      </w:r>
    </w:p>
    <w:p>
      <w:r>
        <w:t>подсказками; файл формируется напрямую, без конвертации итогового макета из Google Sheets.</w:t>
      </w:r>
    </w:p>
    <w:p>
      <w:pPr>
        <w:spacing w:after="60"/>
        <w:ind w:left="369" w:hanging="369"/>
      </w:pPr>
      <w:r>
        <w:rPr>
          <w:b/>
        </w:rPr>
        <w:t xml:space="preserve">9. </w:t>
      </w:r>
      <w:r>
        <w:t>Изменение входного значения пересчитывает строку, раздел и общий итог.</w:t>
      </w:r>
    </w:p>
    <w:p>
      <w:pPr>
        <w:spacing w:after="60"/>
        <w:ind w:left="369" w:hanging="369"/>
      </w:pPr>
      <w:r>
        <w:rPr>
          <w:b/>
        </w:rPr>
        <w:t xml:space="preserve">10. </w:t>
      </w:r>
      <w:r>
        <w:t>Ошибки и конфликты проекта не скрываются и не исправляются моделью молча.</w:t>
      </w:r>
    </w:p>
    <w:p>
      <w:pPr>
        <w:spacing w:after="60"/>
        <w:ind w:left="369" w:hanging="369"/>
      </w:pPr>
      <w:r>
        <w:rPr>
          <w:b/>
        </w:rPr>
        <w:t xml:space="preserve">11. </w:t>
      </w:r>
      <w:r>
        <w:t>Пройден согласованный набор автоматических и приёмочных тестов.</w:t>
      </w:r>
    </w:p>
    <w:p>
      <w:pPr>
        <w:spacing w:after="60"/>
        <w:ind w:left="369" w:hanging="369"/>
      </w:pPr>
      <w:r>
        <w:rPr>
          <w:b/>
        </w:rPr>
        <w:t xml:space="preserve">12. </w:t>
      </w:r>
      <w:r>
        <w:t xml:space="preserve">Печатная область основного листа ограничена колонками </w:t>
      </w:r>
      <w:r>
        <w:rPr>
          <w:rFonts w:ascii="Courier New" w:hAnsi="Courier New"/>
          <w:color w:val="374151"/>
          <w:sz w:val="19"/>
        </w:rPr>
        <w:t>A:I</w:t>
      </w:r>
      <w:r>
        <w:t>; серая себестоимость и</w:t>
      </w:r>
    </w:p>
    <w:p>
      <w:r>
        <w:t>правые подсказки не попадают в клиентскую печать.</w:t>
      </w:r>
    </w:p>
    <w:p>
      <w:pPr>
        <w:spacing w:after="60"/>
        <w:ind w:left="369" w:hanging="369"/>
      </w:pPr>
      <w:r>
        <w:rPr>
          <w:b/>
        </w:rPr>
        <w:t xml:space="preserve">13. </w:t>
      </w:r>
      <w:r>
        <w:t>Production-бот запущен на сервере Заказчика либо подготовлен к запуску, если запуск зависит от не предоставленного доступа или внешнего состояния сервера.</w:t>
      </w:r>
    </w:p>
    <w:p>
      <w:pPr>
        <w:pStyle w:val="Heading2"/>
      </w:pPr>
      <w:r>
        <w:t>22. Вопросы для финальной редакции ТЗ</w:t>
      </w:r>
    </w:p>
    <w:p>
      <w:r>
        <w:t>До утверждения документа необходимо заполнить: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Дату начала работ.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График и порядок оплаты, а также форма подтверждения досрочной сдачи.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Порог массы для сценариев металлических конструкций.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Окончательный состав и порядок пяти модулей скатной кровли.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Решение по опорным подушкам/элементам.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Список обязательных формул и подсказок для каждого из семи существующих разделов.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Процентные ставки и базы ТН, ЗСР, НР и СП.</w:t>
      </w:r>
    </w:p>
    <w:p>
      <w:pPr>
        <w:spacing w:after="60"/>
        <w:ind w:left="369" w:hanging="369"/>
      </w:pPr>
      <w:r>
        <w:rPr>
          <w:b/>
        </w:rPr>
        <w:t xml:space="preserve">8. </w:t>
      </w:r>
      <w:r>
        <w:t>Правила наличной и безналичной клиентской стоимости.</w:t>
      </w:r>
    </w:p>
    <w:p>
      <w:pPr>
        <w:spacing w:after="60"/>
        <w:ind w:left="369" w:hanging="369"/>
      </w:pPr>
      <w:r>
        <w:rPr>
          <w:b/>
        </w:rPr>
        <w:t xml:space="preserve">9. </w:t>
      </w:r>
      <w:r>
        <w:t xml:space="preserve">Права доступа к промежуточным Google-таблицам и папке хранения итоговых </w:t>
      </w:r>
      <w:r>
        <w:rPr>
          <w:rFonts w:ascii="Courier New" w:hAnsi="Courier New"/>
          <w:color w:val="374151"/>
          <w:sz w:val="19"/>
        </w:rPr>
        <w:t>.xlsx</w:t>
      </w:r>
      <w:r>
        <w:t>.</w:t>
      </w:r>
    </w:p>
    <w:p>
      <w:pPr>
        <w:spacing w:after="60"/>
        <w:ind w:left="369" w:hanging="369"/>
      </w:pPr>
      <w:r>
        <w:rPr>
          <w:b/>
        </w:rPr>
        <w:t xml:space="preserve">10. </w:t>
      </w:r>
      <w:r>
        <w:t xml:space="preserve">Формат клиентской выдачи: PDF, отдельная копия </w:t>
      </w:r>
      <w:r>
        <w:rPr>
          <w:rFonts w:ascii="Courier New" w:hAnsi="Courier New"/>
          <w:color w:val="374151"/>
          <w:sz w:val="19"/>
        </w:rPr>
        <w:t>A:I</w:t>
      </w:r>
      <w:r>
        <w:t xml:space="preserve"> или оба варианта.</w:t>
      </w:r>
    </w:p>
    <w:p>
      <w:pPr>
        <w:spacing w:after="60"/>
        <w:ind w:left="369" w:hanging="369"/>
      </w:pPr>
      <w:r>
        <w:rPr>
          <w:b/>
        </w:rPr>
        <w:t xml:space="preserve">11. </w:t>
      </w:r>
      <w:r>
        <w:t>Состав этапов, принимаемых и оплачиваемых отдельно.</w:t>
      </w:r>
    </w:p>
    <w:p>
      <w:pPr>
        <w:spacing w:after="60"/>
        <w:ind w:left="369" w:hanging="369"/>
      </w:pPr>
      <w:r>
        <w:rPr>
          <w:b/>
        </w:rPr>
        <w:t xml:space="preserve">12. </w:t>
      </w:r>
      <w:r>
        <w:t>Правила подготовительных работ: округление объёма подсыпки, ставка расходников,</w:t>
      </w:r>
    </w:p>
    <w:p>
      <w:r>
        <w:t xml:space="preserve">назначение формулы </w:t>
      </w:r>
      <w:r>
        <w:rPr>
          <w:rFonts w:ascii="Courier New" w:hAnsi="Courier New"/>
          <w:color w:val="374151"/>
          <w:sz w:val="19"/>
        </w:rPr>
        <w:t>количество плит x 900</w:t>
      </w:r>
      <w:r>
        <w:t xml:space="preserve"> и статус камеры видеонаблюдения.</w:t>
      </w:r>
    </w:p>
    <w:sectPr w:rsidR="00FC693F" w:rsidRPr="0006063C" w:rsidSect="00034616">
      <w:pgSz w:w="12240" w:h="15840"/>
      <w:pgMar w:top="1020" w:right="96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развитие ИИ-сметчика, этап 2</dc:title>
  <dc:subject>Черновик для согласования</dc:subject>
  <dc:creator>Исполнитель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