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4"/>
          <w:szCs w:val="24"/>
          <w:u w:val="single" w:color="auto"/>
          <w:color w:val="auto"/>
        </w:rPr>
        <w:t>The Medical History – Written Example</w:t>
      </w:r>
    </w:p>
    <w:p>
      <w:pPr>
        <w:spacing w:after="0" w:line="53" w:lineRule="exact"/>
        <w:rPr>
          <w:sz w:val="24"/>
          <w:szCs w:val="24"/>
          <w:color w:val="auto"/>
        </w:rPr>
      </w:pPr>
    </w:p>
    <w:p>
      <w:pPr>
        <w:ind w:right="340"/>
        <w:spacing w:after="0" w:line="218" w:lineRule="auto"/>
        <w:rPr>
          <w:sz w:val="20"/>
          <w:szCs w:val="20"/>
          <w:color w:val="auto"/>
        </w:rPr>
      </w:pPr>
      <w:r>
        <w:rPr>
          <w:rFonts w:ascii="Calibri" w:cs="Calibri" w:eastAsia="Calibri" w:hAnsi="Calibri"/>
          <w:sz w:val="24"/>
          <w:szCs w:val="24"/>
          <w:color w:val="auto"/>
          <w:highlight w:val="yellow"/>
        </w:rPr>
        <w:t>Please refer to this written example when you write-up all of your future medical histories in PCM-1.</w:t>
      </w:r>
    </w:p>
    <w:p>
      <w:pPr>
        <w:spacing w:after="0" w:line="200" w:lineRule="exact"/>
        <w:rPr>
          <w:sz w:val="24"/>
          <w:szCs w:val="24"/>
          <w:color w:val="auto"/>
        </w:rPr>
      </w:pPr>
    </w:p>
    <w:p>
      <w:pPr>
        <w:spacing w:after="0" w:line="386" w:lineRule="exact"/>
        <w:rPr>
          <w:sz w:val="24"/>
          <w:szCs w:val="24"/>
          <w:color w:val="auto"/>
        </w:rPr>
      </w:pPr>
    </w:p>
    <w:p>
      <w:pPr>
        <w:spacing w:after="0"/>
        <w:rPr>
          <w:sz w:val="20"/>
          <w:szCs w:val="20"/>
          <w:color w:val="auto"/>
        </w:rPr>
      </w:pPr>
      <w:r>
        <w:rPr>
          <w:rFonts w:ascii="Calibri" w:cs="Calibri" w:eastAsia="Calibri" w:hAnsi="Calibri"/>
          <w:sz w:val="24"/>
          <w:szCs w:val="24"/>
          <w:color w:val="auto"/>
        </w:rPr>
        <w:t>Chief Concern: Chest pain for 1 month</w:t>
      </w:r>
    </w:p>
    <w:p>
      <w:pPr>
        <w:spacing w:after="0" w:line="346" w:lineRule="exact"/>
        <w:rPr>
          <w:sz w:val="24"/>
          <w:szCs w:val="24"/>
          <w:color w:val="auto"/>
        </w:rPr>
      </w:pPr>
    </w:p>
    <w:p>
      <w:pPr>
        <w:ind w:right="100"/>
        <w:spacing w:after="0" w:line="236" w:lineRule="auto"/>
        <w:rPr>
          <w:sz w:val="20"/>
          <w:szCs w:val="20"/>
          <w:color w:val="auto"/>
        </w:rPr>
      </w:pPr>
      <w:r>
        <w:rPr>
          <w:rFonts w:ascii="Calibri" w:cs="Calibri" w:eastAsia="Calibri" w:hAnsi="Calibri"/>
          <w:sz w:val="24"/>
          <w:szCs w:val="24"/>
          <w:color w:val="auto"/>
        </w:rPr>
        <w:t>HPI: Mr. PH is a 52 y/o accountant with hypercholesterolemia and polycythemia vera who has been in relatively good health (except for problem #2 below) until one month ago when he noticed chest tightness with exertion. The patient decided to lose weight through exercising and began to run. When running greater than six to seven blocks, the patient developed a tight feeling in his chest that subsided in approximately five minutes after he stopped running. Initially, the feeling was mild, occurred only with the running and was associated with no other symptoms. It did not radiate. On the night prior to admission, while watching TV, he had the same pain, except this time it was of increased intensity (10/10), lasted 20 minutes, and was associated with shortness of breath and a brief period of profuse diaphoresis. Regarding risk factors for coronary artery disease, the patient does not smoke, has no high blood pressure or diabetes, has borderline high cholesterol, and patient's father died suddenly at age 40 from a presumed heart attack.</w:t>
      </w:r>
    </w:p>
    <w:p>
      <w:pPr>
        <w:spacing w:after="0" w:line="60" w:lineRule="exact"/>
        <w:rPr>
          <w:sz w:val="24"/>
          <w:szCs w:val="24"/>
          <w:color w:val="auto"/>
        </w:rPr>
      </w:pPr>
    </w:p>
    <w:p>
      <w:pPr>
        <w:ind w:right="160"/>
        <w:spacing w:after="0" w:line="229" w:lineRule="auto"/>
        <w:rPr>
          <w:sz w:val="20"/>
          <w:szCs w:val="20"/>
          <w:color w:val="auto"/>
        </w:rPr>
      </w:pPr>
      <w:r>
        <w:rPr>
          <w:rFonts w:ascii="Calibri" w:cs="Calibri" w:eastAsia="Calibri" w:hAnsi="Calibri"/>
          <w:sz w:val="24"/>
          <w:szCs w:val="24"/>
          <w:color w:val="auto"/>
        </w:rPr>
        <w:t>The patient is concerned that he has the same problem that his father had and that he has the same potential to "drop dead". He normally has sexual intercourse with his wife one to two times per week, but because of the fear of having the pain during intercourse the patient has avoided any intimate contact with his wife.</w:t>
      </w:r>
    </w:p>
    <w:p>
      <w:pPr>
        <w:spacing w:after="0" w:line="349" w:lineRule="exact"/>
        <w:rPr>
          <w:sz w:val="24"/>
          <w:szCs w:val="24"/>
          <w:color w:val="auto"/>
        </w:rPr>
      </w:pPr>
    </w:p>
    <w:p>
      <w:pPr>
        <w:ind w:right="20"/>
        <w:spacing w:after="0" w:line="231" w:lineRule="auto"/>
        <w:rPr>
          <w:sz w:val="20"/>
          <w:szCs w:val="20"/>
          <w:color w:val="auto"/>
        </w:rPr>
      </w:pPr>
      <w:r>
        <w:rPr>
          <w:rFonts w:ascii="Calibri" w:cs="Calibri" w:eastAsia="Calibri" w:hAnsi="Calibri"/>
          <w:sz w:val="24"/>
          <w:szCs w:val="24"/>
          <w:color w:val="auto"/>
        </w:rPr>
        <w:t>Problem #2 Polycythemia Vera: three years ago, during a routine physical for work, the patient was found to have elevated hemoglobin and was worked-up at LUMC by Dr. Smith. His red blood cell mass was high and the patient was found to have primary Polycythemia Vera. Initially he was treated with monthly phlebotomies, but for the last year has received a phlebotomy only once every six months. He has no symptoms of this illness.</w:t>
      </w:r>
    </w:p>
    <w:p>
      <w:pPr>
        <w:spacing w:after="0" w:line="54" w:lineRule="exact"/>
        <w:rPr>
          <w:sz w:val="24"/>
          <w:szCs w:val="24"/>
          <w:color w:val="auto"/>
        </w:rPr>
      </w:pPr>
    </w:p>
    <w:p>
      <w:pPr>
        <w:ind w:right="540"/>
        <w:spacing w:after="0" w:line="225" w:lineRule="auto"/>
        <w:rPr>
          <w:sz w:val="20"/>
          <w:szCs w:val="20"/>
          <w:color w:val="auto"/>
        </w:rPr>
      </w:pPr>
      <w:r>
        <w:rPr>
          <w:rFonts w:ascii="Calibri" w:cs="Calibri" w:eastAsia="Calibri" w:hAnsi="Calibri"/>
          <w:sz w:val="24"/>
          <w:szCs w:val="24"/>
          <w:color w:val="auto"/>
        </w:rPr>
        <w:t>The patient is aware of the possible complications of this illness. Initially, he worried about them, but for the last year, since he has felt well; he accepts the illness and sees his Hematologist on a regular basis.</w:t>
      </w:r>
    </w:p>
    <w:p>
      <w:pPr>
        <w:spacing w:after="0" w:line="294" w:lineRule="exact"/>
        <w:rPr>
          <w:sz w:val="24"/>
          <w:szCs w:val="24"/>
          <w:color w:val="auto"/>
        </w:rPr>
      </w:pPr>
    </w:p>
    <w:p>
      <w:pPr>
        <w:spacing w:after="0"/>
        <w:rPr>
          <w:sz w:val="20"/>
          <w:szCs w:val="20"/>
          <w:color w:val="auto"/>
        </w:rPr>
      </w:pPr>
      <w:r>
        <w:rPr>
          <w:rFonts w:ascii="Calibri" w:cs="Calibri" w:eastAsia="Calibri" w:hAnsi="Calibri"/>
          <w:sz w:val="24"/>
          <w:szCs w:val="24"/>
          <w:color w:val="auto"/>
        </w:rPr>
        <w:t>MEDICAL HISTORY</w:t>
      </w:r>
    </w:p>
    <w:p>
      <w:pPr>
        <w:ind w:left="720" w:hanging="360"/>
        <w:spacing w:after="0"/>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Adult Illnesses:</w:t>
      </w:r>
    </w:p>
    <w:p>
      <w:pPr>
        <w:spacing w:after="0" w:line="52" w:lineRule="exact"/>
        <w:rPr>
          <w:rFonts w:ascii="Calibri" w:cs="Calibri" w:eastAsia="Calibri" w:hAnsi="Calibri"/>
          <w:sz w:val="24"/>
          <w:szCs w:val="24"/>
          <w:color w:val="auto"/>
        </w:rPr>
      </w:pPr>
    </w:p>
    <w:p>
      <w:pPr>
        <w:ind w:left="1440" w:right="1040" w:hanging="360"/>
        <w:spacing w:after="0" w:line="219" w:lineRule="auto"/>
        <w:tabs>
          <w:tab w:leader="none" w:pos="1440" w:val="left"/>
        </w:tabs>
        <w:numPr>
          <w:ilvl w:val="1"/>
          <w:numId w:val="1"/>
        </w:numPr>
        <w:rPr>
          <w:rFonts w:ascii="Calibri" w:cs="Calibri" w:eastAsia="Calibri" w:hAnsi="Calibri"/>
          <w:sz w:val="24"/>
          <w:szCs w:val="24"/>
          <w:color w:val="auto"/>
        </w:rPr>
      </w:pPr>
      <w:r>
        <w:rPr>
          <w:rFonts w:ascii="Calibri" w:cs="Calibri" w:eastAsia="Calibri" w:hAnsi="Calibri"/>
          <w:sz w:val="24"/>
          <w:szCs w:val="24"/>
          <w:color w:val="auto"/>
        </w:rPr>
        <w:t>Polycythemia Vera – diagnosed incidentally three years ago. Currently asymptomatic and treated every 6 months with phlebotomy.</w:t>
      </w:r>
    </w:p>
    <w:p>
      <w:pPr>
        <w:spacing w:after="0" w:line="1" w:lineRule="exact"/>
        <w:rPr>
          <w:rFonts w:ascii="Calibri" w:cs="Calibri" w:eastAsia="Calibri" w:hAnsi="Calibri"/>
          <w:sz w:val="24"/>
          <w:szCs w:val="24"/>
          <w:color w:val="auto"/>
        </w:rPr>
      </w:pPr>
    </w:p>
    <w:p>
      <w:pPr>
        <w:ind w:left="1440" w:hanging="360"/>
        <w:spacing w:after="0"/>
        <w:tabs>
          <w:tab w:leader="none" w:pos="1440" w:val="left"/>
        </w:tabs>
        <w:numPr>
          <w:ilvl w:val="1"/>
          <w:numId w:val="1"/>
        </w:numPr>
        <w:rPr>
          <w:rFonts w:ascii="Calibri" w:cs="Calibri" w:eastAsia="Calibri" w:hAnsi="Calibri"/>
          <w:sz w:val="24"/>
          <w:szCs w:val="24"/>
          <w:color w:val="auto"/>
        </w:rPr>
      </w:pPr>
      <w:r>
        <w:rPr>
          <w:rFonts w:ascii="Calibri" w:cs="Calibri" w:eastAsia="Calibri" w:hAnsi="Calibri"/>
          <w:sz w:val="24"/>
          <w:szCs w:val="24"/>
          <w:color w:val="auto"/>
        </w:rPr>
        <w:t>Hypercholesterolemia – diagnosed by screening two years ago. Treated with</w:t>
      </w:r>
    </w:p>
    <w:p>
      <w:pPr>
        <w:ind w:left="1440"/>
        <w:spacing w:after="0"/>
        <w:rPr>
          <w:rFonts w:ascii="Calibri" w:cs="Calibri" w:eastAsia="Calibri" w:hAnsi="Calibri"/>
          <w:sz w:val="24"/>
          <w:szCs w:val="24"/>
          <w:color w:val="auto"/>
        </w:rPr>
      </w:pPr>
      <w:r>
        <w:rPr>
          <w:rFonts w:ascii="Calibri" w:cs="Calibri" w:eastAsia="Calibri" w:hAnsi="Calibri"/>
          <w:sz w:val="24"/>
          <w:szCs w:val="24"/>
          <w:color w:val="auto"/>
        </w:rPr>
        <w:t>‘statin’ medication.</w:t>
      </w:r>
    </w:p>
    <w:p>
      <w:pPr>
        <w:ind w:left="720" w:hanging="360"/>
        <w:spacing w:after="0"/>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Health Screening: colonoscopy at LUMC 2009, no polyps</w:t>
      </w:r>
    </w:p>
    <w:p>
      <w:pPr>
        <w:ind w:left="720" w:hanging="360"/>
        <w:spacing w:after="0"/>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Immunizations – tetanus booster in 2016</w:t>
      </w:r>
    </w:p>
    <w:p>
      <w:pPr>
        <w:ind w:left="720" w:hanging="360"/>
        <w:spacing w:after="0"/>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Obstetric &amp; Gynecologic History – N/A</w:t>
      </w:r>
    </w:p>
    <w:p>
      <w:pPr>
        <w:ind w:left="720" w:hanging="360"/>
        <w:spacing w:after="0"/>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Psychiatric Illnesses or Hospitalizations - none</w:t>
      </w:r>
    </w:p>
    <w:p>
      <w:pPr>
        <w:ind w:left="720" w:hanging="360"/>
        <w:spacing w:after="0"/>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Significant Childhood Illnesses - none</w:t>
      </w:r>
    </w:p>
    <w:p>
      <w:pPr>
        <w:sectPr>
          <w:pgSz w:w="12240" w:h="15840" w:orient="portrait"/>
          <w:cols w:equalWidth="0" w:num="1">
            <w:col w:w="9360"/>
          </w:cols>
          <w:pgMar w:left="1440" w:top="1435" w:right="1440" w:bottom="160" w:gutter="0" w:footer="0" w:header="0"/>
        </w:sectPr>
      </w:pPr>
    </w:p>
    <w:p>
      <w:pPr>
        <w:spacing w:after="0" w:line="200" w:lineRule="exact"/>
        <w:rPr>
          <w:sz w:val="24"/>
          <w:szCs w:val="24"/>
          <w:color w:val="auto"/>
        </w:rPr>
      </w:pPr>
    </w:p>
    <w:p>
      <w:pPr>
        <w:spacing w:after="0" w:line="368" w:lineRule="exact"/>
        <w:rPr>
          <w:sz w:val="24"/>
          <w:szCs w:val="24"/>
          <w:color w:val="auto"/>
        </w:rPr>
      </w:pPr>
    </w:p>
    <w:p>
      <w:pPr>
        <w:ind w:left="3900"/>
        <w:spacing w:after="0"/>
        <w:tabs>
          <w:tab w:leader="none" w:pos="8520" w:val="left"/>
        </w:tabs>
        <w:rPr>
          <w:sz w:val="20"/>
          <w:szCs w:val="20"/>
          <w:color w:val="auto"/>
        </w:rPr>
      </w:pPr>
      <w:r>
        <w:rPr>
          <w:rFonts w:ascii="Calibri" w:cs="Calibri" w:eastAsia="Calibri" w:hAnsi="Calibri"/>
          <w:sz w:val="18"/>
          <w:szCs w:val="18"/>
          <w:i w:val="1"/>
          <w:iCs w:val="1"/>
          <w:color w:val="auto"/>
        </w:rPr>
        <w:t>MedHistory_Example</w:t>
      </w:r>
      <w:r>
        <w:rPr>
          <w:sz w:val="20"/>
          <w:szCs w:val="20"/>
          <w:color w:val="auto"/>
        </w:rPr>
        <w:tab/>
      </w:r>
      <w:r>
        <w:rPr>
          <w:rFonts w:ascii="Calibri" w:cs="Calibri" w:eastAsia="Calibri" w:hAnsi="Calibri"/>
          <w:sz w:val="18"/>
          <w:szCs w:val="18"/>
          <w:i w:val="1"/>
          <w:iCs w:val="1"/>
          <w:color w:val="auto"/>
        </w:rPr>
        <w:t>page 1 of 3</w:t>
      </w:r>
    </w:p>
    <w:p>
      <w:pPr>
        <w:sectPr>
          <w:pgSz w:w="12240" w:h="15840" w:orient="portrait"/>
          <w:cols w:equalWidth="0" w:num="1">
            <w:col w:w="9360"/>
          </w:cols>
          <w:pgMar w:left="1440" w:top="1435" w:right="1440" w:bottom="160" w:gutter="0" w:footer="0" w:header="0"/>
          <w:type w:val="continuous"/>
        </w:sectPr>
      </w:pPr>
    </w:p>
    <w:bookmarkStart w:id="1" w:name="page2"/>
    <w:bookmarkEnd w:id="1"/>
    <w:p>
      <w:pPr>
        <w:ind w:left="360"/>
        <w:spacing w:after="0"/>
        <w:rPr>
          <w:sz w:val="20"/>
          <w:szCs w:val="20"/>
          <w:color w:val="auto"/>
        </w:rPr>
      </w:pPr>
      <w:r>
        <w:rPr>
          <w:rFonts w:ascii="Calibri" w:cs="Calibri" w:eastAsia="Calibri" w:hAnsi="Calibri"/>
          <w:sz w:val="24"/>
          <w:szCs w:val="24"/>
          <w:color w:val="auto"/>
        </w:rPr>
        <w:t>7.  Injuries and Accidents: MVA in 1996; hospitalized for observation overnight.</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Calibri" w:cs="Calibri" w:eastAsia="Calibri" w:hAnsi="Calibri"/>
          <w:sz w:val="24"/>
          <w:szCs w:val="24"/>
          <w:color w:val="auto"/>
        </w:rPr>
        <w:t>SURGICAL HISTORY</w:t>
      </w:r>
    </w:p>
    <w:p>
      <w:pPr>
        <w:ind w:left="720"/>
        <w:spacing w:after="0"/>
        <w:rPr>
          <w:sz w:val="20"/>
          <w:szCs w:val="20"/>
          <w:color w:val="auto"/>
        </w:rPr>
      </w:pPr>
      <w:r>
        <w:rPr>
          <w:rFonts w:ascii="Calibri" w:cs="Calibri" w:eastAsia="Calibri" w:hAnsi="Calibri"/>
          <w:sz w:val="24"/>
          <w:szCs w:val="24"/>
          <w:color w:val="auto"/>
        </w:rPr>
        <w:t>Operations: appendectomy at age 12</w:t>
      </w:r>
    </w:p>
    <w:p>
      <w:pPr>
        <w:spacing w:after="0" w:line="292" w:lineRule="exact"/>
        <w:rPr>
          <w:sz w:val="20"/>
          <w:szCs w:val="20"/>
          <w:color w:val="auto"/>
        </w:rPr>
      </w:pPr>
    </w:p>
    <w:p>
      <w:pPr>
        <w:spacing w:after="0"/>
        <w:rPr>
          <w:sz w:val="20"/>
          <w:szCs w:val="20"/>
          <w:color w:val="auto"/>
        </w:rPr>
      </w:pPr>
      <w:r>
        <w:rPr>
          <w:rFonts w:ascii="Calibri" w:cs="Calibri" w:eastAsia="Calibri" w:hAnsi="Calibri"/>
          <w:sz w:val="24"/>
          <w:szCs w:val="24"/>
          <w:color w:val="auto"/>
        </w:rPr>
        <w:t>THERAPIES</w:t>
      </w:r>
    </w:p>
    <w:p>
      <w:pPr>
        <w:ind w:left="720" w:hanging="360"/>
        <w:spacing w:after="0"/>
        <w:tabs>
          <w:tab w:leader="none" w:pos="720" w:val="left"/>
        </w:tabs>
        <w:numPr>
          <w:ilvl w:val="0"/>
          <w:numId w:val="2"/>
        </w:numPr>
        <w:rPr>
          <w:rFonts w:ascii="Calibri" w:cs="Calibri" w:eastAsia="Calibri" w:hAnsi="Calibri"/>
          <w:sz w:val="24"/>
          <w:szCs w:val="24"/>
          <w:color w:val="auto"/>
        </w:rPr>
      </w:pPr>
      <w:r>
        <w:rPr>
          <w:rFonts w:ascii="Calibri" w:cs="Calibri" w:eastAsia="Calibri" w:hAnsi="Calibri"/>
          <w:sz w:val="24"/>
          <w:szCs w:val="24"/>
          <w:color w:val="auto"/>
        </w:rPr>
        <w:t>Medications: Simvastatin 40mg daily</w:t>
      </w:r>
    </w:p>
    <w:p>
      <w:pPr>
        <w:spacing w:after="0" w:line="2" w:lineRule="exact"/>
        <w:rPr>
          <w:rFonts w:ascii="Calibri" w:cs="Calibri" w:eastAsia="Calibri" w:hAnsi="Calibri"/>
          <w:sz w:val="24"/>
          <w:szCs w:val="24"/>
          <w:color w:val="auto"/>
        </w:rPr>
      </w:pPr>
    </w:p>
    <w:p>
      <w:pPr>
        <w:ind w:left="720" w:hanging="360"/>
        <w:spacing w:after="0"/>
        <w:tabs>
          <w:tab w:leader="none" w:pos="720" w:val="left"/>
        </w:tabs>
        <w:numPr>
          <w:ilvl w:val="0"/>
          <w:numId w:val="2"/>
        </w:numPr>
        <w:rPr>
          <w:rFonts w:ascii="Calibri" w:cs="Calibri" w:eastAsia="Calibri" w:hAnsi="Calibri"/>
          <w:sz w:val="24"/>
          <w:szCs w:val="24"/>
          <w:color w:val="auto"/>
        </w:rPr>
      </w:pPr>
      <w:r>
        <w:rPr>
          <w:rFonts w:ascii="Calibri" w:cs="Calibri" w:eastAsia="Calibri" w:hAnsi="Calibri"/>
          <w:sz w:val="24"/>
          <w:szCs w:val="24"/>
          <w:color w:val="auto"/>
        </w:rPr>
        <w:t>Complementary, Alternative Medicines/Therapies - none</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color w:val="auto"/>
        </w:rPr>
        <w:t>ALLERGIES:</w:t>
      </w:r>
    </w:p>
    <w:p>
      <w:pPr>
        <w:spacing w:after="0" w:line="53" w:lineRule="exact"/>
        <w:rPr>
          <w:sz w:val="20"/>
          <w:szCs w:val="20"/>
          <w:color w:val="auto"/>
        </w:rPr>
      </w:pPr>
    </w:p>
    <w:p>
      <w:pPr>
        <w:ind w:left="720" w:right="660" w:hanging="360"/>
        <w:spacing w:after="0" w:line="218" w:lineRule="auto"/>
        <w:tabs>
          <w:tab w:leader="none" w:pos="720"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Drug Reactions: was told that he was allergic to penicillin as a child, but knows no further details</w:t>
      </w:r>
    </w:p>
    <w:p>
      <w:pPr>
        <w:spacing w:after="0" w:line="1" w:lineRule="exact"/>
        <w:rPr>
          <w:rFonts w:ascii="Calibri" w:cs="Calibri" w:eastAsia="Calibri" w:hAnsi="Calibri"/>
          <w:sz w:val="24"/>
          <w:szCs w:val="24"/>
          <w:color w:val="auto"/>
        </w:rPr>
      </w:pPr>
    </w:p>
    <w:p>
      <w:pPr>
        <w:ind w:left="720" w:hanging="360"/>
        <w:spacing w:after="0"/>
        <w:tabs>
          <w:tab w:leader="none" w:pos="720"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Food, Environmental, Topical (chemical) allergies - none</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color w:val="auto"/>
        </w:rPr>
        <w:t>PSYCHOSOCIAL HISTORY</w:t>
      </w:r>
    </w:p>
    <w:p>
      <w:pPr>
        <w:spacing w:after="0" w:line="53" w:lineRule="exact"/>
        <w:rPr>
          <w:sz w:val="20"/>
          <w:szCs w:val="20"/>
          <w:color w:val="auto"/>
        </w:rPr>
      </w:pPr>
    </w:p>
    <w:p>
      <w:pPr>
        <w:ind w:left="720" w:right="160" w:hanging="360"/>
        <w:spacing w:after="0" w:line="218" w:lineRule="auto"/>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Marital Status and relationship(s) satisfaction – married and satisfied with relationship; one child in college at U of I</w:t>
      </w:r>
    </w:p>
    <w:p>
      <w:pPr>
        <w:ind w:left="720" w:hanging="360"/>
        <w:spacing w:after="0"/>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Living Conditions: lives with wife, no one else in house</w:t>
      </w:r>
    </w:p>
    <w:p>
      <w:pPr>
        <w:spacing w:after="0" w:line="52" w:lineRule="exact"/>
        <w:rPr>
          <w:rFonts w:ascii="Calibri" w:cs="Calibri" w:eastAsia="Calibri" w:hAnsi="Calibri"/>
          <w:sz w:val="24"/>
          <w:szCs w:val="24"/>
          <w:color w:val="auto"/>
        </w:rPr>
      </w:pPr>
    </w:p>
    <w:p>
      <w:pPr>
        <w:ind w:left="720" w:right="560" w:hanging="360"/>
        <w:spacing w:after="0" w:line="218" w:lineRule="auto"/>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Employment: works as a sales rep for a company that sells MRI units to healthcare systems.</w:t>
      </w:r>
    </w:p>
    <w:p>
      <w:pPr>
        <w:spacing w:after="0" w:line="53" w:lineRule="exact"/>
        <w:rPr>
          <w:rFonts w:ascii="Calibri" w:cs="Calibri" w:eastAsia="Calibri" w:hAnsi="Calibri"/>
          <w:sz w:val="24"/>
          <w:szCs w:val="24"/>
          <w:color w:val="auto"/>
        </w:rPr>
      </w:pPr>
    </w:p>
    <w:p>
      <w:pPr>
        <w:ind w:left="720" w:right="240" w:hanging="360"/>
        <w:spacing w:after="0" w:line="219" w:lineRule="auto"/>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Sexual History: one current partner (wife), does not use contraception as wife is post-menopausal</w:t>
      </w:r>
    </w:p>
    <w:p>
      <w:pPr>
        <w:ind w:left="720" w:hanging="360"/>
        <w:spacing w:after="0"/>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Significant Life Events and stressors: concerned with college tuition finances</w:t>
      </w:r>
    </w:p>
    <w:p>
      <w:pPr>
        <w:spacing w:after="0" w:line="53" w:lineRule="exact"/>
        <w:rPr>
          <w:rFonts w:ascii="Calibri" w:cs="Calibri" w:eastAsia="Calibri" w:hAnsi="Calibri"/>
          <w:sz w:val="24"/>
          <w:szCs w:val="24"/>
          <w:color w:val="auto"/>
        </w:rPr>
      </w:pPr>
    </w:p>
    <w:p>
      <w:pPr>
        <w:ind w:left="720" w:right="200" w:hanging="360"/>
        <w:spacing w:after="0" w:line="218" w:lineRule="auto"/>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Spiritual History/Sources of Support: considers themselves a spiritual person. Does not identify with a particular religion. Main source of support is his wife</w:t>
      </w:r>
    </w:p>
    <w:p>
      <w:pPr>
        <w:spacing w:after="0" w:line="53" w:lineRule="exact"/>
        <w:rPr>
          <w:rFonts w:ascii="Calibri" w:cs="Calibri" w:eastAsia="Calibri" w:hAnsi="Calibri"/>
          <w:sz w:val="24"/>
          <w:szCs w:val="24"/>
          <w:color w:val="auto"/>
        </w:rPr>
      </w:pPr>
    </w:p>
    <w:p>
      <w:pPr>
        <w:ind w:left="720" w:right="280" w:hanging="360"/>
        <w:spacing w:after="0" w:line="218" w:lineRule="auto"/>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Diet, Sleep, Exercise – eats varied diet, not much fat; gets 7-8h of sleep at night, some exercise in past year, none recently due to fears of chest pain.</w:t>
      </w:r>
    </w:p>
    <w:p>
      <w:pPr>
        <w:ind w:left="720" w:hanging="360"/>
        <w:spacing w:after="0"/>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Habits:</w:t>
      </w:r>
    </w:p>
    <w:p>
      <w:pPr>
        <w:ind w:left="1080" w:hanging="360"/>
        <w:spacing w:after="0"/>
        <w:tabs>
          <w:tab w:leader="none" w:pos="1080" w:val="left"/>
        </w:tabs>
        <w:numPr>
          <w:ilvl w:val="1"/>
          <w:numId w:val="4"/>
        </w:numPr>
        <w:rPr>
          <w:rFonts w:ascii="Calibri" w:cs="Calibri" w:eastAsia="Calibri" w:hAnsi="Calibri"/>
          <w:sz w:val="24"/>
          <w:szCs w:val="24"/>
          <w:color w:val="auto"/>
        </w:rPr>
      </w:pPr>
      <w:r>
        <w:rPr>
          <w:rFonts w:ascii="Calibri" w:cs="Calibri" w:eastAsia="Calibri" w:hAnsi="Calibri"/>
          <w:sz w:val="24"/>
          <w:szCs w:val="24"/>
          <w:color w:val="auto"/>
        </w:rPr>
        <w:t>Tobacco – 1ppd smoker for 10y</w:t>
      </w:r>
    </w:p>
    <w:p>
      <w:pPr>
        <w:ind w:left="1080" w:hanging="360"/>
        <w:spacing w:after="0"/>
        <w:tabs>
          <w:tab w:leader="none" w:pos="1080" w:val="left"/>
        </w:tabs>
        <w:numPr>
          <w:ilvl w:val="1"/>
          <w:numId w:val="4"/>
        </w:numPr>
        <w:rPr>
          <w:rFonts w:ascii="Calibri" w:cs="Calibri" w:eastAsia="Calibri" w:hAnsi="Calibri"/>
          <w:sz w:val="24"/>
          <w:szCs w:val="24"/>
          <w:color w:val="auto"/>
        </w:rPr>
      </w:pPr>
      <w:r>
        <w:rPr>
          <w:rFonts w:ascii="Calibri" w:cs="Calibri" w:eastAsia="Calibri" w:hAnsi="Calibri"/>
          <w:sz w:val="24"/>
          <w:szCs w:val="24"/>
          <w:color w:val="auto"/>
        </w:rPr>
        <w:t>Alcohol – 3 beers weekly; no more than one daily</w:t>
      </w:r>
    </w:p>
    <w:p>
      <w:pPr>
        <w:ind w:left="1080" w:hanging="360"/>
        <w:spacing w:after="0"/>
        <w:tabs>
          <w:tab w:leader="none" w:pos="1080" w:val="left"/>
        </w:tabs>
        <w:numPr>
          <w:ilvl w:val="1"/>
          <w:numId w:val="4"/>
        </w:numPr>
        <w:rPr>
          <w:rFonts w:ascii="Calibri" w:cs="Calibri" w:eastAsia="Calibri" w:hAnsi="Calibri"/>
          <w:sz w:val="24"/>
          <w:szCs w:val="24"/>
          <w:color w:val="auto"/>
        </w:rPr>
      </w:pPr>
      <w:r>
        <w:rPr>
          <w:rFonts w:ascii="Calibri" w:cs="Calibri" w:eastAsia="Calibri" w:hAnsi="Calibri"/>
          <w:sz w:val="24"/>
          <w:szCs w:val="24"/>
          <w:color w:val="auto"/>
        </w:rPr>
        <w:t>Drugs – no history of illicit drug use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right"/>
        <w:spacing w:after="0"/>
        <w:tabs>
          <w:tab w:leader="none" w:pos="800" w:val="left"/>
        </w:tabs>
        <w:rPr>
          <w:sz w:val="20"/>
          <w:szCs w:val="20"/>
          <w:color w:val="auto"/>
        </w:rPr>
      </w:pPr>
      <w:r>
        <w:rPr>
          <w:rFonts w:ascii="Calibri" w:cs="Calibri" w:eastAsia="Calibri" w:hAnsi="Calibri"/>
          <w:sz w:val="18"/>
          <w:szCs w:val="18"/>
          <w:i w:val="1"/>
          <w:iCs w:val="1"/>
          <w:color w:val="auto"/>
        </w:rPr>
        <w:t>MedHistory_Example</w:t>
      </w:r>
      <w:r>
        <w:rPr>
          <w:sz w:val="20"/>
          <w:szCs w:val="20"/>
          <w:color w:val="auto"/>
        </w:rPr>
        <w:tab/>
      </w:r>
      <w:r>
        <w:rPr>
          <w:rFonts w:ascii="Calibri" w:cs="Calibri" w:eastAsia="Calibri" w:hAnsi="Calibri"/>
          <w:sz w:val="18"/>
          <w:szCs w:val="18"/>
          <w:i w:val="1"/>
          <w:iCs w:val="1"/>
          <w:color w:val="auto"/>
        </w:rPr>
        <w:t>page 2 of 3</w:t>
      </w:r>
    </w:p>
    <w:p>
      <w:pPr>
        <w:sectPr>
          <w:pgSz w:w="12240" w:h="15840" w:orient="portrait"/>
          <w:cols w:equalWidth="0" w:num="1">
            <w:col w:w="9360"/>
          </w:cols>
          <w:pgMar w:left="1440" w:top="1435" w:right="1440" w:bottom="160" w:gutter="0" w:footer="0" w:header="0"/>
        </w:sectPr>
      </w:pPr>
    </w:p>
    <w:bookmarkStart w:id="2" w:name="page3"/>
    <w:bookmarkEnd w:id="2"/>
    <w:p>
      <w:pPr>
        <w:spacing w:after="0" w:line="288" w:lineRule="exact"/>
        <w:rPr>
          <w:sz w:val="20"/>
          <w:szCs w:val="20"/>
          <w:color w:val="auto"/>
        </w:rPr>
      </w:pPr>
    </w:p>
    <w:tbl>
      <w:tblPr>
        <w:tblLayout w:type="fixed"/>
        <w:tblInd w:w="0" w:type="dxa"/>
        <w:tblCellMar>
          <w:top w:w="0" w:type="dxa"/>
          <w:left w:w="0" w:type="dxa"/>
          <w:bottom w:w="0" w:type="dxa"/>
          <w:right w:w="0" w:type="dxa"/>
        </w:tblCellMar>
      </w:tblPr>
      <w:tr>
        <w:trPr>
          <w:trHeight w:val="293"/>
        </w:trPr>
        <w:tc>
          <w:tcPr>
            <w:tcW w:w="2160" w:type="dxa"/>
            <w:vAlign w:val="bottom"/>
            <w:gridSpan w:val="4"/>
          </w:tcPr>
          <w:p>
            <w:pPr>
              <w:spacing w:after="0"/>
              <w:rPr>
                <w:sz w:val="20"/>
                <w:szCs w:val="20"/>
                <w:color w:val="auto"/>
              </w:rPr>
            </w:pPr>
            <w:r>
              <w:rPr>
                <w:rFonts w:ascii="Calibri" w:cs="Calibri" w:eastAsia="Calibri" w:hAnsi="Calibri"/>
                <w:sz w:val="24"/>
                <w:szCs w:val="24"/>
                <w:color w:val="auto"/>
              </w:rPr>
              <w:t>FAMILY HISTORY:</w:t>
            </w:r>
          </w:p>
        </w:tc>
        <w:tc>
          <w:tcPr>
            <w:tcW w:w="58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780" w:type="dxa"/>
            <w:vAlign w:val="bottom"/>
            <w:gridSpan w:val="2"/>
          </w:tcPr>
          <w:p>
            <w:pPr>
              <w:ind w:left="80"/>
              <w:spacing w:after="0"/>
              <w:rPr>
                <w:sz w:val="20"/>
                <w:szCs w:val="20"/>
                <w:color w:val="auto"/>
              </w:rPr>
            </w:pPr>
            <w:r>
              <w:rPr>
                <w:rFonts w:ascii="Calibri" w:cs="Calibri" w:eastAsia="Calibri" w:hAnsi="Calibri"/>
                <w:sz w:val="24"/>
                <w:szCs w:val="24"/>
                <w:b w:val="1"/>
                <w:bCs w:val="1"/>
                <w:color w:val="auto"/>
              </w:rPr>
              <w:t>Age</w:t>
            </w:r>
          </w:p>
        </w:tc>
        <w:tc>
          <w:tcPr>
            <w:tcW w:w="2180" w:type="dxa"/>
            <w:vAlign w:val="bottom"/>
            <w:gridSpan w:val="2"/>
          </w:tcPr>
          <w:p>
            <w:pPr>
              <w:spacing w:after="0"/>
              <w:rPr>
                <w:sz w:val="20"/>
                <w:szCs w:val="20"/>
                <w:color w:val="auto"/>
              </w:rPr>
            </w:pPr>
            <w:r>
              <w:rPr>
                <w:rFonts w:ascii="Calibri" w:cs="Calibri" w:eastAsia="Calibri" w:hAnsi="Calibri"/>
                <w:sz w:val="24"/>
                <w:szCs w:val="24"/>
                <w:color w:val="auto"/>
                <w:w w:val="98"/>
              </w:rPr>
              <w:t>Cause of Death/Age at</w:t>
            </w: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500" w:type="dxa"/>
            <w:vAlign w:val="bottom"/>
            <w:gridSpan w:val="2"/>
          </w:tcPr>
          <w:p>
            <w:pPr>
              <w:spacing w:after="0"/>
              <w:rPr>
                <w:sz w:val="20"/>
                <w:szCs w:val="20"/>
                <w:color w:val="auto"/>
              </w:rPr>
            </w:pPr>
            <w:r>
              <w:rPr>
                <w:rFonts w:ascii="Calibri" w:cs="Calibri" w:eastAsia="Calibri" w:hAnsi="Calibri"/>
                <w:sz w:val="24"/>
                <w:szCs w:val="24"/>
                <w:color w:val="auto"/>
              </w:rPr>
              <w:t>Illness During Life</w:t>
            </w:r>
          </w:p>
        </w:tc>
        <w:tc>
          <w:tcPr>
            <w:tcW w:w="0" w:type="dxa"/>
            <w:vAlign w:val="bottom"/>
          </w:tcPr>
          <w:p>
            <w:pPr>
              <w:spacing w:after="0"/>
              <w:rPr>
                <w:sz w:val="1"/>
                <w:szCs w:val="1"/>
                <w:color w:val="auto"/>
              </w:rPr>
            </w:pPr>
          </w:p>
        </w:tc>
      </w:tr>
      <w:tr>
        <w:trPr>
          <w:trHeight w:val="275"/>
        </w:trPr>
        <w:tc>
          <w:tcPr>
            <w:tcW w:w="2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180" w:type="dxa"/>
            <w:vAlign w:val="bottom"/>
            <w:tcBorders>
              <w:top w:val="single" w:sz="8" w:color="auto"/>
            </w:tcBorders>
            <w:gridSpan w:val="2"/>
          </w:tcPr>
          <w:p>
            <w:pPr>
              <w:spacing w:after="0" w:line="275" w:lineRule="exact"/>
              <w:rPr>
                <w:sz w:val="20"/>
                <w:szCs w:val="20"/>
                <w:color w:val="auto"/>
              </w:rPr>
            </w:pPr>
            <w:r>
              <w:rPr>
                <w:rFonts w:ascii="Calibri" w:cs="Calibri" w:eastAsia="Calibri" w:hAnsi="Calibri"/>
                <w:sz w:val="24"/>
                <w:szCs w:val="24"/>
                <w:color w:val="auto"/>
              </w:rPr>
              <w:t>Death</w:t>
            </w:r>
          </w:p>
        </w:tc>
        <w:tc>
          <w:tcPr>
            <w:tcW w:w="2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720" w:type="dxa"/>
            <w:vAlign w:val="bottom"/>
            <w:tcBorders>
              <w:top w:val="single" w:sz="8" w:color="auto"/>
            </w:tcBorders>
          </w:tcPr>
          <w:p>
            <w:pPr>
              <w:spacing w:after="0"/>
              <w:rPr>
                <w:sz w:val="23"/>
                <w:szCs w:val="23"/>
                <w:color w:val="auto"/>
              </w:rPr>
            </w:pPr>
          </w:p>
        </w:tc>
        <w:tc>
          <w:tcPr>
            <w:tcW w:w="7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98"/>
        </w:trPr>
        <w:tc>
          <w:tcPr>
            <w:tcW w:w="20" w:type="dxa"/>
            <w:vAlign w:val="bottom"/>
          </w:tcPr>
          <w:p>
            <w:pPr>
              <w:spacing w:after="0"/>
              <w:rPr>
                <w:sz w:val="8"/>
                <w:szCs w:val="8"/>
                <w:color w:val="auto"/>
              </w:rPr>
            </w:pPr>
          </w:p>
        </w:tc>
        <w:tc>
          <w:tcPr>
            <w:tcW w:w="1360" w:type="dxa"/>
            <w:vAlign w:val="bottom"/>
            <w:vMerge w:val="restart"/>
          </w:tcPr>
          <w:p>
            <w:pPr>
              <w:ind w:left="80"/>
              <w:spacing w:after="0"/>
              <w:rPr>
                <w:sz w:val="20"/>
                <w:szCs w:val="20"/>
                <w:color w:val="auto"/>
              </w:rPr>
            </w:pPr>
            <w:r>
              <w:rPr>
                <w:rFonts w:ascii="Calibri" w:cs="Calibri" w:eastAsia="Calibri" w:hAnsi="Calibri"/>
                <w:sz w:val="24"/>
                <w:szCs w:val="24"/>
                <w:color w:val="auto"/>
              </w:rPr>
              <w:t>Mother</w:t>
            </w:r>
          </w:p>
        </w:tc>
        <w:tc>
          <w:tcPr>
            <w:tcW w:w="700" w:type="dxa"/>
            <w:vAlign w:val="bottom"/>
          </w:tcPr>
          <w:p>
            <w:pPr>
              <w:spacing w:after="0"/>
              <w:rPr>
                <w:sz w:val="8"/>
                <w:szCs w:val="8"/>
                <w:color w:val="auto"/>
              </w:rPr>
            </w:pPr>
          </w:p>
        </w:tc>
        <w:tc>
          <w:tcPr>
            <w:tcW w:w="80" w:type="dxa"/>
            <w:vAlign w:val="bottom"/>
          </w:tcPr>
          <w:p>
            <w:pPr>
              <w:spacing w:after="0"/>
              <w:rPr>
                <w:sz w:val="8"/>
                <w:szCs w:val="8"/>
                <w:color w:val="auto"/>
              </w:rPr>
            </w:pPr>
          </w:p>
        </w:tc>
        <w:tc>
          <w:tcPr>
            <w:tcW w:w="580" w:type="dxa"/>
            <w:vAlign w:val="bottom"/>
            <w:tcBorders>
              <w:top w:val="single" w:sz="8" w:color="auto"/>
            </w:tcBorders>
          </w:tcPr>
          <w:p>
            <w:pPr>
              <w:spacing w:after="0"/>
              <w:rPr>
                <w:sz w:val="8"/>
                <w:szCs w:val="8"/>
                <w:color w:val="auto"/>
              </w:rPr>
            </w:pPr>
          </w:p>
        </w:tc>
        <w:tc>
          <w:tcPr>
            <w:tcW w:w="160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2500" w:type="dxa"/>
            <w:vAlign w:val="bottom"/>
            <w:gridSpan w:val="2"/>
            <w:vMerge w:val="restart"/>
          </w:tcPr>
          <w:p>
            <w:pPr>
              <w:spacing w:after="0"/>
              <w:rPr>
                <w:sz w:val="20"/>
                <w:szCs w:val="20"/>
                <w:color w:val="auto"/>
              </w:rPr>
            </w:pPr>
            <w:r>
              <w:rPr>
                <w:rFonts w:ascii="Calibri" w:cs="Calibri" w:eastAsia="Calibri" w:hAnsi="Calibri"/>
                <w:sz w:val="24"/>
                <w:szCs w:val="24"/>
                <w:color w:val="auto"/>
              </w:rPr>
              <w:t>HTN, osteoarthritis</w:t>
            </w:r>
          </w:p>
        </w:tc>
        <w:tc>
          <w:tcPr>
            <w:tcW w:w="0" w:type="dxa"/>
            <w:vAlign w:val="bottom"/>
          </w:tcPr>
          <w:p>
            <w:pPr>
              <w:spacing w:after="0"/>
              <w:rPr>
                <w:sz w:val="1"/>
                <w:szCs w:val="1"/>
                <w:color w:val="auto"/>
              </w:rPr>
            </w:pPr>
          </w:p>
        </w:tc>
      </w:tr>
      <w:tr>
        <w:trPr>
          <w:trHeight w:val="367"/>
        </w:trPr>
        <w:tc>
          <w:tcPr>
            <w:tcW w:w="20" w:type="dxa"/>
            <w:vAlign w:val="bottom"/>
          </w:tcPr>
          <w:p>
            <w:pPr>
              <w:spacing w:after="0"/>
              <w:rPr>
                <w:sz w:val="24"/>
                <w:szCs w:val="24"/>
                <w:color w:val="auto"/>
              </w:rPr>
            </w:pPr>
          </w:p>
        </w:tc>
        <w:tc>
          <w:tcPr>
            <w:tcW w:w="1360" w:type="dxa"/>
            <w:vAlign w:val="bottom"/>
            <w:vMerge w:val="continue"/>
          </w:tcPr>
          <w:p>
            <w:pPr>
              <w:spacing w:after="0"/>
              <w:rPr>
                <w:sz w:val="24"/>
                <w:szCs w:val="24"/>
                <w:color w:val="auto"/>
              </w:rPr>
            </w:pPr>
          </w:p>
        </w:tc>
        <w:tc>
          <w:tcPr>
            <w:tcW w:w="700" w:type="dxa"/>
            <w:vAlign w:val="bottom"/>
            <w:tcBorders>
              <w:left w:val="single" w:sz="8" w:color="auto"/>
              <w:right w:val="single" w:sz="8" w:color="auto"/>
            </w:tcBorders>
          </w:tcPr>
          <w:p>
            <w:pPr>
              <w:ind w:left="80"/>
              <w:spacing w:after="0"/>
              <w:rPr>
                <w:sz w:val="20"/>
                <w:szCs w:val="20"/>
                <w:color w:val="auto"/>
              </w:rPr>
            </w:pPr>
            <w:r>
              <w:rPr>
                <w:rFonts w:ascii="Calibri" w:cs="Calibri" w:eastAsia="Calibri" w:hAnsi="Calibri"/>
                <w:sz w:val="24"/>
                <w:szCs w:val="24"/>
                <w:color w:val="auto"/>
              </w:rPr>
              <w:t>79</w:t>
            </w:r>
          </w:p>
        </w:tc>
        <w:tc>
          <w:tcPr>
            <w:tcW w:w="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50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89"/>
        </w:trPr>
        <w:tc>
          <w:tcPr>
            <w:tcW w:w="20" w:type="dxa"/>
            <w:vAlign w:val="bottom"/>
          </w:tcPr>
          <w:p>
            <w:pPr>
              <w:spacing w:after="0"/>
              <w:rPr>
                <w:sz w:val="7"/>
                <w:szCs w:val="7"/>
                <w:color w:val="auto"/>
              </w:rPr>
            </w:pPr>
          </w:p>
        </w:tc>
        <w:tc>
          <w:tcPr>
            <w:tcW w:w="1360" w:type="dxa"/>
            <w:vAlign w:val="bottom"/>
            <w:tcBorders>
              <w:bottom w:val="single" w:sz="8" w:color="auto"/>
            </w:tcBorders>
          </w:tcPr>
          <w:p>
            <w:pPr>
              <w:spacing w:after="0"/>
              <w:rPr>
                <w:sz w:val="7"/>
                <w:szCs w:val="7"/>
                <w:color w:val="auto"/>
              </w:rPr>
            </w:pPr>
          </w:p>
        </w:tc>
        <w:tc>
          <w:tcPr>
            <w:tcW w:w="700" w:type="dxa"/>
            <w:vAlign w:val="bottom"/>
            <w:tcBorders>
              <w:left w:val="single" w:sz="8" w:color="auto"/>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2180" w:type="dxa"/>
            <w:vAlign w:val="bottom"/>
            <w:tcBorders>
              <w:bottom w:val="single" w:sz="8" w:color="auto"/>
            </w:tcBorders>
            <w:gridSpan w:val="2"/>
          </w:tcPr>
          <w:p>
            <w:pPr>
              <w:spacing w:after="0"/>
              <w:rPr>
                <w:sz w:val="7"/>
                <w:szCs w:val="7"/>
                <w:color w:val="auto"/>
              </w:rPr>
            </w:pPr>
          </w:p>
        </w:tc>
        <w:tc>
          <w:tcPr>
            <w:tcW w:w="20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2500" w:type="dxa"/>
            <w:vAlign w:val="bottom"/>
            <w:tcBorders>
              <w:bottom w:val="single" w:sz="8" w:color="auto"/>
            </w:tcBorders>
            <w:gridSpan w:val="2"/>
          </w:tcPr>
          <w:p>
            <w:pPr>
              <w:spacing w:after="0"/>
              <w:rPr>
                <w:sz w:val="7"/>
                <w:szCs w:val="7"/>
                <w:color w:val="auto"/>
              </w:rPr>
            </w:pPr>
          </w:p>
        </w:tc>
        <w:tc>
          <w:tcPr>
            <w:tcW w:w="0" w:type="dxa"/>
            <w:vAlign w:val="bottom"/>
          </w:tcPr>
          <w:p>
            <w:pPr>
              <w:spacing w:after="0"/>
              <w:rPr>
                <w:sz w:val="1"/>
                <w:szCs w:val="1"/>
                <w:color w:val="auto"/>
              </w:rPr>
            </w:pPr>
          </w:p>
        </w:tc>
      </w:tr>
      <w:tr>
        <w:trPr>
          <w:trHeight w:val="347"/>
        </w:trPr>
        <w:tc>
          <w:tcPr>
            <w:tcW w:w="20" w:type="dxa"/>
            <w:vAlign w:val="bottom"/>
          </w:tcPr>
          <w:p>
            <w:pPr>
              <w:spacing w:after="0"/>
              <w:rPr>
                <w:sz w:val="24"/>
                <w:szCs w:val="24"/>
                <w:color w:val="auto"/>
              </w:rPr>
            </w:pPr>
          </w:p>
        </w:tc>
        <w:tc>
          <w:tcPr>
            <w:tcW w:w="1360" w:type="dxa"/>
            <w:vAlign w:val="bottom"/>
          </w:tcPr>
          <w:p>
            <w:pPr>
              <w:ind w:left="80"/>
              <w:spacing w:after="0"/>
              <w:rPr>
                <w:sz w:val="20"/>
                <w:szCs w:val="20"/>
                <w:color w:val="auto"/>
              </w:rPr>
            </w:pPr>
            <w:r>
              <w:rPr>
                <w:rFonts w:ascii="Calibri" w:cs="Calibri" w:eastAsia="Calibri" w:hAnsi="Calibri"/>
                <w:sz w:val="24"/>
                <w:szCs w:val="24"/>
                <w:color w:val="auto"/>
              </w:rPr>
              <w:t>Father</w:t>
            </w:r>
          </w:p>
        </w:tc>
        <w:tc>
          <w:tcPr>
            <w:tcW w:w="700" w:type="dxa"/>
            <w:vAlign w:val="bottom"/>
            <w:tcBorders>
              <w:left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180" w:type="dxa"/>
            <w:vAlign w:val="bottom"/>
            <w:gridSpan w:val="2"/>
          </w:tcPr>
          <w:p>
            <w:pPr>
              <w:spacing w:after="0"/>
              <w:rPr>
                <w:sz w:val="20"/>
                <w:szCs w:val="20"/>
                <w:color w:val="auto"/>
              </w:rPr>
            </w:pPr>
            <w:r>
              <w:rPr>
                <w:rFonts w:ascii="Calibri" w:cs="Calibri" w:eastAsia="Calibri" w:hAnsi="Calibri"/>
                <w:sz w:val="24"/>
                <w:szCs w:val="24"/>
                <w:color w:val="auto"/>
              </w:rPr>
              <w:t>Presumed MI at 40</w:t>
            </w:r>
          </w:p>
        </w:tc>
        <w:tc>
          <w:tcPr>
            <w:tcW w:w="2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500" w:type="dxa"/>
            <w:vAlign w:val="bottom"/>
            <w:gridSpan w:val="2"/>
          </w:tcPr>
          <w:p>
            <w:pPr>
              <w:spacing w:after="0"/>
              <w:rPr>
                <w:sz w:val="20"/>
                <w:szCs w:val="20"/>
                <w:color w:val="auto"/>
              </w:rPr>
            </w:pPr>
            <w:r>
              <w:rPr>
                <w:rFonts w:ascii="Calibri" w:cs="Calibri" w:eastAsia="Calibri" w:hAnsi="Calibri"/>
                <w:sz w:val="24"/>
                <w:szCs w:val="24"/>
                <w:color w:val="auto"/>
              </w:rPr>
              <w:t>None known</w:t>
            </w:r>
          </w:p>
        </w:tc>
        <w:tc>
          <w:tcPr>
            <w:tcW w:w="0" w:type="dxa"/>
            <w:vAlign w:val="bottom"/>
          </w:tcPr>
          <w:p>
            <w:pPr>
              <w:spacing w:after="0"/>
              <w:rPr>
                <w:sz w:val="1"/>
                <w:szCs w:val="1"/>
                <w:color w:val="auto"/>
              </w:rPr>
            </w:pPr>
          </w:p>
        </w:tc>
      </w:tr>
      <w:tr>
        <w:trPr>
          <w:trHeight w:val="101"/>
        </w:trPr>
        <w:tc>
          <w:tcPr>
            <w:tcW w:w="20" w:type="dxa"/>
            <w:vAlign w:val="bottom"/>
          </w:tcPr>
          <w:p>
            <w:pPr>
              <w:spacing w:after="0"/>
              <w:rPr>
                <w:sz w:val="8"/>
                <w:szCs w:val="8"/>
                <w:color w:val="auto"/>
              </w:rPr>
            </w:pPr>
          </w:p>
        </w:tc>
        <w:tc>
          <w:tcPr>
            <w:tcW w:w="1360" w:type="dxa"/>
            <w:vAlign w:val="bottom"/>
            <w:tcBorders>
              <w:bottom w:val="single" w:sz="8" w:color="auto"/>
            </w:tcBorders>
          </w:tcPr>
          <w:p>
            <w:pPr>
              <w:spacing w:after="0"/>
              <w:rPr>
                <w:sz w:val="8"/>
                <w:szCs w:val="8"/>
                <w:color w:val="auto"/>
              </w:rPr>
            </w:pPr>
          </w:p>
        </w:tc>
        <w:tc>
          <w:tcPr>
            <w:tcW w:w="700" w:type="dxa"/>
            <w:vAlign w:val="bottom"/>
            <w:tcBorders>
              <w:left w:val="single" w:sz="8" w:color="auto"/>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600" w:type="dxa"/>
            <w:vAlign w:val="bottom"/>
            <w:tcBorders>
              <w:bottom w:val="single" w:sz="8" w:color="auto"/>
            </w:tcBorders>
          </w:tcPr>
          <w:p>
            <w:pPr>
              <w:spacing w:after="0"/>
              <w:rPr>
                <w:sz w:val="8"/>
                <w:szCs w:val="8"/>
                <w:color w:val="auto"/>
              </w:rPr>
            </w:pPr>
          </w:p>
        </w:tc>
        <w:tc>
          <w:tcPr>
            <w:tcW w:w="200" w:type="dxa"/>
            <w:vAlign w:val="bottom"/>
            <w:tcBorders>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1720" w:type="dxa"/>
            <w:vAlign w:val="bottom"/>
            <w:tcBorders>
              <w:bottom w:val="single" w:sz="8" w:color="auto"/>
            </w:tcBorders>
          </w:tcPr>
          <w:p>
            <w:pPr>
              <w:spacing w:after="0"/>
              <w:rPr>
                <w:sz w:val="8"/>
                <w:szCs w:val="8"/>
                <w:color w:val="auto"/>
              </w:rPr>
            </w:pPr>
          </w:p>
        </w:tc>
        <w:tc>
          <w:tcPr>
            <w:tcW w:w="7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50"/>
        </w:trPr>
        <w:tc>
          <w:tcPr>
            <w:tcW w:w="20" w:type="dxa"/>
            <w:vAlign w:val="bottom"/>
          </w:tcPr>
          <w:p>
            <w:pPr>
              <w:spacing w:after="0"/>
              <w:rPr>
                <w:sz w:val="24"/>
                <w:szCs w:val="24"/>
                <w:color w:val="auto"/>
              </w:rPr>
            </w:pPr>
          </w:p>
        </w:tc>
        <w:tc>
          <w:tcPr>
            <w:tcW w:w="1360" w:type="dxa"/>
            <w:vAlign w:val="bottom"/>
          </w:tcPr>
          <w:p>
            <w:pPr>
              <w:ind w:left="80"/>
              <w:spacing w:after="0"/>
              <w:rPr>
                <w:sz w:val="20"/>
                <w:szCs w:val="20"/>
                <w:color w:val="auto"/>
              </w:rPr>
            </w:pPr>
            <w:r>
              <w:rPr>
                <w:rFonts w:ascii="Calibri" w:cs="Calibri" w:eastAsia="Calibri" w:hAnsi="Calibri"/>
                <w:sz w:val="24"/>
                <w:szCs w:val="24"/>
                <w:color w:val="auto"/>
              </w:rPr>
              <w:t>Each sibling</w:t>
            </w:r>
          </w:p>
        </w:tc>
        <w:tc>
          <w:tcPr>
            <w:tcW w:w="700" w:type="dxa"/>
            <w:vAlign w:val="bottom"/>
            <w:tcBorders>
              <w:left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20" w:type="dxa"/>
            <w:vAlign w:val="bottom"/>
          </w:tcPr>
          <w:p>
            <w:pPr>
              <w:spacing w:after="0"/>
              <w:rPr>
                <w:sz w:val="8"/>
                <w:szCs w:val="8"/>
                <w:color w:val="auto"/>
              </w:rPr>
            </w:pPr>
          </w:p>
        </w:tc>
        <w:tc>
          <w:tcPr>
            <w:tcW w:w="1360" w:type="dxa"/>
            <w:vAlign w:val="bottom"/>
            <w:tcBorders>
              <w:bottom w:val="single" w:sz="8" w:color="auto"/>
            </w:tcBorders>
          </w:tcPr>
          <w:p>
            <w:pPr>
              <w:spacing w:after="0"/>
              <w:rPr>
                <w:sz w:val="8"/>
                <w:szCs w:val="8"/>
                <w:color w:val="auto"/>
              </w:rPr>
            </w:pPr>
          </w:p>
        </w:tc>
        <w:tc>
          <w:tcPr>
            <w:tcW w:w="700" w:type="dxa"/>
            <w:vAlign w:val="bottom"/>
            <w:tcBorders>
              <w:left w:val="single" w:sz="8" w:color="auto"/>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600" w:type="dxa"/>
            <w:vAlign w:val="bottom"/>
            <w:tcBorders>
              <w:bottom w:val="single" w:sz="8" w:color="auto"/>
            </w:tcBorders>
          </w:tcPr>
          <w:p>
            <w:pPr>
              <w:spacing w:after="0"/>
              <w:rPr>
                <w:sz w:val="8"/>
                <w:szCs w:val="8"/>
                <w:color w:val="auto"/>
              </w:rPr>
            </w:pPr>
          </w:p>
        </w:tc>
        <w:tc>
          <w:tcPr>
            <w:tcW w:w="200" w:type="dxa"/>
            <w:vAlign w:val="bottom"/>
            <w:tcBorders>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500" w:type="dxa"/>
            <w:vAlign w:val="bottom"/>
            <w:tcBorders>
              <w:bottom w:val="single" w:sz="8" w:color="auto"/>
            </w:tcBorders>
            <w:gridSpan w:val="2"/>
          </w:tcPr>
          <w:p>
            <w:pPr>
              <w:spacing w:after="0"/>
              <w:rPr>
                <w:sz w:val="8"/>
                <w:szCs w:val="8"/>
                <w:color w:val="auto"/>
              </w:rPr>
            </w:pPr>
          </w:p>
        </w:tc>
        <w:tc>
          <w:tcPr>
            <w:tcW w:w="0" w:type="dxa"/>
            <w:vAlign w:val="bottom"/>
          </w:tcPr>
          <w:p>
            <w:pPr>
              <w:spacing w:after="0"/>
              <w:rPr>
                <w:sz w:val="1"/>
                <w:szCs w:val="1"/>
                <w:color w:val="auto"/>
              </w:rPr>
            </w:pPr>
          </w:p>
        </w:tc>
      </w:tr>
      <w:tr>
        <w:trPr>
          <w:trHeight w:val="350"/>
        </w:trPr>
        <w:tc>
          <w:tcPr>
            <w:tcW w:w="20" w:type="dxa"/>
            <w:vAlign w:val="bottom"/>
          </w:tcPr>
          <w:p>
            <w:pPr>
              <w:spacing w:after="0"/>
              <w:rPr>
                <w:sz w:val="24"/>
                <w:szCs w:val="24"/>
                <w:color w:val="auto"/>
              </w:rPr>
            </w:pPr>
          </w:p>
        </w:tc>
        <w:tc>
          <w:tcPr>
            <w:tcW w:w="1360" w:type="dxa"/>
            <w:vAlign w:val="bottom"/>
          </w:tcPr>
          <w:p>
            <w:pPr>
              <w:ind w:left="80"/>
              <w:spacing w:after="0"/>
              <w:rPr>
                <w:sz w:val="20"/>
                <w:szCs w:val="20"/>
                <w:color w:val="auto"/>
              </w:rPr>
            </w:pPr>
            <w:r>
              <w:rPr>
                <w:rFonts w:ascii="Calibri" w:cs="Calibri" w:eastAsia="Calibri" w:hAnsi="Calibri"/>
                <w:sz w:val="24"/>
                <w:szCs w:val="24"/>
                <w:color w:val="auto"/>
              </w:rPr>
              <w:t>Each child</w:t>
            </w:r>
          </w:p>
        </w:tc>
        <w:tc>
          <w:tcPr>
            <w:tcW w:w="700" w:type="dxa"/>
            <w:vAlign w:val="bottom"/>
            <w:tcBorders>
              <w:left w:val="single" w:sz="8" w:color="auto"/>
              <w:right w:val="single" w:sz="8" w:color="auto"/>
            </w:tcBorders>
          </w:tcPr>
          <w:p>
            <w:pPr>
              <w:ind w:left="80"/>
              <w:spacing w:after="0"/>
              <w:rPr>
                <w:sz w:val="20"/>
                <w:szCs w:val="20"/>
                <w:color w:val="auto"/>
              </w:rPr>
            </w:pPr>
            <w:r>
              <w:rPr>
                <w:rFonts w:ascii="Calibri" w:cs="Calibri" w:eastAsia="Calibri" w:hAnsi="Calibri"/>
                <w:sz w:val="24"/>
                <w:szCs w:val="24"/>
                <w:color w:val="auto"/>
              </w:rPr>
              <w:t>19</w:t>
            </w:r>
          </w:p>
        </w:tc>
        <w:tc>
          <w:tcPr>
            <w:tcW w:w="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500" w:type="dxa"/>
            <w:vAlign w:val="bottom"/>
            <w:gridSpan w:val="2"/>
          </w:tcPr>
          <w:p>
            <w:pPr>
              <w:spacing w:after="0"/>
              <w:rPr>
                <w:sz w:val="20"/>
                <w:szCs w:val="20"/>
                <w:color w:val="auto"/>
              </w:rPr>
            </w:pPr>
            <w:r>
              <w:rPr>
                <w:rFonts w:ascii="Calibri" w:cs="Calibri" w:eastAsia="Calibri" w:hAnsi="Calibri"/>
                <w:sz w:val="24"/>
                <w:szCs w:val="24"/>
                <w:color w:val="auto"/>
              </w:rPr>
              <w:t>Alive and well</w:t>
            </w:r>
          </w:p>
        </w:tc>
        <w:tc>
          <w:tcPr>
            <w:tcW w:w="0" w:type="dxa"/>
            <w:vAlign w:val="bottom"/>
          </w:tcPr>
          <w:p>
            <w:pPr>
              <w:spacing w:after="0"/>
              <w:rPr>
                <w:sz w:val="1"/>
                <w:szCs w:val="1"/>
                <w:color w:val="auto"/>
              </w:rPr>
            </w:pPr>
          </w:p>
        </w:tc>
      </w:tr>
      <w:tr>
        <w:trPr>
          <w:trHeight w:val="101"/>
        </w:trPr>
        <w:tc>
          <w:tcPr>
            <w:tcW w:w="20" w:type="dxa"/>
            <w:vAlign w:val="bottom"/>
          </w:tcPr>
          <w:p>
            <w:pPr>
              <w:spacing w:after="0"/>
              <w:rPr>
                <w:sz w:val="8"/>
                <w:szCs w:val="8"/>
                <w:color w:val="auto"/>
              </w:rPr>
            </w:pPr>
          </w:p>
        </w:tc>
        <w:tc>
          <w:tcPr>
            <w:tcW w:w="1360" w:type="dxa"/>
            <w:vAlign w:val="bottom"/>
            <w:tcBorders>
              <w:bottom w:val="single" w:sz="8" w:color="auto"/>
            </w:tcBorders>
          </w:tcPr>
          <w:p>
            <w:pPr>
              <w:spacing w:after="0"/>
              <w:rPr>
                <w:sz w:val="8"/>
                <w:szCs w:val="8"/>
                <w:color w:val="auto"/>
              </w:rPr>
            </w:pPr>
          </w:p>
        </w:tc>
        <w:tc>
          <w:tcPr>
            <w:tcW w:w="700" w:type="dxa"/>
            <w:vAlign w:val="bottom"/>
            <w:tcBorders>
              <w:left w:val="single" w:sz="8" w:color="auto"/>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600" w:type="dxa"/>
            <w:vAlign w:val="bottom"/>
            <w:tcBorders>
              <w:bottom w:val="single" w:sz="8" w:color="auto"/>
            </w:tcBorders>
          </w:tcPr>
          <w:p>
            <w:pPr>
              <w:spacing w:after="0"/>
              <w:rPr>
                <w:sz w:val="8"/>
                <w:szCs w:val="8"/>
                <w:color w:val="auto"/>
              </w:rPr>
            </w:pPr>
          </w:p>
        </w:tc>
        <w:tc>
          <w:tcPr>
            <w:tcW w:w="200" w:type="dxa"/>
            <w:vAlign w:val="bottom"/>
            <w:tcBorders>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1720" w:type="dxa"/>
            <w:vAlign w:val="bottom"/>
            <w:tcBorders>
              <w:bottom w:val="single" w:sz="8" w:color="auto"/>
            </w:tcBorders>
          </w:tcPr>
          <w:p>
            <w:pPr>
              <w:spacing w:after="0"/>
              <w:rPr>
                <w:sz w:val="8"/>
                <w:szCs w:val="8"/>
                <w:color w:val="auto"/>
              </w:rPr>
            </w:pPr>
          </w:p>
        </w:tc>
        <w:tc>
          <w:tcPr>
            <w:tcW w:w="7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288" w:lineRule="exact"/>
        <w:rPr>
          <w:sz w:val="20"/>
          <w:szCs w:val="20"/>
          <w:color w:val="auto"/>
        </w:rPr>
      </w:pPr>
    </w:p>
    <w:p>
      <w:pPr>
        <w:spacing w:after="0"/>
        <w:rPr>
          <w:sz w:val="20"/>
          <w:szCs w:val="20"/>
          <w:color w:val="auto"/>
        </w:rPr>
      </w:pPr>
      <w:r>
        <w:rPr>
          <w:rFonts w:ascii="Calibri" w:cs="Calibri" w:eastAsia="Calibri" w:hAnsi="Calibri"/>
          <w:sz w:val="24"/>
          <w:szCs w:val="24"/>
          <w:color w:val="auto"/>
        </w:rPr>
        <w:t>REVIEW OF SYSTEMS</w:t>
      </w:r>
    </w:p>
    <w:p>
      <w:pPr>
        <w:spacing w:after="0" w:line="3" w:lineRule="exact"/>
        <w:rPr>
          <w:sz w:val="20"/>
          <w:szCs w:val="20"/>
          <w:color w:val="auto"/>
        </w:rPr>
      </w:pPr>
    </w:p>
    <w:p>
      <w:pPr>
        <w:ind w:left="1620" w:hanging="360"/>
        <w:spacing w:after="0"/>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Constitutional - normal appetite and has no recent weight change or fatigue</w:t>
      </w:r>
    </w:p>
    <w:p>
      <w:pPr>
        <w:ind w:left="1620" w:hanging="360"/>
        <w:spacing w:after="0"/>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Skin - no rashes</w:t>
      </w:r>
    </w:p>
    <w:p>
      <w:pPr>
        <w:spacing w:after="0" w:line="52" w:lineRule="exact"/>
        <w:rPr>
          <w:rFonts w:ascii="Calibri" w:cs="Calibri" w:eastAsia="Calibri" w:hAnsi="Calibri"/>
          <w:sz w:val="24"/>
          <w:szCs w:val="24"/>
          <w:color w:val="auto"/>
        </w:rPr>
      </w:pPr>
    </w:p>
    <w:p>
      <w:pPr>
        <w:ind w:left="1620" w:right="360" w:hanging="360"/>
        <w:spacing w:after="0" w:line="218" w:lineRule="auto"/>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Eyes - vision is normal - wears glasses only for reading for the last year - last eye exam was one year ago</w:t>
      </w:r>
    </w:p>
    <w:p>
      <w:pPr>
        <w:spacing w:after="0" w:line="53" w:lineRule="exact"/>
        <w:rPr>
          <w:rFonts w:ascii="Calibri" w:cs="Calibri" w:eastAsia="Calibri" w:hAnsi="Calibri"/>
          <w:sz w:val="24"/>
          <w:szCs w:val="24"/>
          <w:color w:val="auto"/>
        </w:rPr>
      </w:pPr>
    </w:p>
    <w:p>
      <w:pPr>
        <w:ind w:left="1620" w:right="260" w:hanging="360"/>
        <w:spacing w:after="0" w:line="218" w:lineRule="auto"/>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Ears/Nose/Mouth/Throat - no changes in hearing, tinnitus, sore throat, nasal congestion</w:t>
      </w:r>
    </w:p>
    <w:p>
      <w:pPr>
        <w:ind w:left="1620" w:hanging="360"/>
        <w:spacing w:after="0"/>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Breast – Not applicable</w:t>
      </w:r>
    </w:p>
    <w:p>
      <w:pPr>
        <w:ind w:left="1620" w:hanging="360"/>
        <w:spacing w:after="0"/>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Respiratory – no cough, sputum, hemoptysis or wheezing</w:t>
      </w:r>
    </w:p>
    <w:p>
      <w:pPr>
        <w:ind w:left="1620" w:hanging="360"/>
        <w:spacing w:after="0"/>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Cardiovascular - see HPI</w:t>
      </w:r>
    </w:p>
    <w:p>
      <w:pPr>
        <w:spacing w:after="0" w:line="52" w:lineRule="exact"/>
        <w:rPr>
          <w:rFonts w:ascii="Calibri" w:cs="Calibri" w:eastAsia="Calibri" w:hAnsi="Calibri"/>
          <w:sz w:val="24"/>
          <w:szCs w:val="24"/>
          <w:color w:val="auto"/>
        </w:rPr>
      </w:pPr>
    </w:p>
    <w:p>
      <w:pPr>
        <w:ind w:left="1620" w:right="100" w:hanging="360"/>
        <w:spacing w:after="0" w:line="218" w:lineRule="auto"/>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Gastrointestinal - denies any trouble swallowing, heartburn, nausea, vomiting, indigestion, change in bowel habits, rectal bleeding or black stools</w:t>
      </w:r>
    </w:p>
    <w:p>
      <w:pPr>
        <w:spacing w:after="0" w:line="53" w:lineRule="exact"/>
        <w:rPr>
          <w:rFonts w:ascii="Calibri" w:cs="Calibri" w:eastAsia="Calibri" w:hAnsi="Calibri"/>
          <w:sz w:val="24"/>
          <w:szCs w:val="24"/>
          <w:color w:val="auto"/>
        </w:rPr>
      </w:pPr>
    </w:p>
    <w:p>
      <w:pPr>
        <w:ind w:left="1620" w:right="320" w:hanging="360"/>
        <w:spacing w:after="0" w:line="218" w:lineRule="auto"/>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Genitourinary - has noticed mild hesitancy when initiating urination - denies any discharge from his penis or testicular pain; no dysuria or frequency.</w:t>
      </w:r>
    </w:p>
    <w:p>
      <w:pPr>
        <w:ind w:left="1620" w:hanging="360"/>
        <w:spacing w:after="0"/>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Musculoskeletal - denies any joint pain, redness, stiffness</w:t>
      </w:r>
    </w:p>
    <w:p>
      <w:pPr>
        <w:spacing w:after="0" w:line="52" w:lineRule="exact"/>
        <w:rPr>
          <w:rFonts w:ascii="Calibri" w:cs="Calibri" w:eastAsia="Calibri" w:hAnsi="Calibri"/>
          <w:sz w:val="24"/>
          <w:szCs w:val="24"/>
          <w:color w:val="auto"/>
        </w:rPr>
      </w:pPr>
    </w:p>
    <w:p>
      <w:pPr>
        <w:ind w:left="1620" w:right="820" w:hanging="360"/>
        <w:spacing w:after="0" w:line="219" w:lineRule="auto"/>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Neurologic - denies syncope, seizures, weakness, numbness, tingling or changes in his memory</w:t>
      </w:r>
    </w:p>
    <w:p>
      <w:pPr>
        <w:ind w:left="1620" w:hanging="360"/>
        <w:spacing w:after="0"/>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Psychiatric – no feelings of depression, anxiety</w:t>
      </w:r>
    </w:p>
    <w:p>
      <w:pPr>
        <w:spacing w:after="0" w:line="52" w:lineRule="exact"/>
        <w:rPr>
          <w:rFonts w:ascii="Calibri" w:cs="Calibri" w:eastAsia="Calibri" w:hAnsi="Calibri"/>
          <w:sz w:val="24"/>
          <w:szCs w:val="24"/>
          <w:color w:val="auto"/>
        </w:rPr>
      </w:pPr>
    </w:p>
    <w:p>
      <w:pPr>
        <w:ind w:left="1620" w:right="720" w:hanging="360"/>
        <w:spacing w:after="0" w:line="218" w:lineRule="auto"/>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Endocrine - denies heat or cold intolerance, excessive seating, history of diabetes, excessive thirst</w:t>
      </w:r>
    </w:p>
    <w:p>
      <w:pPr>
        <w:ind w:left="1620" w:hanging="360"/>
        <w:spacing w:after="0"/>
        <w:tabs>
          <w:tab w:leader="none" w:pos="16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Hematologic - see HPI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right"/>
        <w:spacing w:after="0"/>
        <w:tabs>
          <w:tab w:leader="none" w:pos="800" w:val="left"/>
        </w:tabs>
        <w:rPr>
          <w:sz w:val="20"/>
          <w:szCs w:val="20"/>
          <w:color w:val="auto"/>
        </w:rPr>
      </w:pPr>
      <w:r>
        <w:rPr>
          <w:rFonts w:ascii="Calibri" w:cs="Calibri" w:eastAsia="Calibri" w:hAnsi="Calibri"/>
          <w:sz w:val="18"/>
          <w:szCs w:val="18"/>
          <w:i w:val="1"/>
          <w:iCs w:val="1"/>
          <w:color w:val="auto"/>
        </w:rPr>
        <w:t>MedHistory_Example</w:t>
      </w:r>
      <w:r>
        <w:rPr>
          <w:sz w:val="20"/>
          <w:szCs w:val="20"/>
          <w:color w:val="auto"/>
        </w:rPr>
        <w:tab/>
      </w:r>
      <w:r>
        <w:rPr>
          <w:rFonts w:ascii="Calibri" w:cs="Calibri" w:eastAsia="Calibri" w:hAnsi="Calibri"/>
          <w:sz w:val="18"/>
          <w:szCs w:val="18"/>
          <w:i w:val="1"/>
          <w:iCs w:val="1"/>
          <w:color w:val="auto"/>
        </w:rPr>
        <w:t>page 3 of 3</w:t>
      </w:r>
    </w:p>
    <w:sectPr>
      <w:pgSz w:w="12240" w:h="15840" w:orient="portrait"/>
      <w:cols w:equalWidth="0" w:num="1">
        <w:col w:w="9360"/>
      </w:cols>
      <w:pgMar w:left="1440" w:top="1440" w:right="1440" w:bottom="16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lvl w:ilvl="1">
      <w:lvlJc w:val="left"/>
      <w:lvlText w:val="%2."/>
      <w:numFmt w:val="lowerLetter"/>
      <w:start w:val="1"/>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decimal"/>
      <w:start w:val="1"/>
    </w:lvl>
    <w:lvl w:ilvl="1">
      <w:lvlJc w:val="left"/>
      <w:lvlText w:val="%2."/>
      <w:numFmt w:val="lowerLetter"/>
      <w:start w:val="1"/>
    </w:lvl>
  </w:abstractNum>
  <w:abstractNum w:abstractNumId="4">
    <w:nsid w:val="46E87CC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2020-05-23T09:43:40Z</dcterms:created>
  <dcterms:modified xsi:type="dcterms:W3CDTF">2020-05-23T09:43:40Z</dcterms:modified>
</cp:coreProperties>
</file>