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57397BC4" w14:textId="07A85AC4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D62DCA">
        <w:fldChar w:fldCharType="separate"/>
      </w:r>
      <w:r w:rsidR="006D4759">
        <w:t>A0 Выписка счетов потребителям, отгрузка и доставку им продукции предприятия</w:t>
      </w:r>
      <w:r w:rsidRPr="005230AE">
        <w:fldChar w:fldCharType="end"/>
      </w:r>
      <w:bookmarkEnd w:id="0"/>
    </w:p>
    <w:p w14:paraId="534DEE30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14:paraId="6F853FD7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6FB78C10" w14:textId="29B4750E" w:rsidR="005D3DA4" w:rsidRPr="005230AE" w:rsidRDefault="006D4759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rPr>
                <w:noProof/>
              </w:rPr>
              <w:drawing>
                <wp:inline distT="0" distB="0" distL="0" distR="0" wp14:anchorId="7F41BE77" wp14:editId="410CF8E0">
                  <wp:extent cx="8070215" cy="562483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0215" cy="562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F0906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35914373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1E3A1701" w14:textId="7F69DA63" w:rsidR="005B3F0E" w:rsidRPr="005230AE" w:rsidRDefault="006D4759" w:rsidP="00C46DB9">
            <w:pPr>
              <w:ind w:left="0"/>
              <w:jc w:val="center"/>
            </w:pPr>
            <w:bookmarkStart w:id="4" w:name="Diagram_626ed7b6"/>
            <w:bookmarkEnd w:id="4"/>
            <w:r>
              <w:rPr>
                <w:noProof/>
              </w:rPr>
              <w:drawing>
                <wp:inline distT="0" distB="0" distL="0" distR="0" wp14:anchorId="1834C93A" wp14:editId="0243D5B3">
                  <wp:extent cx="8070215" cy="562483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0215" cy="562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20D57490" w14:textId="77777777" w:rsidR="005B3F0E" w:rsidRPr="005230AE" w:rsidRDefault="005B3F0E" w:rsidP="005B3F0E">
      <w:pPr>
        <w:rPr>
          <w:sz w:val="2"/>
          <w:szCs w:val="2"/>
        </w:rPr>
      </w:pPr>
    </w:p>
    <w:p w14:paraId="37E56D5D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77A15356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237F8AEC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307002F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E9EBAF4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76FF1A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2257ED4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1B2EC327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1359B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6C27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BDCEC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84731E3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E519785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3EBB1F53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017021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378E57" w14:textId="77777777" w:rsidR="00013E9F" w:rsidRPr="005230AE" w:rsidRDefault="00013E9F">
            <w:pPr>
              <w:pStyle w:val="Tabletext"/>
            </w:pPr>
            <w:r>
              <w:t>Заявка клиента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5C45E6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F2350F" w14:textId="77777777"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EA7C9C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  <w:tr w:rsidR="00013E9F" w:rsidRPr="005230AE" w14:paraId="7E3281B6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BAD84E7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D05761" w14:textId="77777777" w:rsidR="00013E9F" w:rsidRPr="005230AE" w:rsidRDefault="00013E9F">
            <w:pPr>
              <w:pStyle w:val="Tabletext"/>
            </w:pPr>
            <w:r>
              <w:t>Товар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B4E653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F4DFEF" w14:textId="77777777" w:rsidR="00013E9F" w:rsidRPr="005230AE" w:rsidRDefault="00013E9F">
            <w:pPr>
              <w:pStyle w:val="Tabletext"/>
            </w:pPr>
            <w:r>
              <w:t>Субподрядчик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3FAF3D" w14:textId="77777777" w:rsidR="00013E9F" w:rsidRPr="005230AE" w:rsidRDefault="00013E9F">
            <w:pPr>
              <w:pStyle w:val="Tabletext"/>
            </w:pPr>
            <w:r>
              <w:t>Поставщики</w:t>
            </w:r>
          </w:p>
        </w:tc>
      </w:tr>
    </w:tbl>
    <w:p w14:paraId="72A7190D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659810AD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F79045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0A7E70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457C41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609EB6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01C09E4E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4A347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899E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44AB1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5E24F19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6017A61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3A08F67E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85B940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20BED2" w14:textId="77777777" w:rsidR="00013E9F" w:rsidRPr="005230AE" w:rsidRDefault="00013E9F" w:rsidP="006679FA">
            <w:pPr>
              <w:pStyle w:val="Tabletext"/>
            </w:pPr>
            <w:r>
              <w:t>Отчёт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453E5B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75E826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E57D165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  <w:tr w:rsidR="00013E9F" w:rsidRPr="005230AE" w14:paraId="751E313F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E521B5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4ADFBD" w14:textId="77777777" w:rsidR="00013E9F" w:rsidRPr="005230AE" w:rsidRDefault="00013E9F" w:rsidP="006679FA">
            <w:pPr>
              <w:pStyle w:val="Tabletext"/>
            </w:pPr>
            <w:r>
              <w:t>Скомплектованный заказ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763E57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423991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A73EB9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  <w:tr w:rsidR="00013E9F" w:rsidRPr="005230AE" w14:paraId="75288F36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542943" w14:textId="77777777" w:rsidR="00013E9F" w:rsidRPr="005230AE" w:rsidRDefault="00013E9F" w:rsidP="006679FA">
            <w:pPr>
              <w:pStyle w:val="Tabletext"/>
            </w:pPr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BFAE0F" w14:textId="77777777" w:rsidR="00013E9F" w:rsidRPr="005230AE" w:rsidRDefault="00013E9F" w:rsidP="006679FA">
            <w:pPr>
              <w:pStyle w:val="Tabletext"/>
            </w:pPr>
            <w:r>
              <w:t>Счёт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852A34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B0BB92" w14:textId="77777777" w:rsidR="00013E9F" w:rsidRPr="005230AE" w:rsidRDefault="00013E9F" w:rsidP="006679FA">
            <w:pPr>
              <w:pStyle w:val="Tabletext"/>
            </w:pPr>
            <w:r>
              <w:t>Субподрядчик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18B019" w14:textId="77777777" w:rsidR="00013E9F" w:rsidRPr="005230AE" w:rsidRDefault="00013E9F" w:rsidP="006679FA">
            <w:pPr>
              <w:pStyle w:val="Tabletext"/>
            </w:pPr>
            <w:r>
              <w:t>Поставщики</w:t>
            </w:r>
          </w:p>
        </w:tc>
      </w:tr>
      <w:tr w:rsidR="00013E9F" w:rsidRPr="005230AE" w14:paraId="2EB4E302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0B0C8B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4.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ED0923" w14:textId="77777777" w:rsidR="00013E9F" w:rsidRPr="005230AE" w:rsidRDefault="00013E9F" w:rsidP="006679FA">
            <w:pPr>
              <w:pStyle w:val="Tabletext"/>
            </w:pPr>
            <w:r>
              <w:t>Счёт-фактуры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8458FC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568A25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CFE9C09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</w:tbl>
    <w:p w14:paraId="6C75801E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5C1C340D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C0E82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D97C1C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F157B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2BDF2E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545E55F9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B00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36E5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98B4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CD3FCF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B9D80AE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10700EF2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15053A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765EC2" w14:textId="77777777" w:rsidR="00013E9F" w:rsidRPr="005230AE" w:rsidRDefault="00013E9F" w:rsidP="006679FA">
            <w:pPr>
              <w:pStyle w:val="Tabletext"/>
            </w:pPr>
            <w:r>
              <w:t>Гражданский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1E0667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E873A9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A9F6DC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35FA1628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0C645EA4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630D7D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AD64999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D2464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2DEE78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9EE0C17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F6916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2A9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296A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6EABDA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67B0EA8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3D3BE76D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5285A7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DE3374" w14:textId="77777777" w:rsidR="00013E9F" w:rsidRPr="005230AE" w:rsidRDefault="00013E9F" w:rsidP="006679FA">
            <w:pPr>
              <w:pStyle w:val="Tabletext"/>
            </w:pPr>
            <w:r>
              <w:t>Сотрудники предприятия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68D68A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FB271A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17E869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3E2A0E00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74039EB9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6E67E1D3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224F54F7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587B3E34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0B0E2CC2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39D7B61D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237253BF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64C42B01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49ED2554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29BDE6C0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754A286B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38FD7474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6E69490D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5824596E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0587A569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3FE15575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429838B4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36D665E9" w14:textId="77777777" w:rsidTr="00EF53C8">
        <w:tc>
          <w:tcPr>
            <w:tcW w:w="216" w:type="pct"/>
            <w:vMerge w:val="restart"/>
          </w:tcPr>
          <w:p w14:paraId="54B2A87E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64F6CF86" w14:textId="77777777" w:rsidR="004A510A" w:rsidRPr="005230AE" w:rsidRDefault="004A510A" w:rsidP="00143E74">
            <w:pPr>
              <w:pStyle w:val="Tabletext"/>
            </w:pPr>
            <w:r>
              <w:t>A1 Прием заявки на поставку</w:t>
            </w:r>
          </w:p>
        </w:tc>
        <w:tc>
          <w:tcPr>
            <w:tcW w:w="555" w:type="pct"/>
            <w:vMerge w:val="restart"/>
          </w:tcPr>
          <w:p w14:paraId="6B843B2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4ADDD0C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A9E85E8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6E83F08B" w14:textId="77777777" w:rsidR="004A510A" w:rsidRPr="005230AE" w:rsidRDefault="004A510A" w:rsidP="00143E74">
            <w:pPr>
              <w:pStyle w:val="Tabletext"/>
            </w:pPr>
            <w:r>
              <w:t>Заявка клиента</w:t>
            </w:r>
          </w:p>
        </w:tc>
        <w:tc>
          <w:tcPr>
            <w:tcW w:w="602" w:type="pct"/>
          </w:tcPr>
          <w:p w14:paraId="56AFE77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35500B36" w14:textId="77777777" w:rsidR="004A510A" w:rsidRPr="005230AE" w:rsidRDefault="004A510A" w:rsidP="00143E74">
            <w:pPr>
              <w:pStyle w:val="Tabletext"/>
            </w:pPr>
            <w:r>
              <w:t>Заявка</w:t>
            </w:r>
          </w:p>
        </w:tc>
        <w:tc>
          <w:tcPr>
            <w:tcW w:w="615" w:type="pct"/>
            <w:vMerge w:val="restart"/>
          </w:tcPr>
          <w:p w14:paraId="5ACAF2E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45A1C96" w14:textId="77777777" w:rsidTr="00EF53C8">
        <w:tc>
          <w:tcPr>
            <w:tcW w:w="216" w:type="pct"/>
            <w:vMerge/>
          </w:tcPr>
          <w:p w14:paraId="5A106021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144AC9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29D746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D871D3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37958C5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114F638C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2DAAAD9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7D1D7B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84C5B5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83CEE80" w14:textId="77777777" w:rsidTr="00EF53C8">
        <w:tc>
          <w:tcPr>
            <w:tcW w:w="216" w:type="pct"/>
            <w:vMerge/>
          </w:tcPr>
          <w:p w14:paraId="50076E7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826ED5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86B9EA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3B1950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EAE0D45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63FFC09" w14:textId="77777777" w:rsidR="004A510A" w:rsidRPr="005230AE" w:rsidRDefault="004A510A" w:rsidP="00143E74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</w:tcPr>
          <w:p w14:paraId="0FB4DBB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85E758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ACF27F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4F5F531" w14:textId="77777777" w:rsidTr="00EF53C8">
        <w:tc>
          <w:tcPr>
            <w:tcW w:w="216" w:type="pct"/>
            <w:vMerge w:val="restart"/>
          </w:tcPr>
          <w:p w14:paraId="249647B8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344A1F8F" w14:textId="77777777" w:rsidR="004A510A" w:rsidRPr="005230AE" w:rsidRDefault="004A510A" w:rsidP="00143E74">
            <w:pPr>
              <w:pStyle w:val="Tabletext"/>
            </w:pPr>
            <w:r>
              <w:t>A2 Проверка наличия на складе</w:t>
            </w:r>
          </w:p>
        </w:tc>
        <w:tc>
          <w:tcPr>
            <w:tcW w:w="555" w:type="pct"/>
            <w:vMerge w:val="restart"/>
          </w:tcPr>
          <w:p w14:paraId="1AA96FE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7136477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4A6128BA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0C6448E8" w14:textId="77777777" w:rsidR="004A510A" w:rsidRPr="005230AE" w:rsidRDefault="004A510A" w:rsidP="00143E74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</w:tcPr>
          <w:p w14:paraId="7E4D9DE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02AECA63" w14:textId="77777777" w:rsidR="004A510A" w:rsidRPr="005230AE" w:rsidRDefault="004A510A" w:rsidP="00143E74">
            <w:pPr>
              <w:pStyle w:val="Tabletext"/>
            </w:pPr>
            <w:r>
              <w:t>Заявка</w:t>
            </w:r>
          </w:p>
        </w:tc>
        <w:tc>
          <w:tcPr>
            <w:tcW w:w="615" w:type="pct"/>
          </w:tcPr>
          <w:p w14:paraId="0696DF02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DEDB91A" w14:textId="77777777" w:rsidTr="00EF53C8">
        <w:tc>
          <w:tcPr>
            <w:tcW w:w="216" w:type="pct"/>
            <w:vMerge/>
          </w:tcPr>
          <w:p w14:paraId="4ACC42BD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929377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D4070F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C39C2A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1EEDC9E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23685E98" w14:textId="77777777" w:rsidR="004A510A" w:rsidRPr="005230AE" w:rsidRDefault="004A510A" w:rsidP="00143E74">
            <w:pPr>
              <w:pStyle w:val="Tabletext"/>
            </w:pPr>
            <w:r>
              <w:t>Отчёт</w:t>
            </w:r>
          </w:p>
        </w:tc>
        <w:tc>
          <w:tcPr>
            <w:tcW w:w="602" w:type="pct"/>
          </w:tcPr>
          <w:p w14:paraId="7601AA5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38F16DA7" w14:textId="77777777" w:rsidR="004A510A" w:rsidRPr="005230AE" w:rsidRDefault="004A510A" w:rsidP="00143E74">
            <w:pPr>
              <w:pStyle w:val="Tabletext"/>
            </w:pPr>
            <w:r>
              <w:t>Заявка на закупку продукции</w:t>
            </w:r>
          </w:p>
        </w:tc>
        <w:tc>
          <w:tcPr>
            <w:tcW w:w="615" w:type="pct"/>
            <w:vMerge w:val="restart"/>
          </w:tcPr>
          <w:p w14:paraId="21087E9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9005A15" w14:textId="77777777" w:rsidTr="00EF53C8">
        <w:tc>
          <w:tcPr>
            <w:tcW w:w="216" w:type="pct"/>
            <w:vMerge/>
          </w:tcPr>
          <w:p w14:paraId="03E30E8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8B078E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51C04E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EF5AFF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26D9072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304B31EB" w14:textId="77777777" w:rsidR="004A510A" w:rsidRPr="005230AE" w:rsidRDefault="004A510A" w:rsidP="00143E74">
            <w:pPr>
              <w:pStyle w:val="Tabletext"/>
            </w:pPr>
            <w:r>
              <w:t>Сотрудники склада</w:t>
            </w:r>
          </w:p>
        </w:tc>
        <w:tc>
          <w:tcPr>
            <w:tcW w:w="602" w:type="pct"/>
          </w:tcPr>
          <w:p w14:paraId="4FC6C94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825936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4937BC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D86E040" w14:textId="77777777" w:rsidTr="00EF53C8">
        <w:tc>
          <w:tcPr>
            <w:tcW w:w="216" w:type="pct"/>
            <w:vMerge w:val="restart"/>
          </w:tcPr>
          <w:p w14:paraId="7D8CBAE8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1AEB49F9" w14:textId="77777777" w:rsidR="004A510A" w:rsidRPr="005230AE" w:rsidRDefault="004A510A" w:rsidP="00143E74">
            <w:pPr>
              <w:pStyle w:val="Tabletext"/>
            </w:pPr>
            <w:r>
              <w:t>A3 Комплектация и отгрузка товара</w:t>
            </w:r>
          </w:p>
        </w:tc>
        <w:tc>
          <w:tcPr>
            <w:tcW w:w="555" w:type="pct"/>
            <w:vMerge w:val="restart"/>
          </w:tcPr>
          <w:p w14:paraId="4F819A5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A09EC7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29C27A29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4D54F50" w14:textId="77777777" w:rsidR="004A510A" w:rsidRPr="005230AE" w:rsidRDefault="004A510A" w:rsidP="00143E74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</w:tcPr>
          <w:p w14:paraId="2650706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76F5E08F" w14:textId="77777777" w:rsidR="004A510A" w:rsidRPr="005230AE" w:rsidRDefault="004A510A" w:rsidP="00143E74">
            <w:pPr>
              <w:pStyle w:val="Tabletext"/>
            </w:pPr>
            <w:r>
              <w:t>Скомплектованный заказ</w:t>
            </w:r>
          </w:p>
        </w:tc>
        <w:tc>
          <w:tcPr>
            <w:tcW w:w="615" w:type="pct"/>
          </w:tcPr>
          <w:p w14:paraId="51B4BB6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4F883AD" w14:textId="77777777" w:rsidTr="00EF53C8">
        <w:tc>
          <w:tcPr>
            <w:tcW w:w="216" w:type="pct"/>
            <w:vMerge/>
          </w:tcPr>
          <w:p w14:paraId="5A55ABB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3A8D19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E7C4B7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168F3D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5260765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59A900FC" w14:textId="77777777" w:rsidR="004A510A" w:rsidRPr="005230AE" w:rsidRDefault="004A510A" w:rsidP="00143E74">
            <w:pPr>
              <w:pStyle w:val="Tabletext"/>
            </w:pPr>
            <w:r>
              <w:t>Накладные</w:t>
            </w:r>
          </w:p>
        </w:tc>
        <w:tc>
          <w:tcPr>
            <w:tcW w:w="602" w:type="pct"/>
          </w:tcPr>
          <w:p w14:paraId="4397966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9725CAA" w14:textId="77777777" w:rsidR="004A510A" w:rsidRPr="005230AE" w:rsidRDefault="004A510A" w:rsidP="00143E74">
            <w:pPr>
              <w:pStyle w:val="Tabletext"/>
            </w:pPr>
            <w:r>
              <w:t>Счёт-фактуры</w:t>
            </w:r>
          </w:p>
        </w:tc>
        <w:tc>
          <w:tcPr>
            <w:tcW w:w="615" w:type="pct"/>
            <w:vMerge w:val="restart"/>
          </w:tcPr>
          <w:p w14:paraId="2359BEC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6D39F95" w14:textId="77777777" w:rsidTr="00EF53C8">
        <w:tc>
          <w:tcPr>
            <w:tcW w:w="216" w:type="pct"/>
            <w:vMerge/>
          </w:tcPr>
          <w:p w14:paraId="0CE0643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7710F5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767088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6BFD1A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37DBCC7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0640ADF5" w14:textId="77777777" w:rsidR="004A510A" w:rsidRPr="005230AE" w:rsidRDefault="004A510A" w:rsidP="00143E74">
            <w:pPr>
              <w:pStyle w:val="Tabletext"/>
            </w:pPr>
            <w:r>
              <w:t>Товар</w:t>
            </w:r>
          </w:p>
        </w:tc>
        <w:tc>
          <w:tcPr>
            <w:tcW w:w="602" w:type="pct"/>
          </w:tcPr>
          <w:p w14:paraId="7A5E3B9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C21C4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68CE902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61755B4" w14:textId="77777777" w:rsidTr="00EF53C8">
        <w:tc>
          <w:tcPr>
            <w:tcW w:w="216" w:type="pct"/>
            <w:vMerge/>
          </w:tcPr>
          <w:p w14:paraId="5F9DF74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A23A0E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3E0966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9F7017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4007C2A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61A81EBD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09B01D7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466374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063F76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A07CB9E" w14:textId="77777777" w:rsidTr="00EF53C8">
        <w:tc>
          <w:tcPr>
            <w:tcW w:w="216" w:type="pct"/>
            <w:vMerge/>
          </w:tcPr>
          <w:p w14:paraId="383FBD12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0453DD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B626D4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A07D0A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8DD83CB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515E1C2" w14:textId="77777777" w:rsidR="004A510A" w:rsidRPr="005230AE" w:rsidRDefault="004A510A" w:rsidP="00143E74">
            <w:pPr>
              <w:pStyle w:val="Tabletext"/>
            </w:pPr>
            <w:r>
              <w:t>Сотрудники склада</w:t>
            </w:r>
          </w:p>
        </w:tc>
        <w:tc>
          <w:tcPr>
            <w:tcW w:w="602" w:type="pct"/>
          </w:tcPr>
          <w:p w14:paraId="03828F3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2BE071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F23588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8C69F07" w14:textId="77777777" w:rsidTr="00EF53C8">
        <w:tc>
          <w:tcPr>
            <w:tcW w:w="216" w:type="pct"/>
            <w:vMerge w:val="restart"/>
          </w:tcPr>
          <w:p w14:paraId="781B5C6A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4CB53D8D" w14:textId="77777777" w:rsidR="004A510A" w:rsidRPr="005230AE" w:rsidRDefault="004A510A" w:rsidP="00143E74">
            <w:pPr>
              <w:pStyle w:val="Tabletext"/>
            </w:pPr>
            <w:r>
              <w:t>A4 Заключение договоров на поставку продукции</w:t>
            </w:r>
          </w:p>
        </w:tc>
        <w:tc>
          <w:tcPr>
            <w:tcW w:w="555" w:type="pct"/>
            <w:vMerge w:val="restart"/>
          </w:tcPr>
          <w:p w14:paraId="60072B8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0E1EBE8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C810A8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0D7CC431" w14:textId="77777777" w:rsidR="004A510A" w:rsidRPr="005230AE" w:rsidRDefault="004A510A" w:rsidP="00143E74">
            <w:pPr>
              <w:pStyle w:val="Tabletext"/>
            </w:pPr>
            <w:r>
              <w:t>Заявка на закупку продукции</w:t>
            </w:r>
          </w:p>
        </w:tc>
        <w:tc>
          <w:tcPr>
            <w:tcW w:w="602" w:type="pct"/>
          </w:tcPr>
          <w:p w14:paraId="067F50A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5D463A76" w14:textId="77777777" w:rsidR="004A510A" w:rsidRPr="005230AE" w:rsidRDefault="004A510A" w:rsidP="00143E74">
            <w:pPr>
              <w:pStyle w:val="Tabletext"/>
            </w:pPr>
            <w:r>
              <w:t>Накладные</w:t>
            </w:r>
          </w:p>
        </w:tc>
        <w:tc>
          <w:tcPr>
            <w:tcW w:w="615" w:type="pct"/>
          </w:tcPr>
          <w:p w14:paraId="6A3D9D4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38E5B75" w14:textId="77777777" w:rsidTr="00EF53C8">
        <w:tc>
          <w:tcPr>
            <w:tcW w:w="216" w:type="pct"/>
            <w:vMerge/>
          </w:tcPr>
          <w:p w14:paraId="56CFB64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990500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05B0A0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F9BFD7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E57990C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1971A87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2CE19D9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6675696" w14:textId="77777777" w:rsidR="004A510A" w:rsidRPr="005230AE" w:rsidRDefault="004A510A" w:rsidP="00143E74">
            <w:pPr>
              <w:pStyle w:val="Tabletext"/>
            </w:pPr>
            <w:r>
              <w:t>Счёт</w:t>
            </w:r>
          </w:p>
        </w:tc>
        <w:tc>
          <w:tcPr>
            <w:tcW w:w="615" w:type="pct"/>
            <w:vMerge w:val="restart"/>
          </w:tcPr>
          <w:p w14:paraId="2571A33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972B105" w14:textId="77777777" w:rsidTr="00EF53C8">
        <w:tc>
          <w:tcPr>
            <w:tcW w:w="216" w:type="pct"/>
            <w:vMerge/>
          </w:tcPr>
          <w:p w14:paraId="5757440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9D8FCE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46A431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B9DA7A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A35454E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38B06514" w14:textId="77777777" w:rsidR="004A510A" w:rsidRPr="005230AE" w:rsidRDefault="004A510A" w:rsidP="00143E74">
            <w:pPr>
              <w:pStyle w:val="Tabletext"/>
            </w:pPr>
            <w:r>
              <w:t>Сотрудники склада</w:t>
            </w:r>
          </w:p>
        </w:tc>
        <w:tc>
          <w:tcPr>
            <w:tcW w:w="602" w:type="pct"/>
          </w:tcPr>
          <w:p w14:paraId="62227C6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00AF72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FB8391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E900DB4" w14:textId="77777777" w:rsidTr="00EF53C8">
        <w:tc>
          <w:tcPr>
            <w:tcW w:w="216" w:type="pct"/>
            <w:vMerge w:val="restart"/>
          </w:tcPr>
          <w:p w14:paraId="3FFDF737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0D01D020" w14:textId="77777777" w:rsidR="004A510A" w:rsidRPr="005230AE" w:rsidRDefault="004A510A" w:rsidP="00143E74">
            <w:pPr>
              <w:pStyle w:val="Tabletext"/>
            </w:pPr>
            <w:r>
              <w:t>A5 Контроль отгрузки</w:t>
            </w:r>
          </w:p>
        </w:tc>
        <w:tc>
          <w:tcPr>
            <w:tcW w:w="555" w:type="pct"/>
            <w:vMerge w:val="restart"/>
          </w:tcPr>
          <w:p w14:paraId="199A189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47AF39B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8452267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F45A0DB" w14:textId="77777777" w:rsidR="004A510A" w:rsidRPr="005230AE" w:rsidRDefault="004A510A" w:rsidP="00143E74">
            <w:pPr>
              <w:pStyle w:val="Tabletext"/>
            </w:pPr>
            <w:r>
              <w:t>Счёт-фактуры</w:t>
            </w:r>
          </w:p>
        </w:tc>
        <w:tc>
          <w:tcPr>
            <w:tcW w:w="602" w:type="pct"/>
          </w:tcPr>
          <w:p w14:paraId="2D38F0C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7C7A3957" w14:textId="77777777" w:rsidR="004A510A" w:rsidRPr="005230AE" w:rsidRDefault="004A510A" w:rsidP="00143E74">
            <w:pPr>
              <w:pStyle w:val="Tabletext"/>
            </w:pPr>
            <w:r>
              <w:t>Отчёт</w:t>
            </w:r>
          </w:p>
        </w:tc>
        <w:tc>
          <w:tcPr>
            <w:tcW w:w="615" w:type="pct"/>
            <w:vMerge w:val="restart"/>
          </w:tcPr>
          <w:p w14:paraId="77F6B52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D8BF034" w14:textId="77777777" w:rsidTr="00EF53C8">
        <w:tc>
          <w:tcPr>
            <w:tcW w:w="216" w:type="pct"/>
            <w:vMerge/>
          </w:tcPr>
          <w:p w14:paraId="076A9453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1EC8F72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EBDE26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5A2E6A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57763B9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0395598" w14:textId="77777777" w:rsidR="004A510A" w:rsidRPr="005230AE" w:rsidRDefault="004A510A" w:rsidP="00143E74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</w:tcPr>
          <w:p w14:paraId="42959A8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05740D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E5EFFE6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4C8AADFE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A6A5" w14:textId="77777777" w:rsidR="00B70A57" w:rsidRDefault="00B70A57" w:rsidP="00C46DB9">
      <w:pPr>
        <w:spacing w:after="0"/>
      </w:pPr>
      <w:r>
        <w:separator/>
      </w:r>
    </w:p>
  </w:endnote>
  <w:endnote w:type="continuationSeparator" w:id="0">
    <w:p w14:paraId="02635DE4" w14:textId="77777777" w:rsidR="00B70A57" w:rsidRDefault="00B70A57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847"/>
      <w:gridCol w:w="4289"/>
    </w:tblGrid>
    <w:tr w:rsidR="00C46DB9" w14:paraId="7CC16C01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48DE74C" w14:textId="59919664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D62DCA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6D4759">
            <w:rPr>
              <w:rFonts w:cs="Arial"/>
              <w:noProof/>
              <w:sz w:val="18"/>
              <w:szCs w:val="16"/>
              <w:lang w:eastAsia="en-US"/>
            </w:rPr>
            <w:t>A0 Выписка счетов потребителям, отгрузка и доставку им продукции предприятия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2EF2DEC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3596830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133B" w14:textId="77777777" w:rsidR="00B70A57" w:rsidRDefault="00B70A57" w:rsidP="00C46DB9">
      <w:pPr>
        <w:spacing w:after="0"/>
      </w:pPr>
      <w:r>
        <w:separator/>
      </w:r>
    </w:p>
  </w:footnote>
  <w:footnote w:type="continuationSeparator" w:id="0">
    <w:p w14:paraId="18C3C76B" w14:textId="77777777" w:rsidR="00B70A57" w:rsidRDefault="00B70A57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5A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72b9a57e-c79f-4492-be5a-45fed06c8479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Выписка счетов потребителям, отгрузка и доставку им продукции предприятия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D4759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70A57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62DCA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4DD729"/>
  <w15:docId w15:val="{848F10B1-A0A8-44A0-86C6-6DFF67B4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1438</Characters>
  <Application>Microsoft Office Word</Application>
  <DocSecurity>0</DocSecurity>
  <Lines>359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Выписка счетов потребителям, отгрузка и доставку им продукции предприятия</dc:title>
  <dc:subject>'A0 Выписка счетов потребителям, отгрузка и доставку им продукции предприятия'</dc:subject>
  <dc:creator>ГК "СТУ"</dc:creator>
  <cp:keywords>Business Studio</cp:keywords>
  <dc:description/>
  <cp:lastModifiedBy>User</cp:lastModifiedBy>
  <cp:revision>1</cp:revision>
  <dcterms:created xsi:type="dcterms:W3CDTF">2023-11-20T06:35:00Z</dcterms:created>
  <dcterms:modified xsi:type="dcterms:W3CDTF">2023-11-20T06:37:00Z</dcterms:modified>
</cp:coreProperties>
</file>