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68"/>
          <w:sz w:val="40"/>
          <w:szCs w:val="40"/>
        </w:rPr>
        <w:t xml:space="preserve">SuiLoyalty — Final Report Outline</w:t>
      </w:r>
    </w:p>
    <w:p>
      <w:pPr>
        <w:spacing w:after="240"/>
        <w:jc w:val="center"/>
      </w:pPr>
      <w:r>
        <w:rPr>
          <w:i/>
          <w:iCs/>
          <w:color w:val="5A6470"/>
          <w:sz w:val="24"/>
          <w:szCs w:val="24"/>
        </w:rPr>
        <w:t xml:space="preserve">Sprint 5 Working Blueprint — 11,000-word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C0CC" w:sz="4"/>
              <w:left w:val="single" w:color="B8C0CC" w:sz="4"/>
              <w:bottom w:val="single" w:color="B8C0CC" w:sz="4"/>
              <w:right w:val="single" w:color="B8C0CC" w:sz="4"/>
            </w:tcBorders>
            <w:shd w:fill="E8EEF7" w:val="clear"/>
            <w:tcMar>
              <w:top w:type="dxa" w:w="80"/>
              <w:left w:type="dxa" w:w="120"/>
              <w:bottom w:type="dxa" w:w="80"/>
              <w:right w:type="dxa" w:w="120"/>
            </w:tcMar>
          </w:tcPr>
          <w:p>
            <w:r>
              <w:rPr>
                <w:b/>
                <w:bCs/>
                <w:sz w:val="20"/>
                <w:szCs w:val="20"/>
              </w:rPr>
              <w:t xml:space="preserve">Module</w:t>
            </w:r>
          </w:p>
        </w:tc>
        <w:tc>
          <w:tcPr>
            <w:tcW w:type="dxa" w:w="676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sz w:val="20"/>
                <w:szCs w:val="20"/>
              </w:rPr>
              <w:t xml:space="preserve">CTEC3451D — Development Project</w:t>
            </w:r>
          </w:p>
        </w:tc>
      </w:tr>
      <w:tr>
        <w:tc>
          <w:tcPr>
            <w:tcW w:type="dxa" w:w="2600"/>
            <w:tcBorders>
              <w:top w:val="single" w:color="B8C0CC" w:sz="4"/>
              <w:left w:val="single" w:color="B8C0CC" w:sz="4"/>
              <w:bottom w:val="single" w:color="B8C0CC" w:sz="4"/>
              <w:right w:val="single" w:color="B8C0CC" w:sz="4"/>
            </w:tcBorders>
            <w:shd w:fill="E8EEF7" w:val="clear"/>
            <w:tcMar>
              <w:top w:type="dxa" w:w="80"/>
              <w:left w:type="dxa" w:w="120"/>
              <w:bottom w:type="dxa" w:w="80"/>
              <w:right w:type="dxa" w:w="120"/>
            </w:tcMar>
          </w:tcPr>
          <w:p>
            <w:r>
              <w:rPr>
                <w:b/>
                <w:bCs/>
                <w:sz w:val="20"/>
                <w:szCs w:val="20"/>
              </w:rPr>
              <w:t xml:space="preserve">Word range (TurnItIn)</w:t>
            </w:r>
          </w:p>
        </w:tc>
        <w:tc>
          <w:tcPr>
            <w:tcW w:type="dxa" w:w="676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sz w:val="20"/>
                <w:szCs w:val="20"/>
              </w:rPr>
              <w:t xml:space="preserve">10,000 minimum, 12,000 maximum (Title page → last appendix sentence)</w:t>
            </w:r>
          </w:p>
        </w:tc>
      </w:tr>
      <w:tr>
        <w:tc>
          <w:tcPr>
            <w:tcW w:type="dxa" w:w="2600"/>
            <w:tcBorders>
              <w:top w:val="single" w:color="B8C0CC" w:sz="4"/>
              <w:left w:val="single" w:color="B8C0CC" w:sz="4"/>
              <w:bottom w:val="single" w:color="B8C0CC" w:sz="4"/>
              <w:right w:val="single" w:color="B8C0CC" w:sz="4"/>
            </w:tcBorders>
            <w:shd w:fill="E8EEF7" w:val="clear"/>
            <w:tcMar>
              <w:top w:type="dxa" w:w="80"/>
              <w:left w:type="dxa" w:w="120"/>
              <w:bottom w:type="dxa" w:w="80"/>
              <w:right w:type="dxa" w:w="120"/>
            </w:tcMar>
          </w:tcPr>
          <w:p>
            <w:r>
              <w:rPr>
                <w:b/>
                <w:bCs/>
                <w:sz w:val="20"/>
                <w:szCs w:val="20"/>
              </w:rPr>
              <w:t xml:space="preserve">Reference list</w:t>
            </w:r>
          </w:p>
        </w:tc>
        <w:tc>
          <w:tcPr>
            <w:tcW w:type="dxa" w:w="676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sz w:val="20"/>
                <w:szCs w:val="20"/>
              </w:rPr>
              <w:t xml:space="preserve">Excluded from word count; max 4 pages single column</w:t>
            </w:r>
          </w:p>
        </w:tc>
      </w:tr>
      <w:tr>
        <w:tc>
          <w:tcPr>
            <w:tcW w:type="dxa" w:w="2600"/>
            <w:tcBorders>
              <w:top w:val="single" w:color="B8C0CC" w:sz="4"/>
              <w:left w:val="single" w:color="B8C0CC" w:sz="4"/>
              <w:bottom w:val="single" w:color="B8C0CC" w:sz="4"/>
              <w:right w:val="single" w:color="B8C0CC" w:sz="4"/>
            </w:tcBorders>
            <w:shd w:fill="E8EEF7" w:val="clear"/>
            <w:tcMar>
              <w:top w:type="dxa" w:w="80"/>
              <w:left w:type="dxa" w:w="120"/>
              <w:bottom w:type="dxa" w:w="80"/>
              <w:right w:type="dxa" w:w="120"/>
            </w:tcMar>
          </w:tcPr>
          <w:p>
            <w:r>
              <w:rPr>
                <w:b/>
                <w:bCs/>
                <w:sz w:val="20"/>
                <w:szCs w:val="20"/>
              </w:rPr>
              <w:t xml:space="preserve">Referencing style</w:t>
            </w:r>
          </w:p>
        </w:tc>
        <w:tc>
          <w:tcPr>
            <w:tcW w:type="dxa" w:w="676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sz w:val="20"/>
                <w:szCs w:val="20"/>
              </w:rPr>
              <w:t xml:space="preserve">Harvard with valid DOI/URL for every reference</w:t>
            </w:r>
          </w:p>
        </w:tc>
      </w:tr>
      <w:tr>
        <w:tc>
          <w:tcPr>
            <w:tcW w:type="dxa" w:w="2600"/>
            <w:tcBorders>
              <w:top w:val="single" w:color="B8C0CC" w:sz="4"/>
              <w:left w:val="single" w:color="B8C0CC" w:sz="4"/>
              <w:bottom w:val="single" w:color="B8C0CC" w:sz="4"/>
              <w:right w:val="single" w:color="B8C0CC" w:sz="4"/>
            </w:tcBorders>
            <w:shd w:fill="E8EEF7" w:val="clear"/>
            <w:tcMar>
              <w:top w:type="dxa" w:w="80"/>
              <w:left w:type="dxa" w:w="120"/>
              <w:bottom w:type="dxa" w:w="80"/>
              <w:right w:type="dxa" w:w="120"/>
            </w:tcMar>
          </w:tcPr>
          <w:p>
            <w:r>
              <w:rPr>
                <w:b/>
                <w:bCs/>
                <w:sz w:val="20"/>
                <w:szCs w:val="20"/>
              </w:rPr>
              <w:t xml:space="preserve">Report mark weight</w:t>
            </w:r>
          </w:p>
        </w:tc>
        <w:tc>
          <w:tcPr>
            <w:tcW w:type="dxa" w:w="676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sz w:val="20"/>
                <w:szCs w:val="20"/>
              </w:rPr>
              <w:t xml:space="preserve">40% of total module mark</w:t>
            </w:r>
          </w:p>
        </w:tc>
      </w:tr>
      <w:tr>
        <w:tc>
          <w:tcPr>
            <w:tcW w:type="dxa" w:w="2600"/>
            <w:tcBorders>
              <w:top w:val="single" w:color="B8C0CC" w:sz="4"/>
              <w:left w:val="single" w:color="B8C0CC" w:sz="4"/>
              <w:bottom w:val="single" w:color="B8C0CC" w:sz="4"/>
              <w:right w:val="single" w:color="B8C0CC" w:sz="4"/>
            </w:tcBorders>
            <w:shd w:fill="E8EEF7" w:val="clear"/>
            <w:tcMar>
              <w:top w:type="dxa" w:w="80"/>
              <w:left w:type="dxa" w:w="120"/>
              <w:bottom w:type="dxa" w:w="80"/>
              <w:right w:type="dxa" w:w="120"/>
            </w:tcMar>
          </w:tcPr>
          <w:p>
            <w:r>
              <w:rPr>
                <w:b/>
                <w:bCs/>
                <w:sz w:val="20"/>
                <w:szCs w:val="20"/>
              </w:rPr>
              <w:t xml:space="preserve">Date drafted</w:t>
            </w:r>
          </w:p>
        </w:tc>
        <w:tc>
          <w:tcPr>
            <w:tcW w:type="dxa" w:w="676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sz w:val="20"/>
                <w:szCs w:val="20"/>
              </w:rPr>
              <w:t xml:space="preserve">26 April 2026</w:t>
            </w:r>
          </w:p>
        </w:tc>
      </w:tr>
    </w:tbl>
    <w:p>
      <w:pPr>
        <w:spacing w:after="240"/>
      </w:pPr>
      <w:r>
        <w:t xml:space="preserve"/>
      </w:r>
    </w:p>
    <w:p>
      <w:pPr>
        <w:pStyle w:val="Heading1"/>
        <w:spacing w:after="180" w:before="360"/>
      </w:pPr>
      <w:r>
        <w:rPr>
          <w:color w:val="1F3A68"/>
        </w:rPr>
        <w:t xml:space="preserve">1. How This Outline Was Built</w:t>
      </w:r>
    </w:p>
    <w:p>
      <w:pPr>
        <w:spacing w:after="120"/>
      </w:pPr>
      <w:r>
        <w:t xml:space="preserve">Word budgets are allocated proportionally to rubric mark weights. The Project Report carries 40 percent of the total module mark and is broken down by the marking scheme into six weighted criteria: Presentation (5 percent), Project Introduction (5 percent), Literature Review (10 percent), Description of Major Components (10 percent), Development Lifecycle (5 percent), and Critical Analysis and Reflection (5 percent). This outline distributes the available word count to match those weights — chapters serving 10-percent criteria receive roughly twice the words of chapters serving 5-percent criteria.</w:t>
      </w:r>
    </w:p>
    <w:p>
      <w:pPr>
        <w:spacing w:after="120"/>
      </w:pPr>
      <w:r>
        <w:t xml:space="preserve">Every chapter listed below names the specific rubric criterion it serves, the source material already available in the repository (sprint journals, code files, test documentation, alignment audit), and a suggested opening move so writing can start immediately rather than from a blank page.</w:t>
      </w:r>
    </w:p>
    <w:p>
      <w:pPr>
        <w:pStyle w:val="Heading1"/>
        <w:spacing w:after="180" w:before="360"/>
      </w:pPr>
      <w:r>
        <w:rPr>
          <w:color w:val="1F3A68"/>
        </w:rPr>
        <w:t xml:space="preserve">2. Word Budget</w:t>
      </w:r>
    </w:p>
    <w:p>
      <w:pPr>
        <w:spacing w:after="120"/>
      </w:pPr>
      <w:r>
        <w:t xml:space="preserve">Total target: 11,000 words within the 10,000–12,000 TurnItIn window. Buffer of 1,000 words held for expansion of the Literature Review or Description of Components if either runs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c>
          <w:tcPr>
            <w:tcW w:type="dxa" w:w="1200"/>
            <w:tcBorders>
              <w:top w:val="single" w:color="B8C0CC" w:sz="4"/>
              <w:left w:val="single" w:color="B8C0CC" w:sz="4"/>
              <w:bottom w:val="single" w:color="B8C0CC" w:sz="4"/>
              <w:right w:val="single" w:color="B8C0CC" w:sz="4"/>
            </w:tcBorders>
            <w:shd w:fill="1F3A68" w:val="clear"/>
            <w:tcMar>
              <w:top w:type="dxa" w:w="100"/>
              <w:left w:type="dxa" w:w="140"/>
              <w:bottom w:type="dxa" w:w="100"/>
              <w:right w:type="dxa" w:w="140"/>
            </w:tcMar>
          </w:tcPr>
          <w:p>
            <w:r>
              <w:rPr>
                <w:b/>
                <w:bCs/>
                <w:color w:val="FFFFFF"/>
                <w:sz w:val="20"/>
                <w:szCs w:val="20"/>
              </w:rPr>
              <w:t xml:space="preserve">Chapter</w:t>
            </w:r>
          </w:p>
        </w:tc>
        <w:tc>
          <w:tcPr>
            <w:tcW w:type="dxa" w:w="3200"/>
            <w:tcBorders>
              <w:top w:val="single" w:color="B8C0CC" w:sz="4"/>
              <w:left w:val="single" w:color="B8C0CC" w:sz="4"/>
              <w:bottom w:val="single" w:color="B8C0CC" w:sz="4"/>
              <w:right w:val="single" w:color="B8C0CC" w:sz="4"/>
            </w:tcBorders>
            <w:shd w:fill="1F3A68" w:val="clear"/>
            <w:tcMar>
              <w:top w:type="dxa" w:w="100"/>
              <w:left w:type="dxa" w:w="140"/>
              <w:bottom w:type="dxa" w:w="100"/>
              <w:right w:type="dxa" w:w="140"/>
            </w:tcMar>
          </w:tcPr>
          <w:p>
            <w:r>
              <w:rPr>
                <w:b/>
                <w:bCs/>
                <w:color w:val="FFFFFF"/>
                <w:sz w:val="20"/>
                <w:szCs w:val="20"/>
              </w:rPr>
              <w:t xml:space="preserve">Title</w:t>
            </w:r>
          </w:p>
        </w:tc>
        <w:tc>
          <w:tcPr>
            <w:tcW w:type="dxa" w:w="1400"/>
            <w:tcBorders>
              <w:top w:val="single" w:color="B8C0CC" w:sz="4"/>
              <w:left w:val="single" w:color="B8C0CC" w:sz="4"/>
              <w:bottom w:val="single" w:color="B8C0CC" w:sz="4"/>
              <w:right w:val="single" w:color="B8C0CC" w:sz="4"/>
            </w:tcBorders>
            <w:shd w:fill="1F3A68" w:val="clear"/>
            <w:tcMar>
              <w:top w:type="dxa" w:w="100"/>
              <w:left w:type="dxa" w:w="140"/>
              <w:bottom w:type="dxa" w:w="100"/>
              <w:right w:type="dxa" w:w="140"/>
            </w:tcMar>
          </w:tcPr>
          <w:p>
            <w:r>
              <w:rPr>
                <w:b/>
                <w:bCs/>
                <w:color w:val="FFFFFF"/>
                <w:sz w:val="20"/>
                <w:szCs w:val="20"/>
              </w:rPr>
              <w:t xml:space="preserve">Words</w:t>
            </w:r>
          </w:p>
        </w:tc>
        <w:tc>
          <w:tcPr>
            <w:tcW w:type="dxa" w:w="1400"/>
            <w:tcBorders>
              <w:top w:val="single" w:color="B8C0CC" w:sz="4"/>
              <w:left w:val="single" w:color="B8C0CC" w:sz="4"/>
              <w:bottom w:val="single" w:color="B8C0CC" w:sz="4"/>
              <w:right w:val="single" w:color="B8C0CC" w:sz="4"/>
            </w:tcBorders>
            <w:shd w:fill="1F3A68" w:val="clear"/>
            <w:tcMar>
              <w:top w:type="dxa" w:w="100"/>
              <w:left w:type="dxa" w:w="140"/>
              <w:bottom w:type="dxa" w:w="100"/>
              <w:right w:type="dxa" w:w="140"/>
            </w:tcMar>
          </w:tcPr>
          <w:p>
            <w:r>
              <w:rPr>
                <w:b/>
                <w:bCs/>
                <w:color w:val="FFFFFF"/>
                <w:sz w:val="20"/>
                <w:szCs w:val="20"/>
              </w:rPr>
              <w:t xml:space="preserve">Rubric Weight</w:t>
            </w:r>
          </w:p>
        </w:tc>
        <w:tc>
          <w:tcPr>
            <w:tcW w:type="dxa" w:w="2160"/>
            <w:tcBorders>
              <w:top w:val="single" w:color="B8C0CC" w:sz="4"/>
              <w:left w:val="single" w:color="B8C0CC" w:sz="4"/>
              <w:bottom w:val="single" w:color="B8C0CC" w:sz="4"/>
              <w:right w:val="single" w:color="B8C0CC" w:sz="4"/>
            </w:tcBorders>
            <w:shd w:fill="1F3A68" w:val="clear"/>
            <w:tcMar>
              <w:top w:type="dxa" w:w="100"/>
              <w:left w:type="dxa" w:w="140"/>
              <w:bottom w:type="dxa" w:w="100"/>
              <w:right w:type="dxa" w:w="140"/>
            </w:tcMar>
          </w:tcPr>
          <w:p>
            <w:r>
              <w:rPr>
                <w:b/>
                <w:bCs/>
                <w:color w:val="FFFFFF"/>
                <w:sz w:val="20"/>
                <w:szCs w:val="20"/>
              </w:rPr>
              <w:t xml:space="preserve">Source Material</w:t>
            </w:r>
          </w:p>
        </w:tc>
      </w:tr>
      <w:tr>
        <w:tc>
          <w:tcPr>
            <w:tcW w:type="dxa" w:w="1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sz w:val="20"/>
                <w:szCs w:val="20"/>
              </w:rPr>
              <w:t xml:space="preserve">1</w:t>
            </w:r>
          </w:p>
        </w:tc>
        <w:tc>
          <w:tcPr>
            <w:tcW w:type="dxa" w:w="32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Introduction</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1,000</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Introduction (5%)</w:t>
            </w:r>
          </w:p>
        </w:tc>
        <w:tc>
          <w:tcPr>
            <w:tcW w:type="dxa" w:w="2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Project Contract; Project Overview</w:t>
            </w:r>
          </w:p>
        </w:tc>
      </w:tr>
      <w:tr>
        <w:tc>
          <w:tcPr>
            <w:tcW w:type="dxa" w:w="1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sz w:val="20"/>
                <w:szCs w:val="20"/>
              </w:rPr>
              <w:t xml:space="preserve">2</w:t>
            </w:r>
          </w:p>
        </w:tc>
        <w:tc>
          <w:tcPr>
            <w:tcW w:type="dxa" w:w="32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Literature Review</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2,500</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Lit Review (10%)</w:t>
            </w:r>
          </w:p>
        </w:tc>
        <w:tc>
          <w:tcPr>
            <w:tcW w:type="dxa" w:w="2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External sources only — DOIs required</w:t>
            </w:r>
          </w:p>
        </w:tc>
      </w:tr>
      <w:tr>
        <w:tc>
          <w:tcPr>
            <w:tcW w:type="dxa" w:w="1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sz w:val="20"/>
                <w:szCs w:val="20"/>
              </w:rPr>
              <w:t xml:space="preserve">3</w:t>
            </w:r>
          </w:p>
        </w:tc>
        <w:tc>
          <w:tcPr>
            <w:tcW w:type="dxa" w:w="32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Methodology</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1,000</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Lifecycle (5%)</w:t>
            </w:r>
          </w:p>
        </w:tc>
        <w:tc>
          <w:tcPr>
            <w:tcW w:type="dxa" w:w="2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Project Contract §Schedule; sprint journals</w:t>
            </w:r>
          </w:p>
        </w:tc>
      </w:tr>
      <w:tr>
        <w:tc>
          <w:tcPr>
            <w:tcW w:type="dxa" w:w="1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sz w:val="20"/>
                <w:szCs w:val="20"/>
              </w:rPr>
              <w:t xml:space="preserve">4</w:t>
            </w:r>
          </w:p>
        </w:tc>
        <w:tc>
          <w:tcPr>
            <w:tcW w:type="dxa" w:w="32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Design</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1,500</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Components (10%, part 1)</w:t>
            </w:r>
          </w:p>
        </w:tc>
        <w:tc>
          <w:tcPr>
            <w:tcW w:type="dxa" w:w="2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Database Design doc; Migration Summary; diagrams</w:t>
            </w:r>
          </w:p>
        </w:tc>
      </w:tr>
      <w:tr>
        <w:tc>
          <w:tcPr>
            <w:tcW w:type="dxa" w:w="1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sz w:val="20"/>
                <w:szCs w:val="20"/>
              </w:rPr>
              <w:t xml:space="preserve">5</w:t>
            </w:r>
          </w:p>
        </w:tc>
        <w:tc>
          <w:tcPr>
            <w:tcW w:type="dxa" w:w="32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Implementation</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2,500</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Components (10%, part 2)</w:t>
            </w:r>
          </w:p>
        </w:tc>
        <w:tc>
          <w:tcPr>
            <w:tcW w:type="dxa" w:w="2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All four sprint journals; code files</w:t>
            </w:r>
          </w:p>
        </w:tc>
      </w:tr>
      <w:tr>
        <w:tc>
          <w:tcPr>
            <w:tcW w:type="dxa" w:w="1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sz w:val="20"/>
                <w:szCs w:val="20"/>
              </w:rPr>
              <w:t xml:space="preserve">6</w:t>
            </w:r>
          </w:p>
        </w:tc>
        <w:tc>
          <w:tcPr>
            <w:tcW w:type="dxa" w:w="32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Testing</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1,000</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Supports Components (10%)</w:t>
            </w:r>
          </w:p>
        </w:tc>
        <w:tc>
          <w:tcPr>
            <w:tcW w:type="dxa" w:w="2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TEST_DOCUMENTATION.md; CI workflows</w:t>
            </w:r>
          </w:p>
        </w:tc>
      </w:tr>
      <w:tr>
        <w:tc>
          <w:tcPr>
            <w:tcW w:type="dxa" w:w="1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sz w:val="20"/>
                <w:szCs w:val="20"/>
              </w:rPr>
              <w:t xml:space="preserve">7</w:t>
            </w:r>
          </w:p>
        </w:tc>
        <w:tc>
          <w:tcPr>
            <w:tcW w:type="dxa" w:w="32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Evaluation</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1,000</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Supports System Robustness (10%)</w:t>
            </w:r>
          </w:p>
        </w:tc>
        <w:tc>
          <w:tcPr>
            <w:tcW w:type="dxa" w:w="2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Live tx digest; measured latency/gas data (to be captured)</w:t>
            </w:r>
          </w:p>
        </w:tc>
      </w:tr>
      <w:tr>
        <w:tc>
          <w:tcPr>
            <w:tcW w:type="dxa" w:w="1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sz w:val="20"/>
                <w:szCs w:val="20"/>
              </w:rPr>
              <w:t xml:space="preserve">8</w:t>
            </w:r>
          </w:p>
        </w:tc>
        <w:tc>
          <w:tcPr>
            <w:tcW w:type="dxa" w:w="32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Critical Reflection &amp; Conclusion</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1,500</w:t>
            </w:r>
          </w:p>
        </w:tc>
        <w:tc>
          <w:tcPr>
            <w:tcW w:type="dxa" w:w="140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Reflection (5%) + closing</w:t>
            </w:r>
          </w:p>
        </w:tc>
        <w:tc>
          <w:tcPr>
            <w:tcW w:type="dxa" w:w="2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Contract Alignment Audit; sprint problem tables</w:t>
            </w:r>
          </w:p>
        </w:tc>
      </w:tr>
    </w:tbl>
    <w:p>
      <w:pPr>
        <w:spacing w:after="120"/>
      </w:pPr>
      <w:r>
        <w:t xml:space="preserve">Front matter (title page, declarations, abstract, acknowledgements, table of contents, list of figures) and back matter (references, appendices) are positioned separately. Front matter contributes minimal words; appendices should contain references to existing artefacts rather than reproducing them, so they cost few words against the cap.</w:t>
      </w:r>
    </w:p>
    <w:p>
      <w:r>
        <w:br w:type="page"/>
      </w:r>
    </w:p>
    <w:p>
      <w:pPr>
        <w:pStyle w:val="Heading1"/>
        <w:spacing w:after="180" w:before="360"/>
      </w:pPr>
      <w:r>
        <w:rPr>
          <w:color w:val="1F3A68"/>
        </w:rPr>
        <w:t xml:space="preserve">3. Chapter-by-Chapter Plan</w:t>
      </w:r>
    </w:p>
    <w:p>
      <w:pPr>
        <w:pStyle w:val="Heading2"/>
        <w:spacing w:after="120" w:before="240"/>
      </w:pPr>
      <w:r>
        <w:rPr>
          <w:color w:val="1F3A68"/>
        </w:rPr>
        <w:t xml:space="preserve">Front Matter (no significant word cost)</w:t>
      </w:r>
    </w:p>
    <w:p>
      <w:pPr>
        <w:pStyle w:val="ListParagraph"/>
        <w:numPr>
          <w:ilvl w:val="0"/>
          <w:numId w:val="2"/>
        </w:numPr>
        <w:spacing w:after="60"/>
      </w:pPr>
      <w:r>
        <w:t xml:space="preserve">Title page: project title, full name, P-number, programme, module, supervisor, submission date.</w:t>
      </w:r>
    </w:p>
    <w:p>
      <w:pPr>
        <w:pStyle w:val="ListParagraph"/>
        <w:numPr>
          <w:ilvl w:val="0"/>
          <w:numId w:val="2"/>
        </w:numPr>
        <w:spacing w:after="60"/>
      </w:pPr>
      <w:r>
        <w:t xml:space="preserve">Declaration of originality (university template).</w:t>
      </w:r>
    </w:p>
    <w:p>
      <w:pPr>
        <w:pStyle w:val="ListParagraph"/>
        <w:numPr>
          <w:ilvl w:val="0"/>
          <w:numId w:val="2"/>
        </w:numPr>
        <w:spacing w:after="60"/>
      </w:pPr>
      <w:r>
        <w:t xml:space="preserve">Abstract (250–300 words): the problem, the solution approach, the result, the contribution. Written last.</w:t>
      </w:r>
    </w:p>
    <w:p>
      <w:pPr>
        <w:pStyle w:val="ListParagraph"/>
        <w:numPr>
          <w:ilvl w:val="0"/>
          <w:numId w:val="2"/>
        </w:numPr>
        <w:spacing w:after="60"/>
      </w:pPr>
      <w:r>
        <w:t xml:space="preserve">Acknowledgements (50–100 words): supervisor Dr Mohammad Al-Ibaisi; family/friends if appropriate.</w:t>
      </w:r>
    </w:p>
    <w:p>
      <w:pPr>
        <w:pStyle w:val="ListParagraph"/>
        <w:numPr>
          <w:ilvl w:val="0"/>
          <w:numId w:val="2"/>
        </w:numPr>
        <w:spacing w:after="60"/>
      </w:pPr>
      <w:r>
        <w:t xml:space="preserve">Table of Contents — auto-generated from heading styles. Required by Presentation criterion.</w:t>
      </w:r>
    </w:p>
    <w:p>
      <w:pPr>
        <w:pStyle w:val="ListParagraph"/>
        <w:numPr>
          <w:ilvl w:val="0"/>
          <w:numId w:val="2"/>
        </w:numPr>
        <w:spacing w:after="60"/>
      </w:pPr>
      <w:r>
        <w:t xml:space="preserve">List of Figures, List of Tables, Glossary of Abbreviations (Sui, Move, PTB, AdminCap, dof, OTW, JWT, OAuth, HMAC).</w:t>
      </w:r>
    </w:p>
    <w:p>
      <w:pPr>
        <w:pStyle w:val="Heading2"/>
        <w:spacing w:after="120" w:before="240"/>
      </w:pPr>
      <w:r>
        <w:rPr>
          <w:color w:val="1F3A68"/>
        </w:rPr>
        <w:t xml:space="preserve">Chapter 1: Introduction</w:t>
      </w:r>
    </w:p>
    <w:p>
      <w:pPr>
        <w:spacing w:after="80"/>
      </w:pPr>
      <w:r>
        <w:rPr>
          <w:b/>
          <w:bCs/>
        </w:rPr>
        <w:t xml:space="preserve">Target words: </w:t>
      </w:r>
      <w:r>
        <w:t xml:space="preserve">1,000</w:t>
      </w:r>
    </w:p>
    <w:p>
      <w:pPr>
        <w:spacing w:after="80"/>
      </w:pPr>
      <w:r>
        <w:rPr>
          <w:b/>
          <w:bCs/>
        </w:rPr>
        <w:t xml:space="preserve">Rubric criterion served: </w:t>
      </w:r>
      <w:r>
        <w:t xml:space="preserve">Project introduction including project aims, motivation for the work, personal development objectives (5%).</w:t>
      </w:r>
    </w:p>
    <w:p>
      <w:pPr>
        <w:pStyle w:val="Heading3"/>
        <w:spacing w:after="80" w:before="180"/>
      </w:pPr>
      <w:r>
        <w:rPr>
          <w:b/>
          <w:bCs/>
          <w:color w:val="1F3A68"/>
        </w:rPr>
        <w:t xml:space="preserve">What this chapter must cover</w:t>
      </w:r>
    </w:p>
    <w:p>
      <w:pPr>
        <w:pStyle w:val="ListParagraph"/>
        <w:numPr>
          <w:ilvl w:val="0"/>
          <w:numId w:val="2"/>
        </w:numPr>
        <w:spacing w:after="60"/>
      </w:pPr>
      <w:r>
        <w:t xml:space="preserve">The problem: declining engagement with traditional loyalty programmes, fragmented per-brand databases, the trust deficit caused by centralised systems that can be edited or sunset.</w:t>
      </w:r>
    </w:p>
    <w:p>
      <w:pPr>
        <w:pStyle w:val="ListParagraph"/>
        <w:numPr>
          <w:ilvl w:val="0"/>
          <w:numId w:val="2"/>
        </w:numPr>
        <w:spacing w:after="60"/>
      </w:pPr>
      <w:r>
        <w:t xml:space="preserve">Why blockchain is theoretically the right answer (immutability, customer ownership, transparency).</w:t>
      </w:r>
    </w:p>
    <w:p>
      <w:pPr>
        <w:pStyle w:val="ListParagraph"/>
        <w:numPr>
          <w:ilvl w:val="0"/>
          <w:numId w:val="2"/>
        </w:numPr>
        <w:spacing w:after="60"/>
      </w:pPr>
      <w:r>
        <w:t xml:space="preserve">Why blockchain has historically failed in this market (wallet barriers, gas friction, the 90 percent abandonment statistic).</w:t>
      </w:r>
    </w:p>
    <w:p>
      <w:pPr>
        <w:pStyle w:val="ListParagraph"/>
        <w:numPr>
          <w:ilvl w:val="0"/>
          <w:numId w:val="2"/>
        </w:numPr>
        <w:spacing w:after="60"/>
      </w:pPr>
      <w:r>
        <w:t xml:space="preserve">Why Sui specifically (object-centric model, mutable NFTs without recreation, zkLogin released 2024).</w:t>
      </w:r>
    </w:p>
    <w:p>
      <w:pPr>
        <w:pStyle w:val="ListParagraph"/>
        <w:numPr>
          <w:ilvl w:val="0"/>
          <w:numId w:val="2"/>
        </w:numPr>
        <w:spacing w:after="60"/>
      </w:pPr>
      <w:r>
        <w:t xml:space="preserve">Project aims, restated from the contract.</w:t>
      </w:r>
    </w:p>
    <w:p>
      <w:pPr>
        <w:pStyle w:val="ListParagraph"/>
        <w:numPr>
          <w:ilvl w:val="0"/>
          <w:numId w:val="2"/>
        </w:numPr>
        <w:spacing w:after="60"/>
      </w:pPr>
      <w:r>
        <w:t xml:space="preserve">Project objectives, restated from the contract (seven technical objectives).</w:t>
      </w:r>
    </w:p>
    <w:p>
      <w:pPr>
        <w:pStyle w:val="ListParagraph"/>
        <w:numPr>
          <w:ilvl w:val="0"/>
          <w:numId w:val="2"/>
        </w:numPr>
        <w:spacing w:after="60"/>
      </w:pPr>
      <w:r>
        <w:t xml:space="preserve">Personal development objectives (this is rubric-explicit): what skills the project was designed to build — Move language, blockchain SDK integration, distributed system orchestration, full-stack TypeScript, evaluating cryptographic primitives.</w:t>
      </w:r>
    </w:p>
    <w:p>
      <w:pPr>
        <w:pStyle w:val="ListParagraph"/>
        <w:numPr>
          <w:ilvl w:val="0"/>
          <w:numId w:val="2"/>
        </w:numPr>
        <w:spacing w:after="60"/>
      </w:pPr>
      <w:r>
        <w:t xml:space="preserve">Report structure paragraph (one paragraph: this chapter does X, the next does Y).</w:t>
      </w:r>
    </w:p>
    <w:p>
      <w:pPr>
        <w:pStyle w:val="Heading3"/>
        <w:spacing w:after="80" w:before="180"/>
      </w:pPr>
      <w:r>
        <w:rPr>
          <w:b/>
          <w:bCs/>
          <w:color w:val="1F3A68"/>
        </w:rPr>
        <w:t xml:space="preserve">Source material to draw from</w:t>
      </w:r>
    </w:p>
    <w:p>
      <w:pPr>
        <w:pStyle w:val="ListParagraph"/>
        <w:numPr>
          <w:ilvl w:val="0"/>
          <w:numId w:val="2"/>
        </w:numPr>
        <w:spacing w:after="60"/>
      </w:pPr>
      <w:r>
        <w:t xml:space="preserve">Project Contract Introduction (84 words) and Background (248 words) — already approved by supervisor.</w:t>
      </w:r>
    </w:p>
    <w:p>
      <w:pPr>
        <w:pStyle w:val="ListParagraph"/>
        <w:numPr>
          <w:ilvl w:val="0"/>
          <w:numId w:val="2"/>
        </w:numPr>
        <w:spacing w:after="60"/>
      </w:pPr>
      <w:r>
        <w:t xml:space="preserve">Project Overview §1.1 The Problem and §1.2 The Solution.</w:t>
      </w:r>
    </w:p>
    <w:p>
      <w:pPr>
        <w:pStyle w:val="ListParagraph"/>
        <w:numPr>
          <w:ilvl w:val="0"/>
          <w:numId w:val="2"/>
        </w:numPr>
        <w:spacing w:after="60"/>
      </w:pPr>
      <w:r>
        <w:t xml:space="preserve">Sprint 1 journal opening for technology rationale.</w:t>
      </w:r>
    </w:p>
    <w:p>
      <w:pPr>
        <w:pStyle w:val="Heading3"/>
        <w:spacing w:after="80" w:before="180"/>
      </w:pPr>
      <w:r>
        <w:rPr>
          <w:b/>
          <w:bCs/>
          <w:color w:val="1F3A68"/>
        </w:rPr>
        <w:t xml:space="preserve">Suggested opening move</w:t>
      </w:r>
    </w:p>
    <w:p>
      <w:pPr>
        <w:spacing w:after="120"/>
      </w:pPr>
      <w:r>
        <w:t xml:space="preserve">Open with a single concrete user moment — a customer abandoning a loyalty app at the seed-phrase prompt — then widen to the systemic problem. Examiners reward openings that make the problem feel real before they hear the technical solution.</w:t>
      </w:r>
    </w:p>
    <w:p>
      <w:pPr>
        <w:pStyle w:val="Heading2"/>
        <w:spacing w:after="120" w:before="240"/>
      </w:pPr>
      <w:r>
        <w:rPr>
          <w:color w:val="1F3A68"/>
        </w:rPr>
        <w:t xml:space="preserve">Chapter 2: Literature Review and Fact-Finding</w:t>
      </w:r>
    </w:p>
    <w:p>
      <w:pPr>
        <w:spacing w:after="80"/>
      </w:pPr>
      <w:r>
        <w:rPr>
          <w:b/>
          <w:bCs/>
        </w:rPr>
        <w:t xml:space="preserve">Target words: </w:t>
      </w:r>
      <w:r>
        <w:t xml:space="preserve">2,500</w:t>
      </w:r>
    </w:p>
    <w:p>
      <w:pPr>
        <w:spacing w:after="80"/>
      </w:pPr>
      <w:r>
        <w:rPr>
          <w:b/>
          <w:bCs/>
        </w:rPr>
        <w:t xml:space="preserve">Rubric criterion served: </w:t>
      </w:r>
      <w:r>
        <w:t xml:space="preserve">Literature review and fact-finding (10%). Systematic investigation, appropriate sources, every reference must have a valid DOI or URL.</w:t>
      </w:r>
    </w:p>
    <w:p>
      <w:pPr>
        <w:pStyle w:val="Heading3"/>
        <w:spacing w:after="80" w:before="180"/>
      </w:pPr>
      <w:r>
        <w:rPr>
          <w:b/>
          <w:bCs/>
          <w:color w:val="1F3A68"/>
        </w:rPr>
        <w:t xml:space="preserve">What this chapter must cover</w:t>
      </w:r>
    </w:p>
    <w:p>
      <w:pPr>
        <w:pStyle w:val="ListParagraph"/>
        <w:numPr>
          <w:ilvl w:val="0"/>
          <w:numId w:val="2"/>
        </w:numPr>
        <w:spacing w:after="60"/>
      </w:pPr>
      <w:r>
        <w:t xml:space="preserve">Theme 1: Centralised loyalty programme limitations and the trust problem (Berman 2006 still cited; Forrester/Bond Brand Loyalty industry reports; recent papers on database breach impact on consumer trust).</w:t>
      </w:r>
    </w:p>
    <w:p>
      <w:pPr>
        <w:pStyle w:val="ListParagraph"/>
        <w:numPr>
          <w:ilvl w:val="0"/>
          <w:numId w:val="2"/>
        </w:numPr>
        <w:spacing w:after="60"/>
      </w:pPr>
      <w:r>
        <w:t xml:space="preserve">Theme 2: Blockchain-based loyalty proposals — academic prototypes, industry pilots (e.g. Singapore Airlines KrisPay, Loyyal); critique of why none reached scale.</w:t>
      </w:r>
    </w:p>
    <w:p>
      <w:pPr>
        <w:pStyle w:val="ListParagraph"/>
        <w:numPr>
          <w:ilvl w:val="0"/>
          <w:numId w:val="2"/>
        </w:numPr>
        <w:spacing w:after="60"/>
      </w:pPr>
      <w:r>
        <w:t xml:space="preserve">Theme 3: Web3 adoption barriers — wallet friction, seed phrase usability research, gas fee psychology (a16z crypto reports, Nielsen Norman Group on crypto UX, academic UX studies).</w:t>
      </w:r>
    </w:p>
    <w:p>
      <w:pPr>
        <w:pStyle w:val="ListParagraph"/>
        <w:numPr>
          <w:ilvl w:val="0"/>
          <w:numId w:val="2"/>
        </w:numPr>
        <w:spacing w:after="60"/>
      </w:pPr>
      <w:r>
        <w:t xml:space="preserve">Theme 4: Sui Network architecture — object-centric model, Move language safety properties, comparison against Ethereum's account model.</w:t>
      </w:r>
    </w:p>
    <w:p>
      <w:pPr>
        <w:pStyle w:val="ListParagraph"/>
        <w:numPr>
          <w:ilvl w:val="0"/>
          <w:numId w:val="2"/>
        </w:numPr>
        <w:spacing w:after="60"/>
      </w:pPr>
      <w:r>
        <w:t xml:space="preserve">Theme 5: zkLogin and zero-knowledge identity — the original Mysten Labs paper, related zk-SNARK identity work, social-login-to-blockchain literature.</w:t>
      </w:r>
    </w:p>
    <w:p>
      <w:pPr>
        <w:pStyle w:val="ListParagraph"/>
        <w:numPr>
          <w:ilvl w:val="0"/>
          <w:numId w:val="2"/>
        </w:numPr>
        <w:spacing w:after="60"/>
      </w:pPr>
      <w:r>
        <w:t xml:space="preserve">Theme 6: Phygital integration and QR-triggered on-chain events — token-gated access patterns, prior art on physical-to-digital authentication.</w:t>
      </w:r>
    </w:p>
    <w:p>
      <w:pPr>
        <w:pStyle w:val="ListParagraph"/>
        <w:numPr>
          <w:ilvl w:val="0"/>
          <w:numId w:val="2"/>
        </w:numPr>
        <w:spacing w:after="60"/>
      </w:pPr>
      <w:r>
        <w:t xml:space="preserve">Synthesis: what gap does SuiLoyalty fill that the literature does not address? (No prior public implementation combining zkLogin with Dynamic NFT loyalty.)</w:t>
      </w:r>
    </w:p>
    <w:p>
      <w:pPr>
        <w:pStyle w:val="Heading3"/>
        <w:spacing w:after="80" w:before="180"/>
      </w:pPr>
      <w:r>
        <w:rPr>
          <w:b/>
          <w:bCs/>
          <w:color w:val="1F3A68"/>
        </w:rPr>
        <w:t xml:space="preserve">Source material to draw from</w:t>
      </w:r>
    </w:p>
    <w:p>
      <w:pPr>
        <w:pStyle w:val="ListParagraph"/>
        <w:numPr>
          <w:ilvl w:val="0"/>
          <w:numId w:val="2"/>
        </w:numPr>
        <w:spacing w:after="60"/>
      </w:pPr>
      <w:r>
        <w:t xml:space="preserve">Sources of Information section of the Project Contract — start here, expand systematically.</w:t>
      </w:r>
    </w:p>
    <w:p>
      <w:pPr>
        <w:pStyle w:val="ListParagraph"/>
        <w:numPr>
          <w:ilvl w:val="0"/>
          <w:numId w:val="2"/>
        </w:numPr>
        <w:spacing w:after="60"/>
      </w:pPr>
      <w:r>
        <w:t xml:space="preserve">Sui official documentation, zkLogin specification, Mysten Labs technical blog.</w:t>
      </w:r>
    </w:p>
    <w:p>
      <w:pPr>
        <w:pStyle w:val="ListParagraph"/>
        <w:numPr>
          <w:ilvl w:val="0"/>
          <w:numId w:val="2"/>
        </w:numPr>
        <w:spacing w:after="60"/>
      </w:pPr>
      <w:r>
        <w:t xml:space="preserve">IEEE Xplore and ACM Digital Library searches for keywords: blockchain loyalty, NFT loyalty, zkLogin, social login blockchain, Web3 onboarding, phygital authentication.</w:t>
      </w:r>
    </w:p>
    <w:p>
      <w:pPr>
        <w:pStyle w:val="ListParagraph"/>
        <w:numPr>
          <w:ilvl w:val="0"/>
          <w:numId w:val="2"/>
        </w:numPr>
        <w:spacing w:after="60"/>
      </w:pPr>
      <w:r>
        <w:t xml:space="preserve">RFC 4122 (UUID), RFC 6749 (OAuth 2.0), RFC 7519 (JWT) — standards-based references with stable URLs.</w:t>
      </w:r>
    </w:p>
    <w:p>
      <w:pPr>
        <w:pStyle w:val="ListParagraph"/>
        <w:numPr>
          <w:ilvl w:val="0"/>
          <w:numId w:val="2"/>
        </w:numPr>
        <w:spacing w:after="60"/>
      </w:pPr>
      <w:r>
        <w:t xml:space="preserve">Industry reports: a16z State of Crypto, Chainalysis adoption data — cite with stable URLs.</w:t>
      </w:r>
    </w:p>
    <w:p>
      <w:pPr>
        <w:pStyle w:val="Heading3"/>
        <w:spacing w:after="80" w:before="180"/>
      </w:pPr>
      <w:r>
        <w:rPr>
          <w:b/>
          <w:bCs/>
          <w:color w:val="1F3A68"/>
        </w:rPr>
        <w:t xml:space="preserve">Suggested opening move</w:t>
      </w:r>
    </w:p>
    <w:p>
      <w:pPr>
        <w:spacing w:after="120"/>
      </w:pPr>
      <w:r>
        <w:t xml:space="preserve">Build a reference table first, then write the chapter. Set up the references file in your reference manager (Mendeley, Zotero) before writing prose — every paragraph then cites from a vetted DOI source. Examiners reading literature reviews flip to the references first; if the references look thin, the chapter is marked down before the prose is read.</w:t>
      </w:r>
    </w:p>
    <w:p>
      <w:pPr>
        <w:pStyle w:val="Heading2"/>
        <w:spacing w:after="120" w:before="240"/>
      </w:pPr>
      <w:r>
        <w:rPr>
          <w:color w:val="1F3A68"/>
        </w:rPr>
        <w:t xml:space="preserve">Chapter 3: Methodology</w:t>
      </w:r>
    </w:p>
    <w:p>
      <w:pPr>
        <w:spacing w:after="80"/>
      </w:pPr>
      <w:r>
        <w:rPr>
          <w:b/>
          <w:bCs/>
        </w:rPr>
        <w:t xml:space="preserve">Target words: </w:t>
      </w:r>
      <w:r>
        <w:t xml:space="preserve">1,000</w:t>
      </w:r>
    </w:p>
    <w:p>
      <w:pPr>
        <w:spacing w:after="80"/>
      </w:pPr>
      <w:r>
        <w:rPr>
          <w:b/>
          <w:bCs/>
        </w:rPr>
        <w:t xml:space="preserve">Rubric criterion served: </w:t>
      </w:r>
      <w:r>
        <w:t xml:space="preserve">Description of the development lifecycle (5%). Clear evidence of an appropriate software development methodology with V&amp;V applied at each stage.</w:t>
      </w:r>
    </w:p>
    <w:p>
      <w:pPr>
        <w:pStyle w:val="Heading3"/>
        <w:spacing w:after="80" w:before="180"/>
      </w:pPr>
      <w:r>
        <w:rPr>
          <w:b/>
          <w:bCs/>
          <w:color w:val="1F3A68"/>
        </w:rPr>
        <w:t xml:space="preserve">What this chapter must cover</w:t>
      </w:r>
    </w:p>
    <w:p>
      <w:pPr>
        <w:pStyle w:val="ListParagraph"/>
        <w:numPr>
          <w:ilvl w:val="0"/>
          <w:numId w:val="2"/>
        </w:numPr>
        <w:spacing w:after="60"/>
      </w:pPr>
      <w:r>
        <w:t xml:space="preserve">Why Agile Scrum was chosen over waterfall — short feedback loops, prior unfamiliarity with Move, expectation of mid-project pivots.</w:t>
      </w:r>
    </w:p>
    <w:p>
      <w:pPr>
        <w:pStyle w:val="ListParagraph"/>
        <w:numPr>
          <w:ilvl w:val="0"/>
          <w:numId w:val="2"/>
        </w:numPr>
        <w:spacing w:after="60"/>
      </w:pPr>
      <w:r>
        <w:t xml:space="preserve">Adaptation for solo development — two-week sprints, weekly self-review, fortnightly supervisor meetings.</w:t>
      </w:r>
    </w:p>
    <w:p>
      <w:pPr>
        <w:pStyle w:val="ListParagraph"/>
        <w:numPr>
          <w:ilvl w:val="0"/>
          <w:numId w:val="2"/>
        </w:numPr>
        <w:spacing w:after="60"/>
      </w:pPr>
      <w:r>
        <w:t xml:space="preserve">Sprint structure: planning, implementation, testing, journal write-up, supervisor review.</w:t>
      </w:r>
    </w:p>
    <w:p>
      <w:pPr>
        <w:pStyle w:val="ListParagraph"/>
        <w:numPr>
          <w:ilvl w:val="0"/>
          <w:numId w:val="2"/>
        </w:numPr>
        <w:spacing w:after="60"/>
      </w:pPr>
      <w:r>
        <w:t xml:space="preserve">Verification at each stage: type-checking, unit tests, code review against rubric criteria.</w:t>
      </w:r>
    </w:p>
    <w:p>
      <w:pPr>
        <w:pStyle w:val="ListParagraph"/>
        <w:numPr>
          <w:ilvl w:val="0"/>
          <w:numId w:val="2"/>
        </w:numPr>
        <w:spacing w:after="60"/>
      </w:pPr>
      <w:r>
        <w:t xml:space="preserve">Validation at each stage: testing against the contract acceptance criteria (QR replay prevention, end-to-end zkLogin), live testnet smoke tests, supervisor sign-off.</w:t>
      </w:r>
    </w:p>
    <w:p>
      <w:pPr>
        <w:pStyle w:val="ListParagraph"/>
        <w:numPr>
          <w:ilvl w:val="0"/>
          <w:numId w:val="2"/>
        </w:numPr>
        <w:spacing w:after="60"/>
      </w:pPr>
      <w:r>
        <w:t xml:space="preserve">Tooling supporting the methodology: GitHub for version control, GitHub Actions for CI (build, type-check, test on every push), Jest for backend tests, Sui Move Test framework for contracts.</w:t>
      </w:r>
    </w:p>
    <w:p>
      <w:pPr>
        <w:pStyle w:val="ListParagraph"/>
        <w:numPr>
          <w:ilvl w:val="0"/>
          <w:numId w:val="2"/>
        </w:numPr>
        <w:spacing w:after="60"/>
      </w:pPr>
      <w:r>
        <w:t xml:space="preserve">Risk management: how the contract risks (zkLogin complexity, testnet instability, scope creep, report time overrun) were mitigated and which actually materialised.</w:t>
      </w:r>
    </w:p>
    <w:p>
      <w:pPr>
        <w:pStyle w:val="Heading3"/>
        <w:spacing w:after="80" w:before="180"/>
      </w:pPr>
      <w:r>
        <w:rPr>
          <w:b/>
          <w:bCs/>
          <w:color w:val="1F3A68"/>
        </w:rPr>
        <w:t xml:space="preserve">Source material to draw from</w:t>
      </w:r>
    </w:p>
    <w:p>
      <w:pPr>
        <w:pStyle w:val="ListParagraph"/>
        <w:numPr>
          <w:ilvl w:val="0"/>
          <w:numId w:val="2"/>
        </w:numPr>
        <w:spacing w:after="60"/>
      </w:pPr>
      <w:r>
        <w:t xml:space="preserve">Project Contract — Schedule of Activities and Risk Analysis sections.</w:t>
      </w:r>
    </w:p>
    <w:p>
      <w:pPr>
        <w:pStyle w:val="ListParagraph"/>
        <w:numPr>
          <w:ilvl w:val="0"/>
          <w:numId w:val="2"/>
        </w:numPr>
        <w:spacing w:after="60"/>
      </w:pPr>
      <w:r>
        <w:t xml:space="preserve">Sprint journals — opening section of each describes the sprint goal and methodology applied.</w:t>
      </w:r>
    </w:p>
    <w:p>
      <w:pPr>
        <w:pStyle w:val="ListParagraph"/>
        <w:numPr>
          <w:ilvl w:val="0"/>
          <w:numId w:val="2"/>
        </w:numPr>
        <w:spacing w:after="60"/>
      </w:pPr>
      <w:r>
        <w:t xml:space="preserve">CI workflow files (.github/workflows/) — concrete evidence of automated V&amp;V.</w:t>
      </w:r>
    </w:p>
    <w:p>
      <w:pPr>
        <w:pStyle w:val="ListParagraph"/>
        <w:numPr>
          <w:ilvl w:val="0"/>
          <w:numId w:val="2"/>
        </w:numPr>
        <w:spacing w:after="60"/>
      </w:pPr>
      <w:r>
        <w:t xml:space="preserve">Migration_Summary.md — example of mid-project pivot Agile enabled.</w:t>
      </w:r>
    </w:p>
    <w:p>
      <w:pPr>
        <w:pStyle w:val="Heading3"/>
        <w:spacing w:after="80" w:before="180"/>
      </w:pPr>
      <w:r>
        <w:rPr>
          <w:b/>
          <w:bCs/>
          <w:color w:val="1F3A68"/>
        </w:rPr>
        <w:t xml:space="preserve">Suggested opening move</w:t>
      </w:r>
    </w:p>
    <w:p>
      <w:pPr>
        <w:spacing w:after="120"/>
      </w:pPr>
      <w:r>
        <w:t xml:space="preserve">Lead with the V&amp;V framing. The rubric explicitly asks for V&amp;V evidence at each stage — make this the spine of the chapter rather than burying it inside a generic Agile description. Show the CI workflow YAML in a code block; that's concrete V&amp;V evidence that scores marks.</w:t>
      </w:r>
    </w:p>
    <w:p>
      <w:pPr>
        <w:pStyle w:val="Heading2"/>
        <w:spacing w:after="120" w:before="240"/>
      </w:pPr>
      <w:r>
        <w:rPr>
          <w:color w:val="1F3A68"/>
        </w:rPr>
        <w:t xml:space="preserve">Chapter 4: System Design</w:t>
      </w:r>
    </w:p>
    <w:p>
      <w:pPr>
        <w:spacing w:after="80"/>
      </w:pPr>
      <w:r>
        <w:rPr>
          <w:b/>
          <w:bCs/>
        </w:rPr>
        <w:t xml:space="preserve">Target words: </w:t>
      </w:r>
      <w:r>
        <w:t xml:space="preserve">1,500</w:t>
      </w:r>
    </w:p>
    <w:p>
      <w:pPr>
        <w:spacing w:after="80"/>
      </w:pPr>
      <w:r>
        <w:rPr>
          <w:b/>
          <w:bCs/>
        </w:rPr>
        <w:t xml:space="preserve">Rubric criterion served: </w:t>
      </w:r>
      <w:r>
        <w:t xml:space="preserve">Description of major components (10%, part 1 of 2). Clear explanation of each major aspect of the product including a rationale for each design decision.</w:t>
      </w:r>
    </w:p>
    <w:p>
      <w:pPr>
        <w:pStyle w:val="Heading3"/>
        <w:spacing w:after="80" w:before="180"/>
      </w:pPr>
      <w:r>
        <w:rPr>
          <w:b/>
          <w:bCs/>
          <w:color w:val="1F3A68"/>
        </w:rPr>
        <w:t xml:space="preserve">What this chapter must cover</w:t>
      </w:r>
    </w:p>
    <w:p>
      <w:pPr>
        <w:pStyle w:val="ListParagraph"/>
        <w:numPr>
          <w:ilvl w:val="0"/>
          <w:numId w:val="2"/>
        </w:numPr>
        <w:spacing w:after="60"/>
      </w:pPr>
      <w:r>
        <w:t xml:space="preserve">System architecture: three-tier (PWA, backend, blockchain) with one diagram showing data flow.</w:t>
      </w:r>
    </w:p>
    <w:p>
      <w:pPr>
        <w:pStyle w:val="ListParagraph"/>
        <w:numPr>
          <w:ilvl w:val="0"/>
          <w:numId w:val="2"/>
        </w:numPr>
        <w:spacing w:after="60"/>
      </w:pPr>
      <w:r>
        <w:t xml:space="preserve">Object model design: LoyaltyAvatar as Shared Object with BrandNode dynamic object fields. Justify the Shared Object + AdminCap pattern over Owned Objects (the migration story).</w:t>
      </w:r>
    </w:p>
    <w:p>
      <w:pPr>
        <w:pStyle w:val="ListParagraph"/>
        <w:numPr>
          <w:ilvl w:val="0"/>
          <w:numId w:val="2"/>
        </w:numPr>
        <w:spacing w:after="60"/>
      </w:pPr>
      <w:r>
        <w:t xml:space="preserve">Database schema design: seven tables, ER diagram, justification for off-chain mirror of on-chain state.</w:t>
      </w:r>
    </w:p>
    <w:p>
      <w:pPr>
        <w:pStyle w:val="ListParagraph"/>
        <w:numPr>
          <w:ilvl w:val="0"/>
          <w:numId w:val="2"/>
        </w:numPr>
        <w:spacing w:after="60"/>
      </w:pPr>
      <w:r>
        <w:t xml:space="preserve">API design: REST over GraphQL choice, endpoint naming conventions, request/response shape rationale.</w:t>
      </w:r>
    </w:p>
    <w:p>
      <w:pPr>
        <w:pStyle w:val="ListParagraph"/>
        <w:numPr>
          <w:ilvl w:val="0"/>
          <w:numId w:val="2"/>
        </w:numPr>
        <w:spacing w:after="60"/>
      </w:pPr>
      <w:r>
        <w:t xml:space="preserve">Authentication design: zkLogin flow, deterministic salt derivation via HMAC, ephemeral keypair caching strategy.</w:t>
      </w:r>
    </w:p>
    <w:p>
      <w:pPr>
        <w:pStyle w:val="ListParagraph"/>
        <w:numPr>
          <w:ilvl w:val="0"/>
          <w:numId w:val="2"/>
        </w:numPr>
        <w:spacing w:after="60"/>
      </w:pPr>
      <w:r>
        <w:t xml:space="preserve">Security design: replay prevention via atomic UPDATE, AdminCap as proof-of-authority, sponsor wallet isolation.</w:t>
      </w:r>
    </w:p>
    <w:p>
      <w:pPr>
        <w:pStyle w:val="ListParagraph"/>
        <w:numPr>
          <w:ilvl w:val="0"/>
          <w:numId w:val="2"/>
        </w:numPr>
        <w:spacing w:after="60"/>
      </w:pPr>
      <w:r>
        <w:t xml:space="preserve">Each subsection states the decision, names the alternatives considered, and justifies the choice — this is rubric-explicit ('rationale for each design and implementation decision').</w:t>
      </w:r>
    </w:p>
    <w:p>
      <w:pPr>
        <w:pStyle w:val="Heading3"/>
        <w:spacing w:after="80" w:before="180"/>
      </w:pPr>
      <w:r>
        <w:rPr>
          <w:b/>
          <w:bCs/>
          <w:color w:val="1F3A68"/>
        </w:rPr>
        <w:t xml:space="preserve">Source material to draw from</w:t>
      </w:r>
    </w:p>
    <w:p>
      <w:pPr>
        <w:pStyle w:val="ListParagraph"/>
        <w:numPr>
          <w:ilvl w:val="0"/>
          <w:numId w:val="2"/>
        </w:numPr>
        <w:spacing w:after="60"/>
      </w:pPr>
      <w:r>
        <w:t xml:space="preserve">SuiLoyalty_Database_Design.docx — entire schema and ERD already documented.</w:t>
      </w:r>
    </w:p>
    <w:p>
      <w:pPr>
        <w:pStyle w:val="ListParagraph"/>
        <w:numPr>
          <w:ilvl w:val="0"/>
          <w:numId w:val="2"/>
        </w:numPr>
        <w:spacing w:after="60"/>
      </w:pPr>
      <w:r>
        <w:t xml:space="preserve">docs/diagrams/ — three draw.io diagrams (system architecture, multi-brand architecture, ERD).</w:t>
      </w:r>
    </w:p>
    <w:p>
      <w:pPr>
        <w:pStyle w:val="ListParagraph"/>
        <w:numPr>
          <w:ilvl w:val="0"/>
          <w:numId w:val="2"/>
        </w:numPr>
        <w:spacing w:after="60"/>
      </w:pPr>
      <w:r>
        <w:t xml:space="preserve">Migration_Summary.md — Owned-to-Shared migration with full rationale.</w:t>
      </w:r>
    </w:p>
    <w:p>
      <w:pPr>
        <w:pStyle w:val="ListParagraph"/>
        <w:numPr>
          <w:ilvl w:val="0"/>
          <w:numId w:val="2"/>
        </w:numPr>
        <w:spacing w:after="60"/>
      </w:pPr>
      <w:r>
        <w:t xml:space="preserve">Sprint 1 journal — original Move contract design discussion.</w:t>
      </w:r>
    </w:p>
    <w:p>
      <w:pPr>
        <w:pStyle w:val="Heading3"/>
        <w:spacing w:after="80" w:before="180"/>
      </w:pPr>
      <w:r>
        <w:rPr>
          <w:b/>
          <w:bCs/>
          <w:color w:val="1F3A68"/>
        </w:rPr>
        <w:t xml:space="preserve">Suggested opening move</w:t>
      </w:r>
    </w:p>
    <w:p>
      <w:pPr>
        <w:spacing w:after="120"/>
      </w:pPr>
      <w:r>
        <w:t xml:space="preserve">Use a 'decision / alternatives / chosen because' template for each subsection. This signals to the examiner that every design choice was deliberate. The Migration_Summary.md is the perfect template to follow — clone its structure for the Object Model subsection.</w:t>
      </w:r>
    </w:p>
    <w:p>
      <w:pPr>
        <w:pStyle w:val="Heading2"/>
        <w:spacing w:after="120" w:before="240"/>
      </w:pPr>
      <w:r>
        <w:rPr>
          <w:color w:val="1F3A68"/>
        </w:rPr>
        <w:t xml:space="preserve">Chapter 5: Implementation</w:t>
      </w:r>
    </w:p>
    <w:p>
      <w:pPr>
        <w:spacing w:after="80"/>
      </w:pPr>
      <w:r>
        <w:rPr>
          <w:b/>
          <w:bCs/>
        </w:rPr>
        <w:t xml:space="preserve">Target words: </w:t>
      </w:r>
      <w:r>
        <w:t xml:space="preserve">2,500</w:t>
      </w:r>
    </w:p>
    <w:p>
      <w:pPr>
        <w:spacing w:after="80"/>
      </w:pPr>
      <w:r>
        <w:rPr>
          <w:b/>
          <w:bCs/>
        </w:rPr>
        <w:t xml:space="preserve">Rubric criterion served: </w:t>
      </w:r>
      <w:r>
        <w:t xml:space="preserve">Description of major components (10%, part 2 of 2). Concrete how-it-was-built narrative tied to the design rationale.</w:t>
      </w:r>
    </w:p>
    <w:p>
      <w:pPr>
        <w:pStyle w:val="Heading3"/>
        <w:spacing w:after="80" w:before="180"/>
      </w:pPr>
      <w:r>
        <w:rPr>
          <w:b/>
          <w:bCs/>
          <w:color w:val="1F3A68"/>
        </w:rPr>
        <w:t xml:space="preserve">What this chapter must cover</w:t>
      </w:r>
    </w:p>
    <w:p>
      <w:pPr>
        <w:pStyle w:val="ListParagraph"/>
        <w:numPr>
          <w:ilvl w:val="0"/>
          <w:numId w:val="2"/>
        </w:numPr>
        <w:spacing w:after="60"/>
      </w:pPr>
      <w:r>
        <w:t xml:space="preserve">Implementation walkthrough by component: smart contracts, backend services, frontend pages, CI pipeline.</w:t>
      </w:r>
    </w:p>
    <w:p>
      <w:pPr>
        <w:pStyle w:val="ListParagraph"/>
        <w:numPr>
          <w:ilvl w:val="0"/>
          <w:numId w:val="2"/>
        </w:numPr>
        <w:spacing w:after="60"/>
      </w:pPr>
      <w:r>
        <w:t xml:space="preserve">Smart contracts: LoyaltyAvatar struct, the share_object call, AdminCap pattern, dynamic object field add/borrow_mut/remove. Show one Move snippet (mint_avatar or add_brand_points) with annotation.</w:t>
      </w:r>
    </w:p>
    <w:p>
      <w:pPr>
        <w:pStyle w:val="ListParagraph"/>
        <w:numPr>
          <w:ilvl w:val="0"/>
          <w:numId w:val="2"/>
        </w:numPr>
        <w:spacing w:after="60"/>
      </w:pPr>
      <w:r>
        <w:t xml:space="preserve">Backend orchestration: blockchain.service.ts as the only chain-touching service; PTB construction; sponsored transaction signing; the validateQRToken function as the central orchestrator.</w:t>
      </w:r>
    </w:p>
    <w:p>
      <w:pPr>
        <w:pStyle w:val="ListParagraph"/>
        <w:numPr>
          <w:ilvl w:val="0"/>
          <w:numId w:val="2"/>
        </w:numPr>
        <w:spacing w:after="60"/>
      </w:pPr>
      <w:r>
        <w:t xml:space="preserve">Frontend: zkLogin sign-in handler, jsQR camera scanner, dashboard data fetching strategy, RedeemModal with category-aware rewards.</w:t>
      </w:r>
    </w:p>
    <w:p>
      <w:pPr>
        <w:pStyle w:val="ListParagraph"/>
        <w:numPr>
          <w:ilvl w:val="0"/>
          <w:numId w:val="2"/>
        </w:numPr>
        <w:spacing w:after="60"/>
      </w:pPr>
      <w:r>
        <w:t xml:space="preserve">CI pipeline: three GitHub Actions workflows for backend, contracts, frontend — show the YAML for one as evidence.</w:t>
      </w:r>
    </w:p>
    <w:p>
      <w:pPr>
        <w:pStyle w:val="ListParagraph"/>
        <w:numPr>
          <w:ilvl w:val="0"/>
          <w:numId w:val="2"/>
        </w:numPr>
        <w:spacing w:after="60"/>
      </w:pPr>
      <w:r>
        <w:t xml:space="preserve">Notable problems and resolutions: redirect_uri mismatch, devnet→testnet migration, Owned→Shared object migration, tier threshold inconsistency. Each problem table from the sprint journals can be reused here.</w:t>
      </w:r>
    </w:p>
    <w:p>
      <w:pPr>
        <w:pStyle w:val="Heading3"/>
        <w:spacing w:after="80" w:before="180"/>
      </w:pPr>
      <w:r>
        <w:rPr>
          <w:b/>
          <w:bCs/>
          <w:color w:val="1F3A68"/>
        </w:rPr>
        <w:t xml:space="preserve">Source material to draw from</w:t>
      </w:r>
    </w:p>
    <w:p>
      <w:pPr>
        <w:pStyle w:val="ListParagraph"/>
        <w:numPr>
          <w:ilvl w:val="0"/>
          <w:numId w:val="2"/>
        </w:numPr>
        <w:spacing w:after="60"/>
      </w:pPr>
      <w:r>
        <w:t xml:space="preserve">All four sprint journals — these contain most of this chapter's prose already.</w:t>
      </w:r>
    </w:p>
    <w:p>
      <w:pPr>
        <w:pStyle w:val="ListParagraph"/>
        <w:numPr>
          <w:ilvl w:val="0"/>
          <w:numId w:val="2"/>
        </w:numPr>
        <w:spacing w:after="60"/>
      </w:pPr>
      <w:r>
        <w:t xml:space="preserve">loyalty_nft.move and loyalty_token.move — code snippets to embed.</w:t>
      </w:r>
    </w:p>
    <w:p>
      <w:pPr>
        <w:pStyle w:val="ListParagraph"/>
        <w:numPr>
          <w:ilvl w:val="0"/>
          <w:numId w:val="2"/>
        </w:numPr>
        <w:spacing w:after="60"/>
      </w:pPr>
      <w:r>
        <w:t xml:space="preserve">blockchain.service.ts, qr.service.ts, zklogin.service.ts — backend code references.</w:t>
      </w:r>
    </w:p>
    <w:p>
      <w:pPr>
        <w:pStyle w:val="ListParagraph"/>
        <w:numPr>
          <w:ilvl w:val="0"/>
          <w:numId w:val="2"/>
        </w:numPr>
        <w:spacing w:after="60"/>
      </w:pPr>
      <w:r>
        <w:t xml:space="preserve">TEST_DOCUMENTATION.md — proves implementation correctness.</w:t>
      </w:r>
    </w:p>
    <w:p>
      <w:pPr>
        <w:pStyle w:val="ListParagraph"/>
        <w:numPr>
          <w:ilvl w:val="0"/>
          <w:numId w:val="2"/>
        </w:numPr>
        <w:spacing w:after="60"/>
      </w:pPr>
      <w:r>
        <w:t xml:space="preserve">.github/workflows/ — CI evidence.</w:t>
      </w:r>
    </w:p>
    <w:p>
      <w:pPr>
        <w:pStyle w:val="Heading3"/>
        <w:spacing w:after="80" w:before="180"/>
      </w:pPr>
      <w:r>
        <w:rPr>
          <w:b/>
          <w:bCs/>
          <w:color w:val="1F3A68"/>
        </w:rPr>
        <w:t xml:space="preserve">Suggested opening move</w:t>
      </w:r>
    </w:p>
    <w:p>
      <w:pPr>
        <w:spacing w:after="120"/>
      </w:pPr>
      <w:r>
        <w:t xml:space="preserve">This is the easiest chapter to write because most of the prose exists in the sprint journals. Restructure rather than rewrite. Replace per-sprint sequencing with per-component sequencing — examiners want to see the system organised by architectural concern, not by week.</w:t>
      </w:r>
    </w:p>
    <w:p>
      <w:pPr>
        <w:pStyle w:val="Heading2"/>
        <w:spacing w:after="120" w:before="240"/>
      </w:pPr>
      <w:r>
        <w:rPr>
          <w:color w:val="1F3A68"/>
        </w:rPr>
        <w:t xml:space="preserve">Chapter 6: Testing</w:t>
      </w:r>
    </w:p>
    <w:p>
      <w:pPr>
        <w:spacing w:after="80"/>
      </w:pPr>
      <w:r>
        <w:rPr>
          <w:b/>
          <w:bCs/>
        </w:rPr>
        <w:t xml:space="preserve">Target words: </w:t>
      </w:r>
      <w:r>
        <w:t xml:space="preserve">1,000</w:t>
      </w:r>
    </w:p>
    <w:p>
      <w:pPr>
        <w:spacing w:after="80"/>
      </w:pPr>
      <w:r>
        <w:rPr>
          <w:b/>
          <w:bCs/>
        </w:rPr>
        <w:t xml:space="preserve">Rubric criterion served: </w:t>
      </w:r>
      <w:r>
        <w:t xml:space="preserve">Supports the Description of Components mark (10%) and substantiates the System Robustness mark (10%).</w:t>
      </w:r>
    </w:p>
    <w:p>
      <w:pPr>
        <w:pStyle w:val="Heading3"/>
        <w:spacing w:after="80" w:before="180"/>
      </w:pPr>
      <w:r>
        <w:rPr>
          <w:b/>
          <w:bCs/>
          <w:color w:val="1F3A68"/>
        </w:rPr>
        <w:t xml:space="preserve">What this chapter must cover</w:t>
      </w:r>
    </w:p>
    <w:p>
      <w:pPr>
        <w:pStyle w:val="ListParagraph"/>
        <w:numPr>
          <w:ilvl w:val="0"/>
          <w:numId w:val="2"/>
        </w:numPr>
        <w:spacing w:after="60"/>
      </w:pPr>
      <w:r>
        <w:t xml:space="preserve">Testing strategy overview: layered testing (unit at Move and TypeScript level, integration at HTTP level, security validation, manual end-to-end on testnet).</w:t>
      </w:r>
    </w:p>
    <w:p>
      <w:pPr>
        <w:pStyle w:val="ListParagraph"/>
        <w:numPr>
          <w:ilvl w:val="0"/>
          <w:numId w:val="2"/>
        </w:numPr>
        <w:spacing w:after="60"/>
      </w:pPr>
      <w:r>
        <w:t xml:space="preserve">Move tests: 32 tests across loyalty_nft and loyalty_token modules. Reference TEST_DOCUMENTATION.md table directly.</w:t>
      </w:r>
    </w:p>
    <w:p>
      <w:pPr>
        <w:pStyle w:val="ListParagraph"/>
        <w:numPr>
          <w:ilvl w:val="0"/>
          <w:numId w:val="2"/>
        </w:numPr>
        <w:spacing w:after="60"/>
      </w:pPr>
      <w:r>
        <w:t xml:space="preserve">Coverage: report the measured percentage from sui move test --coverage. State the contract target (&gt;80%) and whether it was met.</w:t>
      </w:r>
    </w:p>
    <w:p>
      <w:pPr>
        <w:pStyle w:val="ListParagraph"/>
        <w:numPr>
          <w:ilvl w:val="0"/>
          <w:numId w:val="2"/>
        </w:numPr>
        <w:spacing w:after="60"/>
      </w:pPr>
      <w:r>
        <w:t xml:space="preserve">Backend tests: 31 tests covering pure crypto functions, transactional QR validation, and HTTP-level security (UUID validation, SQL injection rejection).</w:t>
      </w:r>
    </w:p>
    <w:p>
      <w:pPr>
        <w:pStyle w:val="ListParagraph"/>
        <w:numPr>
          <w:ilvl w:val="0"/>
          <w:numId w:val="2"/>
        </w:numPr>
        <w:spacing w:after="60"/>
      </w:pPr>
      <w:r>
        <w:t xml:space="preserve">CI integration: every push runs the full test suite; coverage report uploaded as artefact.</w:t>
      </w:r>
    </w:p>
    <w:p>
      <w:pPr>
        <w:pStyle w:val="ListParagraph"/>
        <w:numPr>
          <w:ilvl w:val="0"/>
          <w:numId w:val="2"/>
        </w:numPr>
        <w:spacing w:after="60"/>
      </w:pPr>
      <w:r>
        <w:t xml:space="preserve">Manual end-to-end validation: live testnet transaction digest as proof of full-stack correctness.</w:t>
      </w:r>
    </w:p>
    <w:p>
      <w:pPr>
        <w:pStyle w:val="ListParagraph"/>
        <w:numPr>
          <w:ilvl w:val="0"/>
          <w:numId w:val="2"/>
        </w:numPr>
        <w:spacing w:after="60"/>
      </w:pPr>
      <w:r>
        <w:t xml:space="preserve">Limitations: no formal usability testing (the contract made this optional); no load testing under concurrent QR scans; tested on testnet, not mainnet.</w:t>
      </w:r>
    </w:p>
    <w:p>
      <w:pPr>
        <w:pStyle w:val="Heading3"/>
        <w:spacing w:after="80" w:before="180"/>
      </w:pPr>
      <w:r>
        <w:rPr>
          <w:b/>
          <w:bCs/>
          <w:color w:val="1F3A68"/>
        </w:rPr>
        <w:t xml:space="preserve">Source material to draw from</w:t>
      </w:r>
    </w:p>
    <w:p>
      <w:pPr>
        <w:pStyle w:val="ListParagraph"/>
        <w:numPr>
          <w:ilvl w:val="0"/>
          <w:numId w:val="2"/>
        </w:numPr>
        <w:spacing w:after="60"/>
      </w:pPr>
      <w:r>
        <w:t xml:space="preserve">TEST_DOCUMENTATION.md — entire test catalogue with descriptions, expected results, error codes.</w:t>
      </w:r>
    </w:p>
    <w:p>
      <w:pPr>
        <w:pStyle w:val="ListParagraph"/>
        <w:numPr>
          <w:ilvl w:val="0"/>
          <w:numId w:val="2"/>
        </w:numPr>
        <w:spacing w:after="60"/>
      </w:pPr>
      <w:r>
        <w:t xml:space="preserve">All test files: contracts/tests/ and backend/src/__tests__/.</w:t>
      </w:r>
    </w:p>
    <w:p>
      <w:pPr>
        <w:pStyle w:val="ListParagraph"/>
        <w:numPr>
          <w:ilvl w:val="0"/>
          <w:numId w:val="2"/>
        </w:numPr>
        <w:spacing w:after="60"/>
      </w:pPr>
      <w:r>
        <w:t xml:space="preserve">CI workflow files (.github/workflows/).</w:t>
      </w:r>
    </w:p>
    <w:p>
      <w:pPr>
        <w:pStyle w:val="ListParagraph"/>
        <w:numPr>
          <w:ilvl w:val="0"/>
          <w:numId w:val="2"/>
        </w:numPr>
        <w:spacing w:after="60"/>
      </w:pPr>
      <w:r>
        <w:t xml:space="preserve">Live tx digest 4coLY5kehLf9ijrB6ms9oWMM6Ax8KVQ4vuQKrEqtug2R as cryptographic test evidence.</w:t>
      </w:r>
    </w:p>
    <w:p>
      <w:pPr>
        <w:pStyle w:val="Heading3"/>
        <w:spacing w:after="80" w:before="180"/>
      </w:pPr>
      <w:r>
        <w:rPr>
          <w:b/>
          <w:bCs/>
          <w:color w:val="1F3A68"/>
        </w:rPr>
        <w:t xml:space="preserve">Suggested opening move</w:t>
      </w:r>
    </w:p>
    <w:p>
      <w:pPr>
        <w:spacing w:after="120"/>
      </w:pPr>
      <w:r>
        <w:t xml:space="preserve">Lead with the strategy paragraph, then drop the test counts table directly from TEST_DOCUMENTATION.md (63 tests, all passing). Coverage number goes in a single sentence with the measured value — that one sentence answers a 5-percent rubric requirement that other students often skip.</w:t>
      </w:r>
    </w:p>
    <w:p>
      <w:pPr>
        <w:pStyle w:val="Heading2"/>
        <w:spacing w:after="120" w:before="240"/>
      </w:pPr>
      <w:r>
        <w:rPr>
          <w:color w:val="1F3A68"/>
        </w:rPr>
        <w:t xml:space="preserve">Chapter 7: Evaluation</w:t>
      </w:r>
    </w:p>
    <w:p>
      <w:pPr>
        <w:spacing w:after="80"/>
      </w:pPr>
      <w:r>
        <w:rPr>
          <w:b/>
          <w:bCs/>
        </w:rPr>
        <w:t xml:space="preserve">Target words: </w:t>
      </w:r>
      <w:r>
        <w:t xml:space="preserve">1,000</w:t>
      </w:r>
    </w:p>
    <w:p>
      <w:pPr>
        <w:spacing w:after="80"/>
      </w:pPr>
      <w:r>
        <w:rPr>
          <w:b/>
          <w:bCs/>
        </w:rPr>
        <w:t xml:space="preserve">Rubric criterion served: </w:t>
      </w:r>
      <w:r>
        <w:t xml:space="preserve">Supports the System Robustness and Usability mark (10%) and the Critical Reflection mark (5%).</w:t>
      </w:r>
    </w:p>
    <w:p>
      <w:pPr>
        <w:pStyle w:val="Heading3"/>
        <w:spacing w:after="80" w:before="180"/>
      </w:pPr>
      <w:r>
        <w:rPr>
          <w:b/>
          <w:bCs/>
          <w:color w:val="1F3A68"/>
        </w:rPr>
        <w:t xml:space="preserve">What this chapter must cover</w:t>
      </w:r>
    </w:p>
    <w:p>
      <w:pPr>
        <w:pStyle w:val="ListParagraph"/>
        <w:numPr>
          <w:ilvl w:val="0"/>
          <w:numId w:val="2"/>
        </w:numPr>
        <w:spacing w:after="60"/>
      </w:pPr>
      <w:r>
        <w:t xml:space="preserve">Evaluation framing: the contract specified two acceptance criteria — QR token replay prevention and end-to-end zkLogin integration. Both demonstrated.</w:t>
      </w:r>
    </w:p>
    <w:p>
      <w:pPr>
        <w:pStyle w:val="ListParagraph"/>
        <w:numPr>
          <w:ilvl w:val="0"/>
          <w:numId w:val="2"/>
        </w:numPr>
        <w:spacing w:after="60"/>
      </w:pPr>
      <w:r>
        <w:t xml:space="preserve">Performance measurement: end-to-end scan-to-on-chain latency captured across at least 20 trial scans; report mean, median, p95.</w:t>
      </w:r>
    </w:p>
    <w:p>
      <w:pPr>
        <w:pStyle w:val="ListParagraph"/>
        <w:numPr>
          <w:ilvl w:val="0"/>
          <w:numId w:val="2"/>
        </w:numPr>
        <w:spacing w:after="60"/>
      </w:pPr>
      <w:r>
        <w:t xml:space="preserve">Cost measurement: gas cost per transaction from explorer; total cost across the trial scans; extrapolation to per-customer annual cost at scale.</w:t>
      </w:r>
    </w:p>
    <w:p>
      <w:pPr>
        <w:pStyle w:val="ListParagraph"/>
        <w:numPr>
          <w:ilvl w:val="0"/>
          <w:numId w:val="2"/>
        </w:numPr>
        <w:spacing w:after="60"/>
      </w:pPr>
      <w:r>
        <w:t xml:space="preserve">Security evaluation: replay prevention tested concurrently (two simulated clients racing for one UUID); SQL injection attempts logged; zkLogin signature validation correctness.</w:t>
      </w:r>
    </w:p>
    <w:p>
      <w:pPr>
        <w:pStyle w:val="ListParagraph"/>
        <w:numPr>
          <w:ilvl w:val="0"/>
          <w:numId w:val="2"/>
        </w:numPr>
        <w:spacing w:after="60"/>
      </w:pPr>
      <w:r>
        <w:t xml:space="preserve">Robustness evaluation: failure modes — what happens when the Sui RPC is unreachable, when the database connection is dropped mid-PTB, when an invalid JWT is submitted.</w:t>
      </w:r>
    </w:p>
    <w:p>
      <w:pPr>
        <w:pStyle w:val="ListParagraph"/>
        <w:numPr>
          <w:ilvl w:val="0"/>
          <w:numId w:val="2"/>
        </w:numPr>
        <w:spacing w:after="60"/>
      </w:pPr>
      <w:r>
        <w:t xml:space="preserve">Usability evaluation: heuristic walkthrough against Nielsen's heuristics; if any informal user feedback was gathered, summarise it. Be honest if usability testing was not formally conducted.</w:t>
      </w:r>
    </w:p>
    <w:p>
      <w:pPr>
        <w:pStyle w:val="ListParagraph"/>
        <w:numPr>
          <w:ilvl w:val="0"/>
          <w:numId w:val="2"/>
        </w:numPr>
        <w:spacing w:after="60"/>
      </w:pPr>
      <w:r>
        <w:t xml:space="preserve">Comparison against contract objectives: explicit table mapping each contract objective to the evaluation evidence and a pass/fail/partial verdict.</w:t>
      </w:r>
    </w:p>
    <w:p>
      <w:pPr>
        <w:pStyle w:val="Heading3"/>
        <w:spacing w:after="80" w:before="180"/>
      </w:pPr>
      <w:r>
        <w:rPr>
          <w:b/>
          <w:bCs/>
          <w:color w:val="1F3A68"/>
        </w:rPr>
        <w:t xml:space="preserve">Source material to draw from</w:t>
      </w:r>
    </w:p>
    <w:p>
      <w:pPr>
        <w:pStyle w:val="ListParagraph"/>
        <w:numPr>
          <w:ilvl w:val="0"/>
          <w:numId w:val="2"/>
        </w:numPr>
        <w:spacing w:after="60"/>
      </w:pPr>
      <w:r>
        <w:t xml:space="preserve">Sui testnet explorer — gas costs, tx digests, latency timings.</w:t>
      </w:r>
    </w:p>
    <w:p>
      <w:pPr>
        <w:pStyle w:val="ListParagraph"/>
        <w:numPr>
          <w:ilvl w:val="0"/>
          <w:numId w:val="2"/>
        </w:numPr>
        <w:spacing w:after="60"/>
      </w:pPr>
      <w:r>
        <w:t xml:space="preserve">Sprint 4 journal — confirmed working transaction details.</w:t>
      </w:r>
    </w:p>
    <w:p>
      <w:pPr>
        <w:pStyle w:val="ListParagraph"/>
        <w:numPr>
          <w:ilvl w:val="0"/>
          <w:numId w:val="2"/>
        </w:numPr>
        <w:spacing w:after="60"/>
      </w:pPr>
      <w:r>
        <w:t xml:space="preserve">Contract Alignment Audit — already maps deliverables to evidence.</w:t>
      </w:r>
    </w:p>
    <w:p>
      <w:pPr>
        <w:pStyle w:val="ListParagraph"/>
        <w:numPr>
          <w:ilvl w:val="0"/>
          <w:numId w:val="2"/>
        </w:numPr>
        <w:spacing w:after="60"/>
      </w:pPr>
      <w:r>
        <w:t xml:space="preserve">Project Contract Aims and Objectives — the criteria to evaluate against.</w:t>
      </w:r>
    </w:p>
    <w:p>
      <w:pPr>
        <w:pStyle w:val="Heading3"/>
        <w:spacing w:after="80" w:before="180"/>
      </w:pPr>
      <w:r>
        <w:rPr>
          <w:b/>
          <w:bCs/>
          <w:color w:val="1F3A68"/>
        </w:rPr>
        <w:t xml:space="preserve">Suggested opening move</w:t>
      </w:r>
    </w:p>
    <w:p>
      <w:pPr>
        <w:spacing w:after="120"/>
      </w:pPr>
      <w:r>
        <w:t xml:space="preserve">This chapter requires data you have not yet captured. Schedule one evening to run 20–30 trial scans, log timings to a spreadsheet, and compute mean/median/p95. That one evening produces the data the entire chapter rests on. Do this before you write the chapter, not during.</w:t>
      </w:r>
    </w:p>
    <w:p>
      <w:pPr>
        <w:pStyle w:val="Heading2"/>
        <w:spacing w:after="120" w:before="240"/>
      </w:pPr>
      <w:r>
        <w:rPr>
          <w:color w:val="1F3A68"/>
        </w:rPr>
        <w:t xml:space="preserve">Chapter 8: Critical Reflection and Conclusion</w:t>
      </w:r>
    </w:p>
    <w:p>
      <w:pPr>
        <w:spacing w:after="80"/>
      </w:pPr>
      <w:r>
        <w:rPr>
          <w:b/>
          <w:bCs/>
        </w:rPr>
        <w:t xml:space="preserve">Target words: </w:t>
      </w:r>
      <w:r>
        <w:t xml:space="preserve">1,500</w:t>
      </w:r>
    </w:p>
    <w:p>
      <w:pPr>
        <w:spacing w:after="80"/>
      </w:pPr>
      <w:r>
        <w:rPr>
          <w:b/>
          <w:bCs/>
        </w:rPr>
        <w:t xml:space="preserve">Rubric criterion served: </w:t>
      </w:r>
      <w:r>
        <w:t xml:space="preserve">Critical analysis and reflection (5%): what went right, what went wrong, what would be done differently, appraisal of approach and tools.</w:t>
      </w:r>
    </w:p>
    <w:p>
      <w:pPr>
        <w:pStyle w:val="Heading3"/>
        <w:spacing w:after="80" w:before="180"/>
      </w:pPr>
      <w:r>
        <w:rPr>
          <w:b/>
          <w:bCs/>
          <w:color w:val="1F3A68"/>
        </w:rPr>
        <w:t xml:space="preserve">What this chapter must cover</w:t>
      </w:r>
    </w:p>
    <w:p>
      <w:pPr>
        <w:pStyle w:val="ListParagraph"/>
        <w:numPr>
          <w:ilvl w:val="0"/>
          <w:numId w:val="2"/>
        </w:numPr>
        <w:spacing w:after="60"/>
      </w:pPr>
      <w:r>
        <w:t xml:space="preserve">What went right: live testnet deployment, replay prevention design, Universal Avatar architecture as a defensible scope expansion, CI pipeline, 63 passing tests.</w:t>
      </w:r>
    </w:p>
    <w:p>
      <w:pPr>
        <w:pStyle w:val="ListParagraph"/>
        <w:numPr>
          <w:ilvl w:val="0"/>
          <w:numId w:val="2"/>
        </w:numPr>
        <w:spacing w:after="60"/>
      </w:pPr>
      <w:r>
        <w:t xml:space="preserve">What went wrong and was fixed: Owned→Shared migration mid-project, redirect_uri mismatch via dynamic host header, tier threshold inconsistency between contract and SQL mirror, deprecated aliases and dead-code accumulation.</w:t>
      </w:r>
    </w:p>
    <w:p>
      <w:pPr>
        <w:pStyle w:val="ListParagraph"/>
        <w:numPr>
          <w:ilvl w:val="0"/>
          <w:numId w:val="2"/>
        </w:numPr>
        <w:spacing w:after="60"/>
      </w:pPr>
      <w:r>
        <w:t xml:space="preserve">What went wrong and was accepted: redemption flow is off-chain only, LPT contract deployed but unused in current UI, hosting deferred to post-submission, no formal usability testing.</w:t>
      </w:r>
    </w:p>
    <w:p>
      <w:pPr>
        <w:pStyle w:val="ListParagraph"/>
        <w:numPr>
          <w:ilvl w:val="0"/>
          <w:numId w:val="2"/>
        </w:numPr>
        <w:spacing w:after="60"/>
      </w:pPr>
      <w:r>
        <w:t xml:space="preserve">What would be done differently with hindsight: start with Shared Object + AdminCap pattern from day one rather than discovering the constraint mid-Sprint-4; agree per-student rubric component with supervisor at first deliverable rather than later; measure test coverage continuously rather than reporting it at the end.</w:t>
      </w:r>
    </w:p>
    <w:p>
      <w:pPr>
        <w:pStyle w:val="ListParagraph"/>
        <w:numPr>
          <w:ilvl w:val="0"/>
          <w:numId w:val="2"/>
        </w:numPr>
        <w:spacing w:after="60"/>
      </w:pPr>
      <w:r>
        <w:t xml:space="preserve">Appraisal of tools: Sui SDK quality, Move language ergonomics, Next.js for PWA, PostgreSQL for the off-chain mirror, GitHub Actions for CI.</w:t>
      </w:r>
    </w:p>
    <w:p>
      <w:pPr>
        <w:pStyle w:val="ListParagraph"/>
        <w:numPr>
          <w:ilvl w:val="0"/>
          <w:numId w:val="2"/>
        </w:numPr>
        <w:spacing w:after="60"/>
      </w:pPr>
      <w:r>
        <w:t xml:space="preserve">Honest appraisal of whether blockchain added value: the contract committed to this question. Answer it directly — what does blockchain provide here that PostgreSQL would not? Trust under brand exit, customer-controlled identity, public auditability. What does PostgreSQL provide better? Speed, query flexibility, lower operational cost. The honest answer is that blockchain added value for the trust property specifically, and that property is the entire reason the system exists.</w:t>
      </w:r>
    </w:p>
    <w:p>
      <w:pPr>
        <w:pStyle w:val="ListParagraph"/>
        <w:numPr>
          <w:ilvl w:val="0"/>
          <w:numId w:val="2"/>
        </w:numPr>
        <w:spacing w:after="60"/>
      </w:pPr>
      <w:r>
        <w:t xml:space="preserve">Conclusion paragraph: the system delivered the contract, demonstrated the thesis, and identified the path forward (mainnet pilot, brand-side dashboard, on-chain redemption via LPT).</w:t>
      </w:r>
    </w:p>
    <w:p>
      <w:pPr>
        <w:pStyle w:val="Heading3"/>
        <w:spacing w:after="80" w:before="180"/>
      </w:pPr>
      <w:r>
        <w:rPr>
          <w:b/>
          <w:bCs/>
          <w:color w:val="1F3A68"/>
        </w:rPr>
        <w:t xml:space="preserve">Source material to draw from</w:t>
      </w:r>
    </w:p>
    <w:p>
      <w:pPr>
        <w:pStyle w:val="ListParagraph"/>
        <w:numPr>
          <w:ilvl w:val="0"/>
          <w:numId w:val="2"/>
        </w:numPr>
        <w:spacing w:after="60"/>
      </w:pPr>
      <w:r>
        <w:t xml:space="preserve">Contract Alignment Audit — Section 5 (expansions) and Section 6 (shortfalls) feed directly into the reflection.</w:t>
      </w:r>
    </w:p>
    <w:p>
      <w:pPr>
        <w:pStyle w:val="ListParagraph"/>
        <w:numPr>
          <w:ilvl w:val="0"/>
          <w:numId w:val="2"/>
        </w:numPr>
        <w:spacing w:after="60"/>
      </w:pPr>
      <w:r>
        <w:t xml:space="preserve">Sprint journals — every journal has a 'Problems Encountered' table; combine them.</w:t>
      </w:r>
    </w:p>
    <w:p>
      <w:pPr>
        <w:pStyle w:val="ListParagraph"/>
        <w:numPr>
          <w:ilvl w:val="0"/>
          <w:numId w:val="2"/>
        </w:numPr>
        <w:spacing w:after="60"/>
      </w:pPr>
      <w:r>
        <w:t xml:space="preserve">Migration_Summary.md — the canonical 'what would I have done differently' source.</w:t>
      </w:r>
    </w:p>
    <w:p>
      <w:pPr>
        <w:pStyle w:val="ListParagraph"/>
        <w:numPr>
          <w:ilvl w:val="0"/>
          <w:numId w:val="2"/>
        </w:numPr>
        <w:spacing w:after="60"/>
      </w:pPr>
      <w:r>
        <w:t xml:space="preserve">Project Overview §1.3 — your own commitment to honest reflection on blockchain value.</w:t>
      </w:r>
    </w:p>
    <w:p>
      <w:pPr>
        <w:pStyle w:val="Heading3"/>
        <w:spacing w:after="80" w:before="180"/>
      </w:pPr>
      <w:r>
        <w:rPr>
          <w:b/>
          <w:bCs/>
          <w:color w:val="1F3A68"/>
        </w:rPr>
        <w:t xml:space="preserve">Suggested opening move</w:t>
      </w:r>
    </w:p>
    <w:p>
      <w:pPr>
        <w:spacing w:after="120"/>
      </w:pPr>
      <w:r>
        <w:t xml:space="preserve">Examiners reward intellectual honesty here. Do not write 'everything went well.' Be specific about what didn't, why it didn't, and what you learned. The 5-percent weight is small but the chapter sets the tone for how examiners read your viva — sound reflective in the report, sound reflective in the viva.</w:t>
      </w:r>
    </w:p>
    <w:p>
      <w:pPr>
        <w:pStyle w:val="Heading2"/>
        <w:spacing w:after="120" w:before="240"/>
      </w:pPr>
      <w:r>
        <w:rPr>
          <w:color w:val="1F3A68"/>
        </w:rPr>
        <w:t xml:space="preserve">Back Matter</w:t>
      </w:r>
    </w:p>
    <w:p>
      <w:pPr>
        <w:pStyle w:val="Heading3"/>
        <w:spacing w:after="80" w:before="180"/>
      </w:pPr>
      <w:r>
        <w:rPr>
          <w:b/>
          <w:bCs/>
          <w:color w:val="1F3A68"/>
        </w:rPr>
        <w:t xml:space="preserve">References (excluded from word count, max 4 pages single column)</w:t>
      </w:r>
    </w:p>
    <w:p>
      <w:pPr>
        <w:spacing w:after="120"/>
      </w:pPr>
      <w:r>
        <w:t xml:space="preserve">Harvard format. Every entry must include a valid DOI or stable URL — this is rubric-explicit. Use a reference manager (Mendeley, Zotero) to enforce consistency. Include: peer-reviewed papers (IEEE, ACM, springer); standards documents (RFC 4122, 6749, 7519); industry technical documentation (Sui docs, Mysten Labs zkLogin spec); industry analyst reports with stable URLs (a16z, Chainalysis, Forrester).</w:t>
      </w:r>
    </w:p>
    <w:p>
      <w:pPr>
        <w:pStyle w:val="Heading3"/>
        <w:spacing w:after="80" w:before="180"/>
      </w:pPr>
      <w:r>
        <w:rPr>
          <w:b/>
          <w:bCs/>
          <w:color w:val="1F3A68"/>
        </w:rPr>
        <w:t xml:space="preserve">Appendices (count toward word total — keep concise)</w:t>
      </w:r>
    </w:p>
    <w:p>
      <w:pPr>
        <w:pStyle w:val="ListParagraph"/>
        <w:numPr>
          <w:ilvl w:val="0"/>
          <w:numId w:val="2"/>
        </w:numPr>
        <w:spacing w:after="60"/>
      </w:pPr>
      <w:r>
        <w:t xml:space="preserve">Appendix A: Project Contract — verbatim reproduction of the signed contract.</w:t>
      </w:r>
    </w:p>
    <w:p>
      <w:pPr>
        <w:pStyle w:val="ListParagraph"/>
        <w:numPr>
          <w:ilvl w:val="0"/>
          <w:numId w:val="2"/>
        </w:numPr>
        <w:spacing w:after="60"/>
      </w:pPr>
      <w:r>
        <w:t xml:space="preserve">Appendix B: Contract Alignment Audit — the document built in Sprint 5 demonstrating completeness against contract.</w:t>
      </w:r>
    </w:p>
    <w:p>
      <w:pPr>
        <w:pStyle w:val="ListParagraph"/>
        <w:numPr>
          <w:ilvl w:val="0"/>
          <w:numId w:val="2"/>
        </w:numPr>
        <w:spacing w:after="60"/>
      </w:pPr>
      <w:r>
        <w:t xml:space="preserve">Appendix C: Test Catalogue — reference to TEST_DOCUMENTATION.md, full table reproduced.</w:t>
      </w:r>
    </w:p>
    <w:p>
      <w:pPr>
        <w:pStyle w:val="ListParagraph"/>
        <w:numPr>
          <w:ilvl w:val="0"/>
          <w:numId w:val="2"/>
        </w:numPr>
        <w:spacing w:after="60"/>
      </w:pPr>
      <w:r>
        <w:t xml:space="preserve">Appendix D: CI Workflow Listings — three short YAML files.</w:t>
      </w:r>
    </w:p>
    <w:p>
      <w:pPr>
        <w:pStyle w:val="ListParagraph"/>
        <w:numPr>
          <w:ilvl w:val="0"/>
          <w:numId w:val="2"/>
        </w:numPr>
        <w:spacing w:after="60"/>
      </w:pPr>
      <w:r>
        <w:t xml:space="preserve">Appendix E: Live Transaction Evidence — explorer screenshot, transaction digest, package ID.</w:t>
      </w:r>
    </w:p>
    <w:p>
      <w:pPr>
        <w:pStyle w:val="ListParagraph"/>
        <w:numPr>
          <w:ilvl w:val="0"/>
          <w:numId w:val="2"/>
        </w:numPr>
        <w:spacing w:after="60"/>
      </w:pPr>
      <w:r>
        <w:t xml:space="preserve">Appendix F: Database Schema — ER diagram from the Database Design document.</w:t>
      </w:r>
    </w:p>
    <w:p>
      <w:pPr>
        <w:pStyle w:val="ListParagraph"/>
        <w:numPr>
          <w:ilvl w:val="0"/>
          <w:numId w:val="2"/>
        </w:numPr>
        <w:spacing w:after="60"/>
      </w:pPr>
      <w:r>
        <w:t xml:space="preserve">Appendix G: Supervisor Meeting Notes — chronological list with dates and key decisions.</w:t>
      </w:r>
    </w:p>
    <w:p>
      <w:r>
        <w:br w:type="page"/>
      </w:r>
    </w:p>
    <w:p>
      <w:pPr>
        <w:pStyle w:val="Heading1"/>
        <w:spacing w:after="180" w:before="360"/>
      </w:pPr>
      <w:r>
        <w:rPr>
          <w:color w:val="1F3A68"/>
        </w:rPr>
        <w:t xml:space="preserve">4. Source Material Map</w:t>
      </w:r>
    </w:p>
    <w:p>
      <w:pPr>
        <w:spacing w:after="120"/>
      </w:pPr>
      <w:r>
        <w:t xml:space="preserve">Material already in the repository that maps to specific report chapters. Almost half the report can be assembled by restructuring existing prose rather than writing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Existing Source</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Feeds Chapter(s)</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Project Contract</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1 (Introduction), Ch 3 (Methodology), Ch 7 (Evaluation), Appendix A</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Project Overview</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1 (Introduction), Ch 4 (Design)</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Sprint 1 Journal</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4 (Design — contract architecture), Ch 5 (Implementation)</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Sprint 2 Journal</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5 (Implementation — backend), Ch 6 (Testing — security)</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Sprint 3 Journal</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5 (Implementation — frontend), Ch 4 (Design — multi-brand)</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Sprint 4 Journal</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5 (Implementation — blockchain integration), Ch 7 (Evaluation)</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Database Design Document</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4 (Design — schema and ERD), Appendix F</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Migration Summary</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4 (Design rationale), Ch 8 (Critical Reflection)</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TEST_DOCUMENTATION.md</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6 (Testing), Appendix C</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Contract Alignment Audit</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8 (Critical Reflection), Appendix B</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CI workflow YAML</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3 (Methodology — V&amp;V), Ch 6 (Testing), Appendix D</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Live testnet tx digest</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6 (Testing), Ch 7 (Evaluation), Appendix E</w:t>
            </w:r>
          </w:p>
        </w:tc>
      </w:tr>
      <w:tr>
        <w:tc>
          <w:tcPr>
            <w:tcW w:type="dxa" w:w="4200"/>
            <w:tcBorders>
              <w:top w:val="single" w:color="B8C0CC" w:sz="4"/>
              <w:left w:val="single" w:color="B8C0CC" w:sz="4"/>
              <w:bottom w:val="single" w:color="B8C0CC" w:sz="4"/>
              <w:right w:val="single" w:color="B8C0CC" w:sz="4"/>
            </w:tcBorders>
            <w:shd w:fill="E8EEF7" w:val="clear"/>
            <w:tcMar>
              <w:top w:type="dxa" w:w="100"/>
              <w:left w:type="dxa" w:w="140"/>
              <w:bottom w:type="dxa" w:w="100"/>
              <w:right w:type="dxa" w:w="140"/>
            </w:tcMar>
          </w:tcPr>
          <w:p>
            <w:r>
              <w:rPr>
                <w:b/>
                <w:bCs/>
                <w:sz w:val="20"/>
                <w:szCs w:val="20"/>
              </w:rPr>
              <w:t xml:space="preserve">Meeting notes</w:t>
            </w:r>
          </w:p>
        </w:tc>
        <w:tc>
          <w:tcPr>
            <w:tcW w:type="dxa" w:w="5160"/>
            <w:tcBorders>
              <w:top w:val="single" w:color="B8C0CC" w:sz="4"/>
              <w:left w:val="single" w:color="B8C0CC" w:sz="4"/>
              <w:bottom w:val="single" w:color="B8C0CC" w:sz="4"/>
              <w:right w:val="single" w:color="B8C0CC" w:sz="4"/>
            </w:tcBorders>
            <w:tcMar>
              <w:top w:type="dxa" w:w="100"/>
              <w:left w:type="dxa" w:w="140"/>
              <w:bottom w:type="dxa" w:w="100"/>
              <w:right w:type="dxa" w:w="140"/>
            </w:tcMar>
          </w:tcPr>
          <w:p>
            <w:r>
              <w:rPr>
                <w:sz w:val="20"/>
                <w:szCs w:val="20"/>
              </w:rPr>
              <w:t xml:space="preserve">Ch 3 (Methodology — supervisor engagement), Appendix G</w:t>
            </w:r>
          </w:p>
        </w:tc>
      </w:tr>
    </w:tbl>
    <w:p>
      <w:pPr>
        <w:pStyle w:val="Heading1"/>
        <w:spacing w:after="180" w:before="360"/>
      </w:pPr>
      <w:r>
        <w:rPr>
          <w:color w:val="1F3A68"/>
        </w:rPr>
        <w:t xml:space="preserve">5. Suggested Writing Schedule</w:t>
      </w:r>
    </w:p>
    <w:p>
      <w:pPr>
        <w:spacing w:after="120"/>
      </w:pPr>
      <w:r>
        <w:t xml:space="preserve">Based on a target submission window in mid-May 2026 with two and a half weeks of writing time available before the buffer week begins.</w:t>
      </w:r>
    </w:p>
    <w:p>
      <w:pPr>
        <w:pStyle w:val="Heading3"/>
        <w:spacing w:after="80" w:before="180"/>
      </w:pPr>
      <w:r>
        <w:rPr>
          <w:b/>
          <w:bCs/>
          <w:color w:val="1F3A68"/>
        </w:rPr>
        <w:t xml:space="preserve">Week 1 (28 April – 4 May): Spine in place</w:t>
      </w:r>
    </w:p>
    <w:p>
      <w:pPr>
        <w:pStyle w:val="ListParagraph"/>
        <w:numPr>
          <w:ilvl w:val="0"/>
          <w:numId w:val="2"/>
        </w:numPr>
        <w:spacing w:after="60"/>
      </w:pPr>
      <w:r>
        <w:t xml:space="preserve">Day 1: Set up reference manager, bibliography file, document template with university header, page numbers, TOC styles.</w:t>
      </w:r>
    </w:p>
    <w:p>
      <w:pPr>
        <w:pStyle w:val="ListParagraph"/>
        <w:numPr>
          <w:ilvl w:val="0"/>
          <w:numId w:val="2"/>
        </w:numPr>
        <w:spacing w:after="60"/>
      </w:pPr>
      <w:r>
        <w:t xml:space="preserve">Day 2: Draft Chapter 1 (Introduction) — 1,000 words. Easiest start.</w:t>
      </w:r>
    </w:p>
    <w:p>
      <w:pPr>
        <w:pStyle w:val="ListParagraph"/>
        <w:numPr>
          <w:ilvl w:val="0"/>
          <w:numId w:val="2"/>
        </w:numPr>
        <w:spacing w:after="60"/>
      </w:pPr>
      <w:r>
        <w:t xml:space="preserve">Day 3: Draft Chapter 3 (Methodology) — 1,000 words. Sprint journals plus CI evidence carry this fast.</w:t>
      </w:r>
    </w:p>
    <w:p>
      <w:pPr>
        <w:pStyle w:val="ListParagraph"/>
        <w:numPr>
          <w:ilvl w:val="0"/>
          <w:numId w:val="2"/>
        </w:numPr>
        <w:spacing w:after="60"/>
      </w:pPr>
      <w:r>
        <w:t xml:space="preserve">Days 4–5: Capture evaluation data — run 30 trial scans, log gas costs, measure latency. Spreadsheet output feeds Chapter 7.</w:t>
      </w:r>
    </w:p>
    <w:p>
      <w:pPr>
        <w:pStyle w:val="ListParagraph"/>
        <w:numPr>
          <w:ilvl w:val="0"/>
          <w:numId w:val="2"/>
        </w:numPr>
        <w:spacing w:after="60"/>
      </w:pPr>
      <w:r>
        <w:t xml:space="preserve">Days 6–7: Draft Chapter 5 (Implementation) — 2,500 words. Largest chapter but draws heavily on sprint journals.</w:t>
      </w:r>
    </w:p>
    <w:p>
      <w:pPr>
        <w:pStyle w:val="Heading3"/>
        <w:spacing w:after="80" w:before="180"/>
      </w:pPr>
      <w:r>
        <w:rPr>
          <w:b/>
          <w:bCs/>
          <w:color w:val="1F3A68"/>
        </w:rPr>
        <w:t xml:space="preserve">Week 2 (5 – 11 May): Heavy chapters</w:t>
      </w:r>
    </w:p>
    <w:p>
      <w:pPr>
        <w:pStyle w:val="ListParagraph"/>
        <w:numPr>
          <w:ilvl w:val="0"/>
          <w:numId w:val="2"/>
        </w:numPr>
        <w:spacing w:after="60"/>
      </w:pPr>
      <w:r>
        <w:t xml:space="preserve">Days 1–3: Draft Chapter 2 (Literature Review) — 2,500 words. Slowest because every reference needs a DOI.</w:t>
      </w:r>
    </w:p>
    <w:p>
      <w:pPr>
        <w:pStyle w:val="ListParagraph"/>
        <w:numPr>
          <w:ilvl w:val="0"/>
          <w:numId w:val="2"/>
        </w:numPr>
        <w:spacing w:after="60"/>
      </w:pPr>
      <w:r>
        <w:t xml:space="preserve">Days 4–5: Draft Chapter 4 (Design) — 1,500 words.</w:t>
      </w:r>
    </w:p>
    <w:p>
      <w:pPr>
        <w:pStyle w:val="ListParagraph"/>
        <w:numPr>
          <w:ilvl w:val="0"/>
          <w:numId w:val="2"/>
        </w:numPr>
        <w:spacing w:after="60"/>
      </w:pPr>
      <w:r>
        <w:t xml:space="preserve">Days 6–7: Draft Chapter 6 (Testing) and Chapter 7 (Evaluation) — 2,000 words combined.</w:t>
      </w:r>
    </w:p>
    <w:p>
      <w:pPr>
        <w:pStyle w:val="Heading3"/>
        <w:spacing w:after="80" w:before="180"/>
      </w:pPr>
      <w:r>
        <w:rPr>
          <w:b/>
          <w:bCs/>
          <w:color w:val="1F3A68"/>
        </w:rPr>
        <w:t xml:space="preserve">Week 3 (12 – 18 May): Reflection and polish</w:t>
      </w:r>
    </w:p>
    <w:p>
      <w:pPr>
        <w:pStyle w:val="ListParagraph"/>
        <w:numPr>
          <w:ilvl w:val="0"/>
          <w:numId w:val="2"/>
        </w:numPr>
        <w:spacing w:after="60"/>
      </w:pPr>
      <w:r>
        <w:t xml:space="preserve">Days 1–2: Draft Chapter 8 (Critical Reflection and Conclusion) — 1,500 words.</w:t>
      </w:r>
    </w:p>
    <w:p>
      <w:pPr>
        <w:pStyle w:val="ListParagraph"/>
        <w:numPr>
          <w:ilvl w:val="0"/>
          <w:numId w:val="2"/>
        </w:numPr>
        <w:spacing w:after="60"/>
      </w:pPr>
      <w:r>
        <w:t xml:space="preserve">Day 3: Write the Abstract (250–300 words). Easier once everything else is written.</w:t>
      </w:r>
    </w:p>
    <w:p>
      <w:pPr>
        <w:pStyle w:val="ListParagraph"/>
        <w:numPr>
          <w:ilvl w:val="0"/>
          <w:numId w:val="2"/>
        </w:numPr>
        <w:spacing w:after="60"/>
      </w:pPr>
      <w:r>
        <w:t xml:space="preserve">Day 4: Assemble appendices — many are references to existing files.</w:t>
      </w:r>
    </w:p>
    <w:p>
      <w:pPr>
        <w:pStyle w:val="ListParagraph"/>
        <w:numPr>
          <w:ilvl w:val="0"/>
          <w:numId w:val="2"/>
        </w:numPr>
        <w:spacing w:after="60"/>
      </w:pPr>
      <w:r>
        <w:t xml:space="preserve">Day 5: First full read-through. Check word count. Trim or expand to land in 10,000–12,000.</w:t>
      </w:r>
    </w:p>
    <w:p>
      <w:pPr>
        <w:pStyle w:val="ListParagraph"/>
        <w:numPr>
          <w:ilvl w:val="0"/>
          <w:numId w:val="2"/>
        </w:numPr>
        <w:spacing w:after="60"/>
      </w:pPr>
      <w:r>
        <w:t xml:space="preserve">Days 6–7: Reference list verification — every citation has a DOI or stable URL. Spell-check, grammar check, supervisor review if available.</w:t>
      </w:r>
    </w:p>
    <w:p>
      <w:pPr>
        <w:pStyle w:val="Heading3"/>
        <w:spacing w:after="80" w:before="180"/>
      </w:pPr>
      <w:r>
        <w:rPr>
          <w:b/>
          <w:bCs/>
          <w:color w:val="1F3A68"/>
        </w:rPr>
        <w:t xml:space="preserve">Buffer week (19 – 25 May): Submission</w:t>
      </w:r>
    </w:p>
    <w:p>
      <w:pPr>
        <w:pStyle w:val="ListParagraph"/>
        <w:numPr>
          <w:ilvl w:val="0"/>
          <w:numId w:val="2"/>
        </w:numPr>
        <w:spacing w:after="60"/>
      </w:pPr>
      <w:r>
        <w:t xml:space="preserve">TurnItIn upload, plagiarism check review, final corrections.</w:t>
      </w:r>
    </w:p>
    <w:p>
      <w:pPr>
        <w:pStyle w:val="ListParagraph"/>
        <w:numPr>
          <w:ilvl w:val="0"/>
          <w:numId w:val="2"/>
        </w:numPr>
        <w:spacing w:after="60"/>
      </w:pPr>
      <w:r>
        <w:t xml:space="preserve">Confirm meeting notes are submitted by 22 May noon.</w:t>
      </w:r>
    </w:p>
    <w:p>
      <w:pPr>
        <w:pStyle w:val="ListParagraph"/>
        <w:numPr>
          <w:ilvl w:val="0"/>
          <w:numId w:val="2"/>
        </w:numPr>
        <w:spacing w:after="60"/>
      </w:pPr>
      <w:r>
        <w:t xml:space="preserve">Viva preparation begins in parallel — distinct workstream.</w:t>
      </w:r>
    </w:p>
    <w:p>
      <w:pPr>
        <w:pStyle w:val="Heading1"/>
        <w:spacing w:after="180" w:before="360"/>
      </w:pPr>
      <w:r>
        <w:rPr>
          <w:color w:val="1F3A68"/>
        </w:rPr>
        <w:t xml:space="preserve">6. Risks Specific to This Outline</w:t>
      </w:r>
    </w:p>
    <w:p>
      <w:pPr>
        <w:spacing w:after="120"/>
      </w:pPr>
      <w:r>
        <w:t xml:space="preserve">Three risks could prevent the outline from being delivered on time.</w:t>
      </w:r>
    </w:p>
    <w:p>
      <w:pPr>
        <w:spacing w:after="80"/>
      </w:pPr>
      <w:r>
        <w:rPr>
          <w:b/>
          <w:bCs/>
        </w:rPr>
        <w:t xml:space="preserve">Risk 1 — Literature Review references thin: </w:t>
      </w:r>
      <w:r>
        <w:t xml:space="preserve">Mitigation is to set up the reference manager first and write only against vetted DOI sources. Refuse to cite any source without a DOI or stable URL even if it's tempting.</w:t>
      </w:r>
    </w:p>
    <w:p>
      <w:pPr>
        <w:spacing w:after="80"/>
      </w:pPr>
      <w:r>
        <w:rPr>
          <w:b/>
          <w:bCs/>
        </w:rPr>
        <w:t xml:space="preserve">Risk 2 — Evaluation chapter has no measured data: </w:t>
      </w:r>
      <w:r>
        <w:t xml:space="preserve">Mitigation is to capture latency and gas data in Week 1 before writing the chapter. Without numbers, the chapter cannot meet the rubric standard.</w:t>
      </w:r>
    </w:p>
    <w:p>
      <w:pPr>
        <w:spacing w:after="80"/>
      </w:pPr>
      <w:r>
        <w:rPr>
          <w:b/>
          <w:bCs/>
        </w:rPr>
        <w:t xml:space="preserve">Risk 3 — Word count blows past 12,000: </w:t>
      </w:r>
      <w:r>
        <w:t xml:space="preserve">Mitigation is to track running word count after every chapter and trim early. Critical Reflection is a natural place to compress because its weight is only 5%.</w:t>
      </w:r>
    </w:p>
    <w:p>
      <w:pPr>
        <w:pStyle w:val="Heading1"/>
        <w:spacing w:after="180" w:before="360"/>
      </w:pPr>
      <w:r>
        <w:rPr>
          <w:color w:val="1F3A68"/>
        </w:rPr>
        <w:t xml:space="preserve">7. Open Questions for Supervisor</w:t>
      </w:r>
    </w:p>
    <w:p>
      <w:pPr>
        <w:spacing w:after="120"/>
      </w:pPr>
      <w:r>
        <w:t xml:space="preserve">These items should be raised at the next meeting with Dr Al-Ibaisi to confirm before chapter writing begins:</w:t>
      </w:r>
    </w:p>
    <w:p>
      <w:pPr>
        <w:pStyle w:val="ListParagraph"/>
        <w:numPr>
          <w:ilvl w:val="0"/>
          <w:numId w:val="2"/>
        </w:numPr>
        <w:spacing w:after="60"/>
      </w:pPr>
      <w:r>
        <w:t xml:space="preserve">Per-student rubric component (per Guideline document) — has this been agreed? If not, agree it now.</w:t>
      </w:r>
    </w:p>
    <w:p>
      <w:pPr>
        <w:pStyle w:val="ListParagraph"/>
        <w:numPr>
          <w:ilvl w:val="0"/>
          <w:numId w:val="2"/>
        </w:numPr>
        <w:spacing w:after="60"/>
      </w:pPr>
      <w:r>
        <w:t xml:space="preserve">Acknowledgement of scope expansions (Universal Avatar, Merchant Terminal, Redemption) — supervisor sign-off as engineering judgement, not scope creep.</w:t>
      </w:r>
    </w:p>
    <w:p>
      <w:pPr>
        <w:pStyle w:val="ListParagraph"/>
        <w:numPr>
          <w:ilvl w:val="0"/>
          <w:numId w:val="2"/>
        </w:numPr>
        <w:spacing w:after="60"/>
      </w:pPr>
      <w:r>
        <w:t xml:space="preserve">Approach to the missing Playwright tests — substitute with Jest narrative or add one Playwright happy-path test?</w:t>
      </w:r>
    </w:p>
    <w:p>
      <w:pPr>
        <w:pStyle w:val="ListParagraph"/>
        <w:numPr>
          <w:ilvl w:val="0"/>
          <w:numId w:val="2"/>
        </w:numPr>
        <w:spacing w:after="60"/>
      </w:pPr>
      <w:r>
        <w:t xml:space="preserve">Hosting deferral — confirm the testnet demo plus localhost backend is acceptable for the viva.</w:t>
      </w:r>
    </w:p>
    <w:p>
      <w:pPr>
        <w:pStyle w:val="ListParagraph"/>
        <w:numPr>
          <w:ilvl w:val="0"/>
          <w:numId w:val="2"/>
        </w:numPr>
        <w:spacing w:after="60"/>
      </w:pPr>
      <w:r>
        <w:t xml:space="preserve">Meeting notes — confirm acceptable backfill approach for meetings that occurred but were not formally recorded.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68"/>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A6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A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2026-04-26T13:53:41.892Z</dcterms:created>
  <dcterms:modified xsi:type="dcterms:W3CDTF">2026-04-26T13:53:41.892Z</dcterms:modified>
</cp:coreProperties>
</file>

<file path=docProps/custom.xml><?xml version="1.0" encoding="utf-8"?>
<Properties xmlns="http://schemas.openxmlformats.org/officeDocument/2006/custom-properties" xmlns:vt="http://schemas.openxmlformats.org/officeDocument/2006/docPropsVTypes"/>
</file>