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  <w:jc w:val="center"/>
      </w:pPr>
      <w:r>
        <w:rPr>
          <w:b/>
          <w:bCs/>
        </w:rPr>
        <w:t xml:space="preserve">Periodic Progress Meeting #4</w:t>
      </w:r>
    </w:p>
    <w:p>
      <w:pPr>
        <w:spacing w:after="240"/>
        <w:jc w:val="center"/>
      </w:pPr>
      <w:r>
        <w:rPr>
          <w:i/>
          <w:iCs/>
        </w:rPr>
        <w:t xml:space="preserve">Sprint 4 Closure, Brand-Portal Feedback, and Sprint 5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Student Name</w:t>
            </w:r>
          </w:p>
        </w:tc>
        <w:tc>
          <w:tcPr>
            <w:tcW w:type="dxa" w:w="6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Tatenda Marimo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P-Number</w:t>
            </w:r>
          </w:p>
        </w:tc>
        <w:tc>
          <w:tcPr>
            <w:tcW w:type="dxa" w:w="6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P2964932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6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SuiLoyalty: Blockchain-Powered Dynamic NFT Loyalty System with zkLogin Authentication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Supervisor</w:t>
            </w:r>
          </w:p>
        </w:tc>
        <w:tc>
          <w:tcPr>
            <w:tcW w:type="dxa" w:w="6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 Mohammad Al-Ibaisi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 of the Meeting</w:t>
            </w:r>
          </w:p>
        </w:tc>
        <w:tc>
          <w:tcPr>
            <w:tcW w:type="dxa" w:w="6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April 2026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 of next Meeting</w:t>
            </w:r>
          </w:p>
        </w:tc>
        <w:tc>
          <w:tcPr>
            <w:tcW w:type="dxa" w:w="6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</w:rPr>
        <w:t xml:space="preserve">Summary of Progress for Period (max 100 words)</w:t>
      </w:r>
    </w:p>
    <w:p>
      <w:pPr>
        <w:spacing w:after="120"/>
        <w:jc w:val="both"/>
      </w:pPr>
      <w:r>
        <w:t xml:space="preserve">Sprint 4 closed; the end-to-end blockchain flow was demonstrated live on Sui testnet. The backend orchestrates a Programmable Transaction Block that mints the LoyaltyAvatar, attaches a BrandNode, and awards points and global experience under AdminCap authorisation. Sixty-seven automated tests pass across the Move contracts and the TypeScript backend services. The Contract Alignment Audit was drafted, comparing delivery against the 11 March 2026 contract: every core deliverable is aligned, three architectural expansions are declared, and three documented shortfalls have concrete mitigation plans. The eleven-thousand-word final-report outline was drafted across eight chapters, each mapped explicitly to a module-rubric criterion.</w:t>
      </w:r>
    </w:p>
    <w:p>
      <w:pPr>
        <w:pStyle w:val="Heading2"/>
        <w:spacing w:after="100" w:before="240"/>
      </w:pPr>
      <w:r>
        <w:rPr>
          <w:b/>
          <w:bCs/>
        </w:rPr>
        <w:t xml:space="preserve">Problem Areas and Suggested Solutions (max 100 words)</w:t>
      </w:r>
    </w:p>
    <w:p>
      <w:pPr>
        <w:spacing w:after="120"/>
        <w:jc w:val="both"/>
      </w:pPr>
      <w:r>
        <w:t xml:space="preserve">Supervisor feedback identified operational gaps in the merchant-side experience that an MVP must address before submission: brand isolation in the merchant terminal, per-brand campaign reporting, and redemption visibility for fulfilment. Phygital exclusivity will be addressed in Critical Reflection rather than in code. The meeting-note count stands at four of the required ten by 22 May; cadence and possible backfill of past informal exchanges were agreed as ____________________. Apache 2.0 LICENSE file, formal Move test-coverage measurement, and a small documentation reconciliation between the deployment guide and the testnet-stable database design remain outstanding cleanup items, all under one day of combined work.</w:t>
      </w:r>
    </w:p>
    <w:p>
      <w:pPr>
        <w:pStyle w:val="Heading2"/>
        <w:spacing w:after="100" w:before="240"/>
      </w:pPr>
      <w:r>
        <w:rPr>
          <w:b/>
          <w:bCs/>
        </w:rPr>
        <w:t xml:space="preserve">Objectives, Deliverables &amp; Plan for Next Period (max 100 words)</w:t>
      </w:r>
    </w:p>
    <w:p>
      <w:pPr>
        <w:spacing w:after="120"/>
        <w:jc w:val="both"/>
      </w:pPr>
      <w:r>
        <w:t xml:space="preserve">Implement a brand-portal MVP: Tier 1 shared-secret brand authentication, brand-scoped query filters across the merchant API, CSV campaign-report export, and a pending-redemption surface for fulfilment. Capture evaluation data — thirty trial QR scans logging end-to-end latency and per-transaction gas cost — to feed Chapter 7. Draft Chapter 1 (Introduction) and Chapter 3 (Methodology) from existing contract and sprint-journal source material. Set up the Mendeley reference library and begin Chapter 2 literature review with verified DOI sources only. Run sui move test --coverage. Add the Apache 2.0 LICENSE file. Continue meeting cadence per agreed approach.</w:t>
      </w:r>
    </w:p>
    <w:p>
      <w:pPr>
        <w:pStyle w:val="Heading2"/>
        <w:spacing w:after="100" w:before="240"/>
      </w:pPr>
      <w:r>
        <w:rPr>
          <w:b/>
          <w:bCs/>
        </w:rPr>
        <w:t xml:space="preserve">Comments (if any, max 200 words)</w:t>
      </w:r>
    </w:p>
    <w:p>
      <w:pPr>
        <w:spacing w:after="120"/>
        <w:jc w:val="both"/>
      </w:pPr>
      <w:r>
        <w:t xml:space="preserve">Supervisor feedback on the merchant terminal was substantive and welcomed: the brand page should look professional rather than like a student demo; brands must not share a single portal where they can see one another's campaigns; brands must be able to generate a campaign report; and redemption events must surface to the brand so fulfilment can occur. Each concern is being addressed in the Sprint-5 brand-portal MVP described above, with the more elaborate elements (full brand authentication, real-time analytics, and complete fulfilment workflow) declared in the report as future work. The supervisor also asked whether brands are restricted to phygital distribution; this will be addressed in the Critical Reflection chapter by noting that the UUID-token model is channel-agnostic and supports email, in-app, and printed-receipt distribution as natural extensions, even though the current implementation produces only printable PNG QR codes. The three architectural expansions in the audit were acknowledged as engineering judgement.</w:t>
      </w:r>
    </w:p>
    <w:p>
      <w:pPr>
        <w:spacing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Student Signature:</w:t>
            </w:r>
          </w:p>
          <w:p>
            <w:r>
              <w:t xml:space="preserve">Tatenda Marimo</w:t>
            </w:r>
          </w:p>
          <w:p>
            <w:r>
              <w:t xml:space="preserve">Date: 30/04/2026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Supervisor Signature:</w:t>
            </w:r>
          </w:p>
          <w:p>
            <w:r>
              <w:t xml:space="preserve">Dr Mohammad Al-Ibaisi</w:t>
            </w:r>
          </w:p>
          <w:p>
            <w:r>
              <w:t xml:space="preserve">Date: ____________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2026-04-30T19:44:43.533Z</dcterms:created>
  <dcterms:modified xsi:type="dcterms:W3CDTF">2026-04-30T19:44:43.534Z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