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Playwright: page.evaluate() vs locator.evaluate()</w:t>
      </w:r>
    </w:p>
    <w:p>
      <w:r>
        <w:t>TypeScript | Practical examples and interview-ready notes</w:t>
      </w:r>
    </w:p>
    <w:p>
      <w:pPr>
        <w:pStyle w:val="Heading1"/>
      </w:pPr>
      <w:r>
        <w:t>1. What is evaluate()?</w:t>
      </w:r>
    </w:p>
    <w:p>
      <w:r>
        <w:t>Both methods execute JavaScript in the browser context, not in the Node.js test environment. The result can be returned to your Playwright test.</w:t>
      </w:r>
    </w:p>
    <w:p>
      <w:r>
        <w:t>page.evaluate(): executes JavaScript in the page and can access window and document. locator.evaluate(): resolves one matching DOM element and passes it as the first callback argument.</w:t>
      </w:r>
    </w:p>
    <w:p>
      <w:pPr>
        <w:pStyle w:val="Heading1"/>
      </w:pPr>
      <w:r>
        <w:t>2. page.evaluate() — page-level example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605"/>
            <w:shd w:fill="F3F5F7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import { test } from '@playwright/test';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test('read page title', async ({ page }) =&gt; {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 xml:space="preserve">  await page.goto('https://example.com');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 xml:space="preserve">  const title = await page.evaluate(() =&gt; document.title);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 xml:space="preserve">  console.log(title); // Example Domain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});</w:t>
            </w:r>
          </w:p>
        </w:tc>
      </w:tr>
    </w:tbl>
    <w:p>
      <w:pPr>
        <w:spacing w:after="0"/>
      </w:pPr>
    </w:p>
    <w:p>
      <w:r>
        <w:t>Explanation: document.title runs inside the browser page; the returned string is available in the test.</w:t>
      </w:r>
    </w:p>
    <w:p>
      <w:pPr>
        <w:pStyle w:val="Heading1"/>
      </w:pPr>
      <w:r>
        <w:t>3. locator.evaluate() — element-level example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605"/>
            <w:shd w:fill="F3F5F7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test('read heading text', async ({ page }) =&gt; {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 xml:space="preserve">  await page.goto('https://example.com');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 xml:space="preserve">  const headingText = await page.locator('h1').evaluate(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 xml:space="preserve">    element =&gt; element.textContent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 xml:space="preserve">  );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 xml:space="preserve">  console.log(headingText); // Example Domain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});</w:t>
            </w:r>
          </w:p>
        </w:tc>
      </w:tr>
    </w:tbl>
    <w:p>
      <w:pPr>
        <w:spacing w:after="0"/>
      </w:pPr>
    </w:p>
    <w:p>
      <w:r>
        <w:t>Explanation: Playwright finds h1 and passes the DOM element to the callback as element. locator.evaluate() waits for the locator to resolve, but it does not perform click/fill actionability checks.</w:t>
      </w:r>
    </w:p>
    <w:p>
      <w:pPr>
        <w:pStyle w:val="Heading1"/>
      </w:pPr>
      <w:r>
        <w:t>4. Key differences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</w:tcPr>
          <w:p>
            <w:r>
              <w:t>Feature</w:t>
            </w:r>
          </w:p>
        </w:tc>
        <w:tc>
          <w:tcPr>
            <w:tcW w:type="dxa" w:w="3202"/>
          </w:tcPr>
          <w:p>
            <w:r>
              <w:t>page.evaluate()</w:t>
            </w:r>
          </w:p>
        </w:tc>
        <w:tc>
          <w:tcPr>
            <w:tcW w:type="dxa" w:w="3202"/>
          </w:tcPr>
          <w:p>
            <w:r>
              <w:t>locator.evaluate()</w:t>
            </w:r>
          </w:p>
        </w:tc>
      </w:tr>
      <w:tr>
        <w:tc>
          <w:tcPr>
            <w:tcW w:type="dxa" w:w="3202"/>
          </w:tcPr>
          <w:p>
            <w:r>
              <w:t>Scope</w:t>
            </w:r>
          </w:p>
        </w:tc>
        <w:tc>
          <w:tcPr>
            <w:tcW w:type="dxa" w:w="3202"/>
          </w:tcPr>
          <w:p>
            <w:r>
              <w:t>Whole page JavaScript context</w:t>
            </w:r>
          </w:p>
        </w:tc>
        <w:tc>
          <w:tcPr>
            <w:tcW w:type="dxa" w:w="3202"/>
          </w:tcPr>
          <w:p>
            <w:r>
              <w:t>One matched DOM element</w:t>
            </w:r>
          </w:p>
        </w:tc>
      </w:tr>
      <w:tr>
        <w:tc>
          <w:tcPr>
            <w:tcW w:type="dxa" w:w="3202"/>
          </w:tcPr>
          <w:p>
            <w:r>
              <w:t>Element selection</w:t>
            </w:r>
          </w:p>
        </w:tc>
        <w:tc>
          <w:tcPr>
            <w:tcW w:type="dxa" w:w="3202"/>
          </w:tcPr>
          <w:p>
            <w:r>
              <w:t>Use document.querySelector() yourself</w:t>
            </w:r>
          </w:p>
        </w:tc>
        <w:tc>
          <w:tcPr>
            <w:tcW w:type="dxa" w:w="3202"/>
          </w:tcPr>
          <w:p>
            <w:r>
              <w:t>Locator resolves the element</w:t>
            </w:r>
          </w:p>
        </w:tc>
      </w:tr>
      <w:tr>
        <w:tc>
          <w:tcPr>
            <w:tcW w:type="dxa" w:w="3202"/>
          </w:tcPr>
          <w:p>
            <w:r>
              <w:t>Waiting</w:t>
            </w:r>
          </w:p>
        </w:tc>
        <w:tc>
          <w:tcPr>
            <w:tcW w:type="dxa" w:w="3202"/>
          </w:tcPr>
          <w:p>
            <w:r>
              <w:t>No automatic wait for target element</w:t>
            </w:r>
          </w:p>
        </w:tc>
        <w:tc>
          <w:tcPr>
            <w:tcW w:type="dxa" w:w="3202"/>
          </w:tcPr>
          <w:p>
            <w:r>
              <w:t>Waits for a matching element</w:t>
            </w:r>
          </w:p>
        </w:tc>
      </w:tr>
      <w:tr>
        <w:tc>
          <w:tcPr>
            <w:tcW w:type="dxa" w:w="3202"/>
          </w:tcPr>
          <w:p>
            <w:r>
              <w:t>Typical use</w:t>
            </w:r>
          </w:p>
        </w:tc>
        <w:tc>
          <w:tcPr>
            <w:tcW w:type="dxa" w:w="3202"/>
          </w:tcPr>
          <w:p>
            <w:r>
              <w:t>Read title, scroll, browser state</w:t>
            </w:r>
          </w:p>
        </w:tc>
        <w:tc>
          <w:tcPr>
            <w:tcW w:type="dxa" w:w="3202"/>
          </w:tcPr>
          <w:p>
            <w:r>
              <w:t>Read styles, attributes, properties</w:t>
            </w:r>
          </w:p>
        </w:tc>
      </w:tr>
    </w:tbl>
    <w:p>
      <w:pPr>
        <w:pStyle w:val="Heading1"/>
      </w:pPr>
      <w:r>
        <w:t>5. Practical SDET examples</w:t>
      </w:r>
    </w:p>
    <w:p>
      <w:r>
        <w:t>A. Scroll to bottom of page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605"/>
            <w:shd w:fill="F3F5F7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await page.evaluate(() =&gt; {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 xml:space="preserve">  window.scrollTo(0, document.body.scrollHeight);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});</w:t>
            </w:r>
          </w:p>
        </w:tc>
      </w:tr>
    </w:tbl>
    <w:p>
      <w:pPr>
        <w:spacing w:after="0"/>
      </w:pPr>
    </w:p>
    <w:p>
      <w:r>
        <w:t>B. Read the computed background color of a button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605"/>
            <w:shd w:fill="F3F5F7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const color = await page.locator('#login').evaluate(element =&gt; {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 xml:space="preserve">  return getComputedStyle(element).backgroundColor;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});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console.log(color);</w:t>
            </w:r>
          </w:p>
        </w:tc>
      </w:tr>
    </w:tbl>
    <w:p>
      <w:pPr>
        <w:spacing w:after="0"/>
      </w:pPr>
    </w:p>
    <w:p>
      <w:r>
        <w:t>C. Read an input field value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605"/>
            <w:shd w:fill="F3F5F7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const value = await page.locator('#username').evaluate(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 xml:space="preserve">  (element: HTMLInputElement) =&gt; element.value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);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console.log(value);</w:t>
            </w:r>
          </w:p>
        </w:tc>
      </w:tr>
    </w:tbl>
    <w:p>
      <w:pPr>
        <w:spacing w:after="0"/>
      </w:pPr>
    </w:p>
    <w:p>
      <w:r>
        <w:t>D. Pass a test variable into browser JavaScript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605"/>
            <w:shd w:fill="F3F5F7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const username = 'Suraj';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const message = await page.evaluate(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 xml:space="preserve">  name =&gt; `Welcome ${name}`, username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);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console.log(message); // Welcome Suraj</w:t>
            </w:r>
          </w:p>
        </w:tc>
      </w:tr>
    </w:tbl>
    <w:p>
      <w:pPr>
        <w:spacing w:after="0"/>
      </w:pPr>
    </w:p>
    <w:p>
      <w:pPr>
        <w:pStyle w:val="Heading1"/>
      </w:pPr>
      <w:r>
        <w:t>6. Preferred Playwright approach</w:t>
      </w:r>
    </w:p>
    <w:p>
      <w:r>
        <w:t>For routine UI automation, use built-in locator methods because they offer Playwright waiting, actions and assertions.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605"/>
            <w:shd w:fill="F3F5F7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await page.locator('#username').fill('admin');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await page.locator('#login').click();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const heading = await page.locator('h1').textContent();</w:t>
            </w:r>
          </w:p>
        </w:tc>
      </w:tr>
    </w:tbl>
    <w:p>
      <w:pPr>
        <w:spacing w:after="0"/>
      </w:pPr>
    </w:p>
    <w:p>
      <w:r>
        <w:t>Important: Do not use evaluate() to bypass normal user interactions unless you specifically need browser-side JavaScript. Callback variables from your Node.js test are not automatically available inside the browser; pass them as an argument.</w:t>
      </w:r>
    </w:p>
    <w:p>
      <w:pPr>
        <w:pStyle w:val="Heading1"/>
      </w:pPr>
      <w:r>
        <w:t>7. Interview answer</w:t>
      </w:r>
    </w:p>
    <w:p>
      <w:r>
        <w:t>“page.evaluate() executes JavaScript in the browser page context. locator.evaluate() also runs browser JavaScript, but automatically passes the matched DOM element to its callback. I use these methods for reading custom DOM properties, styles, page state and scrolling, while preferring standard Playwright locator actions for regular automation.”</w:t>
      </w:r>
    </w:p>
    <w:p>
      <w:r>
        <w:t>Reference: https://playwright.dev/docs/api/class-page#page-evaluate  |  https://playwright.dev/docs/api/class-locator#locator-evaluate</w:t>
      </w:r>
    </w:p>
    <w:sectPr w:rsidR="00FC693F" w:rsidRPr="0006063C" w:rsidSect="00034616">
      <w:footerReference w:type="default" r:id="rId9"/>
      <w:pgSz w:w="11909" w:h="16834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Playwright TypeScript  •  A4 Printable Interview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754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754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