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Execute UI and API Tests Separately</w:t>
      </w:r>
    </w:p>
    <w:p>
      <w:pPr>
        <w:pStyle w:val="Subtitle"/>
      </w:pPr>
      <w:r>
        <w:t>Playwright + TypeScript  |  Interview-ready quick reference</w:t>
      </w:r>
    </w:p>
    <w:p>
      <w:pPr>
        <w:pStyle w:val="Heading1"/>
      </w:pPr>
      <w:r>
        <w:t>1. Recommended folder structure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>OpenCartAutomationFramework/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config/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.env.qa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.env.dev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.env.stage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tests/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ui/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  Login.spec.ts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  Register.spec.ts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api/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  GetUsers.spec.ts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  CreateUser.spec.ts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playwright.config.ts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package.json</w:t>
      </w:r>
    </w:p>
    <w:p>
      <w:pPr>
        <w:pStyle w:val="Heading1"/>
      </w:pPr>
      <w:r>
        <w:t>2. Option A: Execute using folder paths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t>Execution</w:t>
            </w:r>
          </w:p>
        </w:tc>
        <w:tc>
          <w:tcPr>
            <w:tcW w:type="dxa" w:w="4802"/>
          </w:tcPr>
          <w:p>
            <w:r>
              <w:t>Command</w:t>
            </w:r>
          </w:p>
        </w:tc>
      </w:tr>
      <w:tr>
        <w:tc>
          <w:tcPr>
            <w:tcW w:type="dxa" w:w="4802"/>
          </w:tcPr>
          <w:p>
            <w:r>
              <w:t>Only UI tests</w:t>
            </w:r>
          </w:p>
        </w:tc>
        <w:tc>
          <w:tcPr>
            <w:tcW w:type="dxa" w:w="4802"/>
          </w:tcPr>
          <w:p>
            <w:r>
              <w:t>npx playwright test tests/ui</w:t>
            </w:r>
          </w:p>
        </w:tc>
      </w:tr>
      <w:tr>
        <w:tc>
          <w:tcPr>
            <w:tcW w:type="dxa" w:w="4802"/>
          </w:tcPr>
          <w:p>
            <w:r>
              <w:t>Only API tests</w:t>
            </w:r>
          </w:p>
        </w:tc>
        <w:tc>
          <w:tcPr>
            <w:tcW w:type="dxa" w:w="4802"/>
          </w:tcPr>
          <w:p>
            <w:r>
              <w:t>npx playwright test tests/api</w:t>
            </w:r>
          </w:p>
        </w:tc>
      </w:tr>
      <w:tr>
        <w:tc>
          <w:tcPr>
            <w:tcW w:type="dxa" w:w="4802"/>
          </w:tcPr>
          <w:p>
            <w:r>
              <w:t>Both UI and API tests</w:t>
            </w:r>
          </w:p>
        </w:tc>
        <w:tc>
          <w:tcPr>
            <w:tcW w:type="dxa" w:w="4802"/>
          </w:tcPr>
          <w:p>
            <w:r>
              <w:t>npx playwright test</w:t>
            </w:r>
          </w:p>
        </w:tc>
      </w:tr>
      <w:tr>
        <w:tc>
          <w:tcPr>
            <w:tcW w:type="dxa" w:w="4802"/>
          </w:tcPr>
          <w:p>
            <w:r>
              <w:t>One UI test</w:t>
            </w:r>
          </w:p>
        </w:tc>
        <w:tc>
          <w:tcPr>
            <w:tcW w:type="dxa" w:w="4802"/>
          </w:tcPr>
          <w:p>
            <w:r>
              <w:t>npx playwright test tests/ui/Login.spec.ts</w:t>
            </w:r>
          </w:p>
        </w:tc>
      </w:tr>
      <w:tr>
        <w:tc>
          <w:tcPr>
            <w:tcW w:type="dxa" w:w="4802"/>
          </w:tcPr>
          <w:p>
            <w:r>
              <w:t>One API test</w:t>
            </w:r>
          </w:p>
        </w:tc>
        <w:tc>
          <w:tcPr>
            <w:tcW w:type="dxa" w:w="4802"/>
          </w:tcPr>
          <w:p>
            <w:r>
              <w:t>npx playwright test tests/api/GetUsers.spec.ts</w:t>
            </w:r>
          </w:p>
        </w:tc>
      </w:tr>
    </w:tbl>
    <w:p>
      <w:pPr>
        <w:pStyle w:val="Heading1"/>
        <w:pageBreakBefore/>
      </w:pPr>
      <w:r>
        <w:t>3. Option B: Configure separate Playwright projects</w:t>
      </w:r>
    </w:p>
    <w:p>
      <w:r>
        <w:t>In playwright.config.ts, configure one project for UI and one for API: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>import { defineConfig, devices } from '@playwright/test';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>import dotenv from 'dotenv';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>const ENV = process.env.ENV || 'qa';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>dotenv.config({ path: `config/.env.${ENV}` });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>export default defineConfig({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testDir: './tests',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projects: [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{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  name: 'UI',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  testMatch: /ui\/.*\.spec\.ts/,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  use: { ...devices['Desktop Chrome'], baseURL: process.env.BASE_URL }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},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{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  name: 'API',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  testMatch: /api\/.*\.spec\.ts/,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  use: { baseURL: process.env.API_BASE_URL }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  }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 xml:space="preserve">  ]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>});</w:t>
      </w:r>
    </w:p>
    <w:p>
      <w:r>
        <w:t>Run by project: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>npx playwright test --project=UI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>npx playwright test --project=API</w:t>
      </w:r>
    </w:p>
    <w:p>
      <w:pPr>
        <w:spacing w:after="0"/>
        <w:ind w:left="259"/>
      </w:pPr>
      <w:r>
        <w:rPr>
          <w:rFonts w:ascii="Consolas" w:hAnsi="Consolas"/>
          <w:color w:val="26303A"/>
          <w:sz w:val="17"/>
        </w:rPr>
        <w:t>npx playwright test</w:t>
      </w:r>
    </w:p>
    <w:p>
      <w:r>
        <w:t>Note: API tests using the built-in request fixture do not need to open a browser. If you use a custom ApiHelper, it can read process.env.API_BASE_URL from your API fixture.</w:t>
      </w:r>
    </w:p>
    <w:p>
      <w:pPr>
        <w:pStyle w:val="Heading1"/>
      </w:pPr>
      <w:r>
        <w:t>4. Interview answer (simple English)</w:t>
      </w:r>
    </w:p>
    <w:p>
      <w:r>
        <w:t>“In my Playwright TypeScript framework, I keep UI and API test cases in separate folders. I configure separate UI and API projects in playwright.config.ts. To run only UI tests, I use npx playwright test --project=UI. To run only API tests, I use npx playwright test --project=API. Running npx playwright test executes both projects.”</w:t>
      </w:r>
    </w:p>
    <w:p>
      <w:r>
        <w:t>Key point: Folder-based execution is simplest. Project-based execution gives better control for CI/CD, environments, and test settings.</w:t>
      </w:r>
    </w:p>
    <w:sectPr w:rsidR="00FC693F" w:rsidRPr="0006063C" w:rsidSect="00034616">
      <w:footerReference w:type="default" r:id="rId9"/>
      <w:pgSz w:w="11909" w:h="16834"/>
      <w:pgMar w:top="979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Playwright TypeScript • UI/API Execution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A5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A5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