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before="2000" w:lineRule="auto"/>
        <w:rPr/>
      </w:pPr>
      <w:r w:rsidDel="00000000" w:rsidR="00000000" w:rsidRPr="00000000">
        <w:rPr>
          <w:rtl w:val="0"/>
        </w:rPr>
      </w:r>
    </w:p>
    <w:p w:rsidR="00000000" w:rsidDel="00000000" w:rsidP="00000000" w:rsidRDefault="00000000" w:rsidRPr="00000000" w14:paraId="00000002">
      <w:pPr>
        <w:spacing w:after="200" w:lineRule="auto"/>
        <w:jc w:val="center"/>
        <w:rPr/>
      </w:pPr>
      <w:r w:rsidDel="00000000" w:rsidR="00000000" w:rsidRPr="00000000">
        <w:rPr>
          <w:rFonts w:ascii="Calibri" w:cs="Calibri" w:eastAsia="Calibri" w:hAnsi="Calibri"/>
          <w:b w:val="1"/>
          <w:bCs w:val="1"/>
          <w:color w:val="d9822b"/>
          <w:sz w:val="26"/>
          <w:szCs w:val="26"/>
          <w:rtl w:val="0"/>
        </w:rPr>
        <w:t xml:space="preserve">MAVEN ELECTRONICS</w:t>
      </w:r>
      <w:r w:rsidDel="00000000" w:rsidR="00000000" w:rsidRPr="00000000">
        <w:rPr>
          <w:rtl w:val="0"/>
        </w:rPr>
      </w:r>
    </w:p>
    <w:p w:rsidR="00000000" w:rsidDel="00000000" w:rsidP="00000000" w:rsidRDefault="00000000" w:rsidRPr="00000000" w14:paraId="00000003">
      <w:pPr>
        <w:spacing w:after="400" w:lineRule="auto"/>
        <w:jc w:val="center"/>
        <w:rPr/>
      </w:pPr>
      <w:r w:rsidDel="00000000" w:rsidR="00000000" w:rsidRPr="00000000">
        <w:rPr>
          <w:rFonts w:ascii="Calibri" w:cs="Calibri" w:eastAsia="Calibri" w:hAnsi="Calibri"/>
          <w:b w:val="1"/>
          <w:bCs w:val="1"/>
          <w:color w:val="1f3864"/>
          <w:sz w:val="56"/>
          <w:szCs w:val="56"/>
          <w:rtl w:val="0"/>
        </w:rPr>
        <w:t xml:space="preserve">Global Electronics Retailer</w:t>
      </w:r>
      <w:r w:rsidDel="00000000" w:rsidR="00000000" w:rsidRPr="00000000">
        <w:rPr>
          <w:rtl w:val="0"/>
        </w:rPr>
      </w:r>
    </w:p>
    <w:p w:rsidR="00000000" w:rsidDel="00000000" w:rsidP="00000000" w:rsidRDefault="00000000" w:rsidRPr="00000000" w14:paraId="00000004">
      <w:pPr>
        <w:spacing w:after="1600" w:lineRule="auto"/>
        <w:jc w:val="center"/>
        <w:rPr/>
      </w:pPr>
      <w:r w:rsidDel="00000000" w:rsidR="00000000" w:rsidRPr="00000000">
        <w:rPr>
          <w:rFonts w:ascii="Calibri" w:cs="Calibri" w:eastAsia="Calibri" w:hAnsi="Calibri"/>
          <w:color w:val="595959"/>
          <w:sz w:val="28"/>
          <w:szCs w:val="28"/>
          <w:rtl w:val="0"/>
        </w:rPr>
        <w:t xml:space="preserve">Sales Performance Analysis &amp; Revenue Decline Investigation</w:t>
      </w:r>
      <w:r w:rsidDel="00000000" w:rsidR="00000000" w:rsidRPr="00000000">
        <w:rPr>
          <w:rtl w:val="0"/>
        </w:rPr>
      </w:r>
    </w:p>
    <w:p w:rsidR="00000000" w:rsidDel="00000000" w:rsidP="00000000" w:rsidRDefault="00000000" w:rsidRPr="00000000" w14:paraId="00000005">
      <w:pPr>
        <w:pBdr>
          <w:top w:color="d9822b" w:space="10" w:sz="12" w:val="single"/>
        </w:pBdr>
        <w:spacing w:after="80" w:lineRule="auto"/>
        <w:jc w:val="center"/>
        <w:rPr/>
      </w:pPr>
      <w:r w:rsidDel="00000000" w:rsidR="00000000" w:rsidRPr="00000000">
        <w:rPr>
          <w:rtl w:val="0"/>
        </w:rPr>
      </w:r>
    </w:p>
    <w:p w:rsidR="00000000" w:rsidDel="00000000" w:rsidP="00000000" w:rsidRDefault="00000000" w:rsidRPr="00000000" w14:paraId="00000006">
      <w:pPr>
        <w:spacing w:after="40" w:lineRule="auto"/>
        <w:jc w:val="center"/>
        <w:rPr/>
      </w:pPr>
      <w:r w:rsidDel="00000000" w:rsidR="00000000" w:rsidRPr="00000000">
        <w:rPr>
          <w:rFonts w:ascii="Calibri" w:cs="Calibri" w:eastAsia="Calibri" w:hAnsi="Calibri"/>
          <w:color w:val="595959"/>
          <w:sz w:val="21"/>
          <w:szCs w:val="21"/>
          <w:rtl w:val="0"/>
        </w:rPr>
        <w:t xml:space="preserve">Prepared for Company Management</w:t>
      </w:r>
      <w:r w:rsidDel="00000000" w:rsidR="00000000" w:rsidRPr="00000000">
        <w:rPr>
          <w:rtl w:val="0"/>
        </w:rPr>
      </w:r>
    </w:p>
    <w:p w:rsidR="00000000" w:rsidDel="00000000" w:rsidP="00000000" w:rsidRDefault="00000000" w:rsidRPr="00000000" w14:paraId="00000007">
      <w:pPr>
        <w:jc w:val="center"/>
        <w:rPr/>
      </w:pPr>
      <w:r w:rsidDel="00000000" w:rsidR="00000000" w:rsidRPr="00000000">
        <w:rPr>
          <w:rFonts w:ascii="Calibri" w:cs="Calibri" w:eastAsia="Calibri" w:hAnsi="Calibri"/>
          <w:color w:val="595959"/>
          <w:sz w:val="21"/>
          <w:szCs w:val="21"/>
          <w:rtl w:val="0"/>
        </w:rPr>
        <w:t xml:space="preserve">Data Analysis Report  |  September 2026</w:t>
      </w:r>
      <w:r w:rsidDel="00000000" w:rsidR="00000000" w:rsidRPr="00000000">
        <w:rPr>
          <w:rtl w:val="0"/>
        </w:rPr>
      </w:r>
    </w:p>
    <w:p w:rsidR="00000000" w:rsidDel="00000000" w:rsidP="00000000" w:rsidRDefault="00000000" w:rsidRPr="00000000" w14:paraId="00000008">
      <w:pPr>
        <w:rPr/>
        <w:sectPr>
          <w:pgSz w:h="15840" w:w="12240" w:orient="portrait"/>
          <w:pgMar w:bottom="1440" w:top="1440" w:left="1440" w:right="1440" w:header="708" w:footer="708"/>
          <w:pgNumType w:start="1"/>
        </w:sectPr>
      </w:pPr>
      <w:r w:rsidDel="00000000" w:rsidR="00000000" w:rsidRPr="00000000">
        <w:br w:type="page"/>
      </w:r>
      <w:r w:rsidDel="00000000" w:rsidR="00000000" w:rsidRPr="00000000">
        <w:rPr>
          <w:rtl w:val="0"/>
        </w:rPr>
      </w:r>
    </w:p>
    <w:p w:rsidR="00000000" w:rsidDel="00000000" w:rsidP="00000000" w:rsidRDefault="00000000" w:rsidRPr="00000000" w14:paraId="00000009">
      <w:pPr>
        <w:pStyle w:val="Heading1"/>
        <w:pBdr>
          <w:bottom w:color="1f3864" w:space="4" w:sz="6" w:val="single"/>
        </w:pBdr>
        <w:spacing w:after="200" w:before="400" w:lineRule="auto"/>
        <w:rPr/>
      </w:pPr>
      <w:r w:rsidDel="00000000" w:rsidR="00000000" w:rsidRPr="00000000">
        <w:rPr>
          <w:rFonts w:ascii="Calibri" w:cs="Calibri" w:eastAsia="Calibri" w:hAnsi="Calibri"/>
          <w:b w:val="1"/>
          <w:bCs w:val="1"/>
          <w:color w:val="1f3864"/>
          <w:sz w:val="30"/>
          <w:szCs w:val="30"/>
          <w:rtl w:val="0"/>
        </w:rPr>
        <w:t xml:space="preserve">Executive Summary</w:t>
      </w:r>
      <w:r w:rsidDel="00000000" w:rsidR="00000000" w:rsidRPr="00000000">
        <w:rPr>
          <w:rtl w:val="0"/>
        </w:rPr>
      </w:r>
    </w:p>
    <w:p w:rsidR="00000000" w:rsidDel="00000000" w:rsidP="00000000" w:rsidRDefault="00000000" w:rsidRPr="00000000" w14:paraId="0000000A">
      <w:pPr>
        <w:spacing w:after="160" w:line="276" w:lineRule="auto"/>
        <w:rPr/>
      </w:pPr>
      <w:r w:rsidDel="00000000" w:rsidR="00000000" w:rsidRPr="00000000">
        <w:rPr>
          <w:rFonts w:ascii="Calibri" w:cs="Calibri" w:eastAsia="Calibri" w:hAnsi="Calibri"/>
          <w:sz w:val="21"/>
          <w:szCs w:val="21"/>
          <w:rtl w:val="0"/>
        </w:rPr>
        <w:t xml:space="preserve">Maven Electronics sells computers, cell phones, TVs, cameras, home appliances, audio equipment, and games/toys across both online and offline (in-store) channels, serving customers across North America, Europe, and Australia. This report profiles the company's 2016–2021 transaction data, answers management's core exploratory questions, and investigates the sharp revenue decline between 2019 and 2020.</w:t>
      </w:r>
      <w:r w:rsidDel="00000000" w:rsidR="00000000" w:rsidRPr="00000000">
        <w:rPr>
          <w:rtl w:val="0"/>
        </w:rPr>
      </w:r>
    </w:p>
    <w:p w:rsidR="00000000" w:rsidDel="00000000" w:rsidP="00000000" w:rsidRDefault="00000000" w:rsidRPr="00000000" w14:paraId="0000000B">
      <w:pPr>
        <w:spacing w:after="160" w:line="276" w:lineRule="auto"/>
        <w:rPr/>
      </w:pPr>
      <w:r w:rsidDel="00000000" w:rsidR="00000000" w:rsidRPr="00000000">
        <w:rPr>
          <w:rFonts w:ascii="Calibri" w:cs="Calibri" w:eastAsia="Calibri" w:hAnsi="Calibri"/>
          <w:b w:val="0"/>
          <w:bCs w:val="0"/>
          <w:sz w:val="21"/>
          <w:szCs w:val="21"/>
          <w:rtl w:val="0"/>
        </w:rPr>
        <w:t xml:space="preserve">The headline finding: total revenue fell from $16.4M in 2019 to $8.4M in 2020, a 49% decline. The drop is a broad-based volume collapse — not a pricing or product problem — concentrated almost entirely in March 2020 onward, consistent with the onset of COVID-19 disruptions. It affected every category, every major market, and both online and offline channels roughly equally.</w:t>
      </w:r>
      <w:r w:rsidDel="00000000" w:rsidR="00000000" w:rsidRPr="00000000">
        <w:rPr>
          <w:rtl w:val="0"/>
        </w:rPr>
      </w:r>
    </w:p>
    <w:tbl>
      <w:tblPr>
        <w:tblStyle w:val="Table1"/>
        <w:tblW w:w="93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3100"/>
        <w:gridCol w:w="3100"/>
        <w:gridCol w:w="3100"/>
        <w:tblGridChange w:id="0">
          <w:tblGrid>
            <w:gridCol w:w="3100"/>
            <w:gridCol w:w="3100"/>
            <w:gridCol w:w="3100"/>
          </w:tblGrid>
        </w:tblGridChange>
      </w:tblGrid>
      <w:tr>
        <w:trPr>
          <w:cantSplit w:val="0"/>
          <w:tblHeader w:val="0"/>
        </w:trPr>
        <w:tc>
          <w:tcPr>
            <w:shd w:fill="f2f2f2" w:val="clear"/>
            <w:tcMar>
              <w:top w:w="200.0" w:type="dxa"/>
              <w:left w:w="150.0" w:type="dxa"/>
              <w:bottom w:w="200.0" w:type="dxa"/>
              <w:right w:w="150.0" w:type="dxa"/>
            </w:tcMar>
          </w:tcPr>
          <w:p w:rsidR="00000000" w:rsidDel="00000000" w:rsidP="00000000" w:rsidRDefault="00000000" w:rsidRPr="00000000" w14:paraId="0000000C">
            <w:pPr>
              <w:spacing w:after="60" w:lineRule="auto"/>
              <w:jc w:val="center"/>
              <w:rPr/>
            </w:pPr>
            <w:r w:rsidDel="00000000" w:rsidR="00000000" w:rsidRPr="00000000">
              <w:rPr>
                <w:rFonts w:ascii="Calibri" w:cs="Calibri" w:eastAsia="Calibri" w:hAnsi="Calibri"/>
                <w:b w:val="1"/>
                <w:bCs w:val="1"/>
                <w:color w:val="c0392b"/>
                <w:sz w:val="34"/>
                <w:szCs w:val="34"/>
                <w:rtl w:val="0"/>
              </w:rPr>
              <w:t xml:space="preserve">-49%</w:t>
            </w:r>
            <w:r w:rsidDel="00000000" w:rsidR="00000000" w:rsidRPr="00000000">
              <w:rPr>
                <w:rtl w:val="0"/>
              </w:rPr>
            </w:r>
          </w:p>
          <w:p w:rsidR="00000000" w:rsidDel="00000000" w:rsidP="00000000" w:rsidRDefault="00000000" w:rsidRPr="00000000" w14:paraId="0000000D">
            <w:pPr>
              <w:jc w:val="center"/>
              <w:rPr/>
            </w:pPr>
            <w:r w:rsidDel="00000000" w:rsidR="00000000" w:rsidRPr="00000000">
              <w:rPr>
                <w:rFonts w:ascii="Calibri" w:cs="Calibri" w:eastAsia="Calibri" w:hAnsi="Calibri"/>
                <w:color w:val="595959"/>
                <w:sz w:val="18"/>
                <w:szCs w:val="18"/>
                <w:rtl w:val="0"/>
              </w:rPr>
              <w:t xml:space="preserve">Revenue, 2019 → 2020</w:t>
            </w:r>
            <w:r w:rsidDel="00000000" w:rsidR="00000000" w:rsidRPr="00000000">
              <w:rPr>
                <w:rtl w:val="0"/>
              </w:rPr>
            </w:r>
          </w:p>
        </w:tc>
        <w:tc>
          <w:tcPr>
            <w:shd w:fill="f2f2f2" w:val="clear"/>
            <w:tcMar>
              <w:top w:w="200.0" w:type="dxa"/>
              <w:left w:w="150.0" w:type="dxa"/>
              <w:bottom w:w="200.0" w:type="dxa"/>
              <w:right w:w="150.0" w:type="dxa"/>
            </w:tcMar>
          </w:tcPr>
          <w:p w:rsidR="00000000" w:rsidDel="00000000" w:rsidP="00000000" w:rsidRDefault="00000000" w:rsidRPr="00000000" w14:paraId="0000000E">
            <w:pPr>
              <w:spacing w:after="60" w:lineRule="auto"/>
              <w:jc w:val="center"/>
              <w:rPr/>
            </w:pPr>
            <w:r w:rsidDel="00000000" w:rsidR="00000000" w:rsidRPr="00000000">
              <w:rPr>
                <w:rFonts w:ascii="Calibri" w:cs="Calibri" w:eastAsia="Calibri" w:hAnsi="Calibri"/>
                <w:b w:val="1"/>
                <w:bCs w:val="1"/>
                <w:color w:val="c0392b"/>
                <w:sz w:val="34"/>
                <w:szCs w:val="34"/>
                <w:rtl w:val="0"/>
              </w:rPr>
              <w:t xml:space="preserve">-49%</w:t>
            </w:r>
            <w:r w:rsidDel="00000000" w:rsidR="00000000" w:rsidRPr="00000000">
              <w:rPr>
                <w:rtl w:val="0"/>
              </w:rPr>
            </w:r>
          </w:p>
          <w:p w:rsidR="00000000" w:rsidDel="00000000" w:rsidP="00000000" w:rsidRDefault="00000000" w:rsidRPr="00000000" w14:paraId="0000000F">
            <w:pPr>
              <w:jc w:val="center"/>
              <w:rPr/>
            </w:pPr>
            <w:r w:rsidDel="00000000" w:rsidR="00000000" w:rsidRPr="00000000">
              <w:rPr>
                <w:rFonts w:ascii="Calibri" w:cs="Calibri" w:eastAsia="Calibri" w:hAnsi="Calibri"/>
                <w:color w:val="595959"/>
                <w:sz w:val="18"/>
                <w:szCs w:val="18"/>
                <w:rtl w:val="0"/>
              </w:rPr>
              <w:t xml:space="preserve">Orders, 2019 → 2020</w:t>
            </w:r>
            <w:r w:rsidDel="00000000" w:rsidR="00000000" w:rsidRPr="00000000">
              <w:rPr>
                <w:rtl w:val="0"/>
              </w:rPr>
            </w:r>
          </w:p>
        </w:tc>
        <w:tc>
          <w:tcPr>
            <w:shd w:fill="f2f2f2" w:val="clear"/>
            <w:tcMar>
              <w:top w:w="200.0" w:type="dxa"/>
              <w:left w:w="150.0" w:type="dxa"/>
              <w:bottom w:w="200.0" w:type="dxa"/>
              <w:right w:w="150.0" w:type="dxa"/>
            </w:tcMar>
          </w:tcPr>
          <w:p w:rsidR="00000000" w:rsidDel="00000000" w:rsidP="00000000" w:rsidRDefault="00000000" w:rsidRPr="00000000" w14:paraId="00000010">
            <w:pPr>
              <w:spacing w:after="60" w:lineRule="auto"/>
              <w:jc w:val="center"/>
              <w:rPr/>
            </w:pPr>
            <w:r w:rsidDel="00000000" w:rsidR="00000000" w:rsidRPr="00000000">
              <w:rPr>
                <w:rFonts w:ascii="Calibri" w:cs="Calibri" w:eastAsia="Calibri" w:hAnsi="Calibri"/>
                <w:b w:val="1"/>
                <w:bCs w:val="1"/>
                <w:color w:val="c0392b"/>
                <w:sz w:val="34"/>
                <w:szCs w:val="34"/>
                <w:rtl w:val="0"/>
              </w:rPr>
              <w:t xml:space="preserve">-41%</w:t>
            </w:r>
            <w:r w:rsidDel="00000000" w:rsidR="00000000" w:rsidRPr="00000000">
              <w:rPr>
                <w:rtl w:val="0"/>
              </w:rPr>
            </w:r>
          </w:p>
          <w:p w:rsidR="00000000" w:rsidDel="00000000" w:rsidP="00000000" w:rsidRDefault="00000000" w:rsidRPr="00000000" w14:paraId="00000011">
            <w:pPr>
              <w:jc w:val="center"/>
              <w:rPr/>
            </w:pPr>
            <w:r w:rsidDel="00000000" w:rsidR="00000000" w:rsidRPr="00000000">
              <w:rPr>
                <w:rFonts w:ascii="Calibri" w:cs="Calibri" w:eastAsia="Calibri" w:hAnsi="Calibri"/>
                <w:color w:val="595959"/>
                <w:sz w:val="18"/>
                <w:szCs w:val="18"/>
                <w:rtl w:val="0"/>
              </w:rPr>
              <w:t xml:space="preserve">Active Customers, 2019 → 2020</w:t>
            </w:r>
            <w:r w:rsidDel="00000000" w:rsidR="00000000" w:rsidRPr="00000000">
              <w:rPr>
                <w:rtl w:val="0"/>
              </w:rPr>
            </w:r>
          </w:p>
        </w:tc>
      </w:tr>
    </w:tbl>
    <w:p w:rsidR="00000000" w:rsidDel="00000000" w:rsidP="00000000" w:rsidRDefault="00000000" w:rsidRPr="00000000" w14:paraId="00000012">
      <w:pPr>
        <w:spacing w:after="160" w:line="276" w:lineRule="auto"/>
        <w:rPr/>
      </w:pPr>
      <w:r w:rsidDel="00000000" w:rsidR="00000000" w:rsidRPr="00000000">
        <w:rPr>
          <w:rtl w:val="0"/>
        </w:rPr>
      </w:r>
    </w:p>
    <w:p w:rsidR="00000000" w:rsidDel="00000000" w:rsidP="00000000" w:rsidRDefault="00000000" w:rsidRPr="00000000" w14:paraId="00000013">
      <w:pPr>
        <w:pStyle w:val="Heading1"/>
        <w:pBdr>
          <w:bottom w:color="1f3864" w:space="4" w:sz="6" w:val="single"/>
        </w:pBdr>
        <w:spacing w:after="200" w:before="400" w:lineRule="auto"/>
        <w:rPr/>
      </w:pPr>
      <w:r w:rsidDel="00000000" w:rsidR="00000000" w:rsidRPr="00000000">
        <w:rPr>
          <w:rFonts w:ascii="Calibri" w:cs="Calibri" w:eastAsia="Calibri" w:hAnsi="Calibri"/>
          <w:b w:val="1"/>
          <w:bCs w:val="1"/>
          <w:color w:val="1f3864"/>
          <w:sz w:val="30"/>
          <w:szCs w:val="30"/>
          <w:rtl w:val="0"/>
        </w:rPr>
        <w:t xml:space="preserve">Objective &amp; Approach</w:t>
      </w:r>
      <w:r w:rsidDel="00000000" w:rsidR="00000000" w:rsidRPr="00000000">
        <w:rPr>
          <w:rtl w:val="0"/>
        </w:rPr>
      </w:r>
    </w:p>
    <w:p w:rsidR="00000000" w:rsidDel="00000000" w:rsidP="00000000" w:rsidRDefault="00000000" w:rsidRPr="00000000" w14:paraId="00000014">
      <w:pPr>
        <w:spacing w:after="160" w:line="276" w:lineRule="auto"/>
        <w:rPr/>
      </w:pPr>
      <w:r w:rsidDel="00000000" w:rsidR="00000000" w:rsidRPr="00000000">
        <w:rPr>
          <w:rFonts w:ascii="Calibri" w:cs="Calibri" w:eastAsia="Calibri" w:hAnsi="Calibri"/>
          <w:sz w:val="21"/>
          <w:szCs w:val="21"/>
          <w:rtl w:val="0"/>
        </w:rPr>
        <w:t xml:space="preserve">Management asked for the underlying CSV data to be profiled, modeled, and enriched into an interactive report that supports self-service exploration of performance. This analysis works from the resulting Power BI data model (Report.pbix), which links six fact/dimension tables — Sales, Sales OrderLine, Products, Stores, Customers, and Categories/Sub-Categories — spanning transactions from January 2016 through February 2021 (2021 is a partial year and is excluded from year-over-year comparisons below).</w:t>
      </w:r>
      <w:r w:rsidDel="00000000" w:rsidR="00000000" w:rsidRPr="00000000">
        <w:rPr>
          <w:rtl w:val="0"/>
        </w:rPr>
      </w:r>
    </w:p>
    <w:p w:rsidR="00000000" w:rsidDel="00000000" w:rsidP="00000000" w:rsidRDefault="00000000" w:rsidRPr="00000000" w14:paraId="00000015">
      <w:pPr>
        <w:spacing w:after="160" w:line="276" w:lineRule="auto"/>
        <w:rPr/>
      </w:pPr>
      <w:r w:rsidDel="00000000" w:rsidR="00000000" w:rsidRPr="00000000">
        <w:rPr>
          <w:rFonts w:ascii="Calibri" w:cs="Calibri" w:eastAsia="Calibri" w:hAnsi="Calibri"/>
          <w:sz w:val="21"/>
          <w:szCs w:val="21"/>
          <w:rtl w:val="0"/>
        </w:rPr>
        <w:t xml:space="preserve">The analysis addresses four questions management posed, followed by a deep dive into the 2019–2020 revenue decline with recommendations.</w:t>
      </w:r>
      <w:r w:rsidDel="00000000" w:rsidR="00000000" w:rsidRPr="00000000">
        <w:rPr>
          <w:rtl w:val="0"/>
        </w:rPr>
      </w:r>
    </w:p>
    <w:p w:rsidR="00000000" w:rsidDel="00000000" w:rsidP="00000000" w:rsidRDefault="00000000" w:rsidRPr="00000000" w14:paraId="00000016">
      <w:pPr>
        <w:pStyle w:val="Heading1"/>
        <w:pBdr>
          <w:bottom w:color="1f3864" w:space="4" w:sz="6" w:val="single"/>
        </w:pBdr>
        <w:spacing w:after="200" w:before="400" w:lineRule="auto"/>
        <w:rPr/>
      </w:pPr>
      <w:r w:rsidDel="00000000" w:rsidR="00000000" w:rsidRPr="00000000">
        <w:rPr>
          <w:rFonts w:ascii="Calibri" w:cs="Calibri" w:eastAsia="Calibri" w:hAnsi="Calibri"/>
          <w:b w:val="1"/>
          <w:bCs w:val="1"/>
          <w:color w:val="1f3864"/>
          <w:sz w:val="30"/>
          <w:szCs w:val="30"/>
          <w:rtl w:val="0"/>
        </w:rPr>
        <w:t xml:space="preserve">1. Product Mix &amp; Customer Geography</w:t>
      </w:r>
      <w:r w:rsidDel="00000000" w:rsidR="00000000" w:rsidRPr="00000000">
        <w:rPr>
          <w:rtl w:val="0"/>
        </w:rPr>
      </w:r>
    </w:p>
    <w:p w:rsidR="00000000" w:rsidDel="00000000" w:rsidP="00000000" w:rsidRDefault="00000000" w:rsidRPr="00000000" w14:paraId="00000017">
      <w:pPr>
        <w:spacing w:after="160" w:line="276" w:lineRule="auto"/>
        <w:rPr/>
      </w:pPr>
      <w:r w:rsidDel="00000000" w:rsidR="00000000" w:rsidRPr="00000000">
        <w:rPr>
          <w:rFonts w:ascii="Calibri" w:cs="Calibri" w:eastAsia="Calibri" w:hAnsi="Calibri"/>
          <w:sz w:val="21"/>
          <w:szCs w:val="21"/>
          <w:rtl w:val="0"/>
        </w:rPr>
        <w:t xml:space="preserve">The catalog spans 2,517 products across 8 categories. Computers is the largest revenue category by a wide margin, followed by Home Appliances; Games and Toys is the smallest.</w:t>
      </w:r>
      <w:r w:rsidDel="00000000" w:rsidR="00000000" w:rsidRPr="00000000">
        <w:rPr>
          <w:rtl w:val="0"/>
        </w:rPr>
      </w:r>
    </w:p>
    <w:p w:rsidR="00000000" w:rsidDel="00000000" w:rsidP="00000000" w:rsidRDefault="00000000" w:rsidRPr="00000000" w14:paraId="00000018">
      <w:pPr>
        <w:spacing w:after="60" w:before="120" w:lineRule="auto"/>
        <w:jc w:val="center"/>
        <w:rPr/>
      </w:pPr>
      <w:r w:rsidDel="00000000" w:rsidR="00000000" w:rsidRPr="00000000">
        <w:rPr/>
        <w:drawing>
          <wp:inline distB="0" distT="0" distL="0" distR="0">
            <wp:extent cx="5524500" cy="2943225"/>
            <wp:effectExtent b="0" l="0" r="0" t="0"/>
            <wp:docPr id="2" name="image3.png"/>
            <a:graphic>
              <a:graphicData uri="http://schemas.openxmlformats.org/drawingml/2006/picture">
                <pic:pic>
                  <pic:nvPicPr>
                    <pic:cNvPr id="0" name="image3.png"/>
                    <pic:cNvPicPr preferRelativeResize="0"/>
                  </pic:nvPicPr>
                  <pic:blipFill>
                    <a:blip r:embed="rId6"/>
                    <a:srcRect b="0" l="0" r="0" t="0"/>
                    <a:stretch>
                      <a:fillRect/>
                    </a:stretch>
                  </pic:blipFill>
                  <pic:spPr>
                    <a:xfrm>
                      <a:off x="0" y="0"/>
                      <a:ext cx="5524500" cy="2943225"/>
                    </a:xfrm>
                    <a:prstGeom prst="rect"/>
                    <a:ln/>
                  </pic:spPr>
                </pic:pic>
              </a:graphicData>
            </a:graphic>
          </wp:inline>
        </w:drawing>
      </w:r>
      <w:r w:rsidDel="00000000" w:rsidR="00000000" w:rsidRPr="00000000">
        <w:rPr>
          <w:rtl w:val="0"/>
        </w:rPr>
      </w:r>
    </w:p>
    <w:p w:rsidR="00000000" w:rsidDel="00000000" w:rsidP="00000000" w:rsidRDefault="00000000" w:rsidRPr="00000000" w14:paraId="00000019">
      <w:pPr>
        <w:spacing w:after="240" w:lineRule="auto"/>
        <w:jc w:val="center"/>
        <w:rPr/>
      </w:pPr>
      <w:r w:rsidDel="00000000" w:rsidR="00000000" w:rsidRPr="00000000">
        <w:rPr>
          <w:rFonts w:ascii="Calibri" w:cs="Calibri" w:eastAsia="Calibri" w:hAnsi="Calibri"/>
          <w:i w:val="1"/>
          <w:iCs w:val="1"/>
          <w:color w:val="595959"/>
          <w:sz w:val="18"/>
          <w:szCs w:val="18"/>
          <w:rtl w:val="0"/>
        </w:rPr>
        <w:t xml:space="preserve">Figure 1. Total revenue by product category, 2016–2020.</w:t>
      </w:r>
      <w:r w:rsidDel="00000000" w:rsidR="00000000" w:rsidRPr="00000000">
        <w:rPr>
          <w:rtl w:val="0"/>
        </w:rPr>
      </w:r>
    </w:p>
    <w:p w:rsidR="00000000" w:rsidDel="00000000" w:rsidP="00000000" w:rsidRDefault="00000000" w:rsidRPr="00000000" w14:paraId="0000001A">
      <w:pPr>
        <w:spacing w:after="160" w:line="276" w:lineRule="auto"/>
        <w:rPr/>
      </w:pPr>
      <w:r w:rsidDel="00000000" w:rsidR="00000000" w:rsidRPr="00000000">
        <w:rPr>
          <w:rFonts w:ascii="Calibri" w:cs="Calibri" w:eastAsia="Calibri" w:hAnsi="Calibri"/>
          <w:sz w:val="21"/>
          <w:szCs w:val="21"/>
          <w:rtl w:val="0"/>
        </w:rPr>
        <w:t xml:space="preserve">Customers are concentrated in three continents, led by North America:</w:t>
      </w:r>
      <w:r w:rsidDel="00000000" w:rsidR="00000000" w:rsidRPr="00000000">
        <w:rPr>
          <w:rtl w:val="0"/>
        </w:rPr>
      </w:r>
    </w:p>
    <w:tbl>
      <w:tblPr>
        <w:tblStyle w:val="Table2"/>
        <w:tblW w:w="93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200"/>
        <w:gridCol w:w="3200"/>
        <w:gridCol w:w="2900"/>
        <w:tblGridChange w:id="0">
          <w:tblGrid>
            <w:gridCol w:w="3200"/>
            <w:gridCol w:w="3200"/>
            <w:gridCol w:w="2900"/>
          </w:tblGrid>
        </w:tblGridChange>
      </w:tblGrid>
      <w:tr>
        <w:trPr>
          <w:cantSplit w:val="0"/>
          <w:tblHeader w:val="1"/>
        </w:trPr>
        <w:tc>
          <w:tcPr>
            <w:shd w:fill="1f3864" w:val="clear"/>
            <w:tcMar>
              <w:top w:w="100.0" w:type="dxa"/>
              <w:left w:w="120.0" w:type="dxa"/>
              <w:bottom w:w="100.0" w:type="dxa"/>
              <w:right w:w="120.0" w:type="dxa"/>
            </w:tcMar>
          </w:tcPr>
          <w:p w:rsidR="00000000" w:rsidDel="00000000" w:rsidP="00000000" w:rsidRDefault="00000000" w:rsidRPr="00000000" w14:paraId="0000001B">
            <w:pPr>
              <w:rPr/>
            </w:pPr>
            <w:r w:rsidDel="00000000" w:rsidR="00000000" w:rsidRPr="00000000">
              <w:rPr>
                <w:rFonts w:ascii="Calibri" w:cs="Calibri" w:eastAsia="Calibri" w:hAnsi="Calibri"/>
                <w:b w:val="1"/>
                <w:bCs w:val="1"/>
                <w:color w:val="ffffff"/>
                <w:sz w:val="19"/>
                <w:szCs w:val="19"/>
                <w:rtl w:val="0"/>
              </w:rPr>
              <w:t xml:space="preserve">Continent</w:t>
            </w:r>
            <w:r w:rsidDel="00000000" w:rsidR="00000000" w:rsidRPr="00000000">
              <w:rPr>
                <w:rtl w:val="0"/>
              </w:rPr>
            </w:r>
          </w:p>
        </w:tc>
        <w:tc>
          <w:tcPr>
            <w:shd w:fill="1f3864" w:val="clear"/>
            <w:tcMar>
              <w:top w:w="100.0" w:type="dxa"/>
              <w:left w:w="120.0" w:type="dxa"/>
              <w:bottom w:w="100.0" w:type="dxa"/>
              <w:right w:w="120.0" w:type="dxa"/>
            </w:tcMar>
          </w:tcPr>
          <w:p w:rsidR="00000000" w:rsidDel="00000000" w:rsidP="00000000" w:rsidRDefault="00000000" w:rsidRPr="00000000" w14:paraId="0000001C">
            <w:pPr>
              <w:rPr/>
            </w:pPr>
            <w:r w:rsidDel="00000000" w:rsidR="00000000" w:rsidRPr="00000000">
              <w:rPr>
                <w:rFonts w:ascii="Calibri" w:cs="Calibri" w:eastAsia="Calibri" w:hAnsi="Calibri"/>
                <w:b w:val="1"/>
                <w:bCs w:val="1"/>
                <w:color w:val="ffffff"/>
                <w:sz w:val="19"/>
                <w:szCs w:val="19"/>
                <w:rtl w:val="0"/>
              </w:rPr>
              <w:t xml:space="preserve">Customers</w:t>
            </w:r>
            <w:r w:rsidDel="00000000" w:rsidR="00000000" w:rsidRPr="00000000">
              <w:rPr>
                <w:rtl w:val="0"/>
              </w:rPr>
            </w:r>
          </w:p>
        </w:tc>
        <w:tc>
          <w:tcPr>
            <w:shd w:fill="1f3864" w:val="clear"/>
            <w:tcMar>
              <w:top w:w="100.0" w:type="dxa"/>
              <w:left w:w="120.0" w:type="dxa"/>
              <w:bottom w:w="100.0" w:type="dxa"/>
              <w:right w:w="120.0" w:type="dxa"/>
            </w:tcMar>
          </w:tcPr>
          <w:p w:rsidR="00000000" w:rsidDel="00000000" w:rsidP="00000000" w:rsidRDefault="00000000" w:rsidRPr="00000000" w14:paraId="0000001D">
            <w:pPr>
              <w:rPr/>
            </w:pPr>
            <w:r w:rsidDel="00000000" w:rsidR="00000000" w:rsidRPr="00000000">
              <w:rPr>
                <w:rFonts w:ascii="Calibri" w:cs="Calibri" w:eastAsia="Calibri" w:hAnsi="Calibri"/>
                <w:b w:val="1"/>
                <w:bCs w:val="1"/>
                <w:color w:val="ffffff"/>
                <w:sz w:val="19"/>
                <w:szCs w:val="19"/>
                <w:rtl w:val="0"/>
              </w:rPr>
              <w:t xml:space="preserve">Share</w:t>
            </w:r>
            <w:r w:rsidDel="00000000" w:rsidR="00000000" w:rsidRPr="00000000">
              <w:rPr>
                <w:rtl w:val="0"/>
              </w:rPr>
            </w:r>
          </w:p>
        </w:tc>
      </w:tr>
      <w:tr>
        <w:trPr>
          <w:cantSplit w:val="0"/>
          <w:tblHeader w:val="0"/>
        </w:trPr>
        <w:tc>
          <w:tcPr>
            <w:shd w:fill="ffffff" w:val="clear"/>
            <w:tcMar>
              <w:top w:w="90.0" w:type="dxa"/>
              <w:left w:w="120.0" w:type="dxa"/>
              <w:bottom w:w="90.0" w:type="dxa"/>
              <w:right w:w="120.0" w:type="dxa"/>
            </w:tcMar>
          </w:tcPr>
          <w:p w:rsidR="00000000" w:rsidDel="00000000" w:rsidP="00000000" w:rsidRDefault="00000000" w:rsidRPr="00000000" w14:paraId="0000001E">
            <w:pPr>
              <w:rPr/>
            </w:pPr>
            <w:r w:rsidDel="00000000" w:rsidR="00000000" w:rsidRPr="00000000">
              <w:rPr>
                <w:rFonts w:ascii="Calibri" w:cs="Calibri" w:eastAsia="Calibri" w:hAnsi="Calibri"/>
                <w:sz w:val="19"/>
                <w:szCs w:val="19"/>
                <w:rtl w:val="0"/>
              </w:rPr>
              <w:t xml:space="preserve">North America</w:t>
            </w:r>
            <w:r w:rsidDel="00000000" w:rsidR="00000000" w:rsidRPr="00000000">
              <w:rPr>
                <w:rtl w:val="0"/>
              </w:rPr>
            </w:r>
          </w:p>
        </w:tc>
        <w:tc>
          <w:tcPr>
            <w:shd w:fill="ffffff" w:val="clear"/>
            <w:tcMar>
              <w:top w:w="90.0" w:type="dxa"/>
              <w:left w:w="120.0" w:type="dxa"/>
              <w:bottom w:w="90.0" w:type="dxa"/>
              <w:right w:w="120.0" w:type="dxa"/>
            </w:tcMar>
          </w:tcPr>
          <w:p w:rsidR="00000000" w:rsidDel="00000000" w:rsidP="00000000" w:rsidRDefault="00000000" w:rsidRPr="00000000" w14:paraId="0000001F">
            <w:pPr>
              <w:rPr/>
            </w:pPr>
            <w:r w:rsidDel="00000000" w:rsidR="00000000" w:rsidRPr="00000000">
              <w:rPr>
                <w:rFonts w:ascii="Calibri" w:cs="Calibri" w:eastAsia="Calibri" w:hAnsi="Calibri"/>
                <w:sz w:val="19"/>
                <w:szCs w:val="19"/>
                <w:rtl w:val="0"/>
              </w:rPr>
              <w:t xml:space="preserve">8,381</w:t>
            </w:r>
            <w:r w:rsidDel="00000000" w:rsidR="00000000" w:rsidRPr="00000000">
              <w:rPr>
                <w:rtl w:val="0"/>
              </w:rPr>
            </w:r>
          </w:p>
        </w:tc>
        <w:tc>
          <w:tcPr>
            <w:shd w:fill="ffffff" w:val="clear"/>
            <w:tcMar>
              <w:top w:w="90.0" w:type="dxa"/>
              <w:left w:w="120.0" w:type="dxa"/>
              <w:bottom w:w="90.0" w:type="dxa"/>
              <w:right w:w="120.0" w:type="dxa"/>
            </w:tcMar>
          </w:tcPr>
          <w:p w:rsidR="00000000" w:rsidDel="00000000" w:rsidP="00000000" w:rsidRDefault="00000000" w:rsidRPr="00000000" w14:paraId="00000020">
            <w:pPr>
              <w:rPr/>
            </w:pPr>
            <w:r w:rsidDel="00000000" w:rsidR="00000000" w:rsidRPr="00000000">
              <w:rPr>
                <w:rFonts w:ascii="Calibri" w:cs="Calibri" w:eastAsia="Calibri" w:hAnsi="Calibri"/>
                <w:sz w:val="19"/>
                <w:szCs w:val="19"/>
                <w:rtl w:val="0"/>
              </w:rPr>
              <w:t xml:space="preserve">55%</w:t>
            </w:r>
            <w:r w:rsidDel="00000000" w:rsidR="00000000" w:rsidRPr="00000000">
              <w:rPr>
                <w:rtl w:val="0"/>
              </w:rPr>
            </w:r>
          </w:p>
        </w:tc>
      </w:tr>
      <w:tr>
        <w:trPr>
          <w:cantSplit w:val="0"/>
          <w:tblHeader w:val="0"/>
        </w:trPr>
        <w:tc>
          <w:tcPr>
            <w:shd w:fill="f2f2f2" w:val="clear"/>
            <w:tcMar>
              <w:top w:w="90.0" w:type="dxa"/>
              <w:left w:w="120.0" w:type="dxa"/>
              <w:bottom w:w="90.0" w:type="dxa"/>
              <w:right w:w="120.0" w:type="dxa"/>
            </w:tcMar>
          </w:tcPr>
          <w:p w:rsidR="00000000" w:rsidDel="00000000" w:rsidP="00000000" w:rsidRDefault="00000000" w:rsidRPr="00000000" w14:paraId="00000021">
            <w:pPr>
              <w:rPr/>
            </w:pPr>
            <w:r w:rsidDel="00000000" w:rsidR="00000000" w:rsidRPr="00000000">
              <w:rPr>
                <w:rFonts w:ascii="Calibri" w:cs="Calibri" w:eastAsia="Calibri" w:hAnsi="Calibri"/>
                <w:sz w:val="19"/>
                <w:szCs w:val="19"/>
                <w:rtl w:val="0"/>
              </w:rPr>
              <w:t xml:space="preserve">Europe</w:t>
            </w:r>
            <w:r w:rsidDel="00000000" w:rsidR="00000000" w:rsidRPr="00000000">
              <w:rPr>
                <w:rtl w:val="0"/>
              </w:rPr>
            </w:r>
          </w:p>
        </w:tc>
        <w:tc>
          <w:tcPr>
            <w:shd w:fill="f2f2f2" w:val="clear"/>
            <w:tcMar>
              <w:top w:w="90.0" w:type="dxa"/>
              <w:left w:w="120.0" w:type="dxa"/>
              <w:bottom w:w="90.0" w:type="dxa"/>
              <w:right w:w="120.0" w:type="dxa"/>
            </w:tcMar>
          </w:tcPr>
          <w:p w:rsidR="00000000" w:rsidDel="00000000" w:rsidP="00000000" w:rsidRDefault="00000000" w:rsidRPr="00000000" w14:paraId="00000022">
            <w:pPr>
              <w:rPr/>
            </w:pPr>
            <w:r w:rsidDel="00000000" w:rsidR="00000000" w:rsidRPr="00000000">
              <w:rPr>
                <w:rFonts w:ascii="Calibri" w:cs="Calibri" w:eastAsia="Calibri" w:hAnsi="Calibri"/>
                <w:sz w:val="19"/>
                <w:szCs w:val="19"/>
                <w:rtl w:val="0"/>
              </w:rPr>
              <w:t xml:space="preserve">5,465</w:t>
            </w:r>
            <w:r w:rsidDel="00000000" w:rsidR="00000000" w:rsidRPr="00000000">
              <w:rPr>
                <w:rtl w:val="0"/>
              </w:rPr>
            </w:r>
          </w:p>
        </w:tc>
        <w:tc>
          <w:tcPr>
            <w:shd w:fill="f2f2f2" w:val="clear"/>
            <w:tcMar>
              <w:top w:w="90.0" w:type="dxa"/>
              <w:left w:w="120.0" w:type="dxa"/>
              <w:bottom w:w="90.0" w:type="dxa"/>
              <w:right w:w="120.0" w:type="dxa"/>
            </w:tcMar>
          </w:tcPr>
          <w:p w:rsidR="00000000" w:rsidDel="00000000" w:rsidP="00000000" w:rsidRDefault="00000000" w:rsidRPr="00000000" w14:paraId="00000023">
            <w:pPr>
              <w:rPr/>
            </w:pPr>
            <w:r w:rsidDel="00000000" w:rsidR="00000000" w:rsidRPr="00000000">
              <w:rPr>
                <w:rFonts w:ascii="Calibri" w:cs="Calibri" w:eastAsia="Calibri" w:hAnsi="Calibri"/>
                <w:sz w:val="19"/>
                <w:szCs w:val="19"/>
                <w:rtl w:val="0"/>
              </w:rPr>
              <w:t xml:space="preserve">36%</w:t>
            </w:r>
            <w:r w:rsidDel="00000000" w:rsidR="00000000" w:rsidRPr="00000000">
              <w:rPr>
                <w:rtl w:val="0"/>
              </w:rPr>
            </w:r>
          </w:p>
        </w:tc>
      </w:tr>
      <w:tr>
        <w:trPr>
          <w:cantSplit w:val="0"/>
          <w:tblHeader w:val="0"/>
        </w:trPr>
        <w:tc>
          <w:tcPr>
            <w:shd w:fill="ffffff" w:val="clear"/>
            <w:tcMar>
              <w:top w:w="90.0" w:type="dxa"/>
              <w:left w:w="120.0" w:type="dxa"/>
              <w:bottom w:w="90.0" w:type="dxa"/>
              <w:right w:w="120.0" w:type="dxa"/>
            </w:tcMar>
          </w:tcPr>
          <w:p w:rsidR="00000000" w:rsidDel="00000000" w:rsidP="00000000" w:rsidRDefault="00000000" w:rsidRPr="00000000" w14:paraId="00000024">
            <w:pPr>
              <w:rPr/>
            </w:pPr>
            <w:r w:rsidDel="00000000" w:rsidR="00000000" w:rsidRPr="00000000">
              <w:rPr>
                <w:rFonts w:ascii="Calibri" w:cs="Calibri" w:eastAsia="Calibri" w:hAnsi="Calibri"/>
                <w:sz w:val="19"/>
                <w:szCs w:val="19"/>
                <w:rtl w:val="0"/>
              </w:rPr>
              <w:t xml:space="preserve">Australia</w:t>
            </w:r>
            <w:r w:rsidDel="00000000" w:rsidR="00000000" w:rsidRPr="00000000">
              <w:rPr>
                <w:rtl w:val="0"/>
              </w:rPr>
            </w:r>
          </w:p>
        </w:tc>
        <w:tc>
          <w:tcPr>
            <w:shd w:fill="ffffff" w:val="clear"/>
            <w:tcMar>
              <w:top w:w="90.0" w:type="dxa"/>
              <w:left w:w="120.0" w:type="dxa"/>
              <w:bottom w:w="90.0" w:type="dxa"/>
              <w:right w:w="120.0" w:type="dxa"/>
            </w:tcMar>
          </w:tcPr>
          <w:p w:rsidR="00000000" w:rsidDel="00000000" w:rsidP="00000000" w:rsidRDefault="00000000" w:rsidRPr="00000000" w14:paraId="00000025">
            <w:pPr>
              <w:rPr/>
            </w:pPr>
            <w:r w:rsidDel="00000000" w:rsidR="00000000" w:rsidRPr="00000000">
              <w:rPr>
                <w:rFonts w:ascii="Calibri" w:cs="Calibri" w:eastAsia="Calibri" w:hAnsi="Calibri"/>
                <w:sz w:val="19"/>
                <w:szCs w:val="19"/>
                <w:rtl w:val="0"/>
              </w:rPr>
              <w:t xml:space="preserve">1,420</w:t>
            </w:r>
            <w:r w:rsidDel="00000000" w:rsidR="00000000" w:rsidRPr="00000000">
              <w:rPr>
                <w:rtl w:val="0"/>
              </w:rPr>
            </w:r>
          </w:p>
        </w:tc>
        <w:tc>
          <w:tcPr>
            <w:shd w:fill="ffffff" w:val="clear"/>
            <w:tcMar>
              <w:top w:w="90.0" w:type="dxa"/>
              <w:left w:w="120.0" w:type="dxa"/>
              <w:bottom w:w="90.0" w:type="dxa"/>
              <w:right w:w="120.0" w:type="dxa"/>
            </w:tcMar>
          </w:tcPr>
          <w:p w:rsidR="00000000" w:rsidDel="00000000" w:rsidP="00000000" w:rsidRDefault="00000000" w:rsidRPr="00000000" w14:paraId="00000026">
            <w:pPr>
              <w:rPr/>
            </w:pPr>
            <w:r w:rsidDel="00000000" w:rsidR="00000000" w:rsidRPr="00000000">
              <w:rPr>
                <w:rFonts w:ascii="Calibri" w:cs="Calibri" w:eastAsia="Calibri" w:hAnsi="Calibri"/>
                <w:sz w:val="19"/>
                <w:szCs w:val="19"/>
                <w:rtl w:val="0"/>
              </w:rPr>
              <w:t xml:space="preserve">9%</w:t>
            </w:r>
            <w:r w:rsidDel="00000000" w:rsidR="00000000" w:rsidRPr="00000000">
              <w:rPr>
                <w:rtl w:val="0"/>
              </w:rPr>
            </w:r>
          </w:p>
        </w:tc>
      </w:tr>
    </w:tbl>
    <w:p w:rsidR="00000000" w:rsidDel="00000000" w:rsidP="00000000" w:rsidRDefault="00000000" w:rsidRPr="00000000" w14:paraId="00000027">
      <w:pPr>
        <w:spacing w:after="160" w:line="276" w:lineRule="auto"/>
        <w:rPr/>
      </w:pPr>
      <w:r w:rsidDel="00000000" w:rsidR="00000000" w:rsidRPr="00000000">
        <w:rPr>
          <w:rtl w:val="0"/>
        </w:rPr>
      </w:r>
    </w:p>
    <w:p w:rsidR="00000000" w:rsidDel="00000000" w:rsidP="00000000" w:rsidRDefault="00000000" w:rsidRPr="00000000" w14:paraId="00000028">
      <w:pPr>
        <w:spacing w:after="160" w:line="276" w:lineRule="auto"/>
        <w:rPr/>
      </w:pPr>
      <w:r w:rsidDel="00000000" w:rsidR="00000000" w:rsidRPr="00000000">
        <w:rPr>
          <w:rFonts w:ascii="Calibri" w:cs="Calibri" w:eastAsia="Calibri" w:hAnsi="Calibri"/>
          <w:sz w:val="21"/>
          <w:szCs w:val="21"/>
          <w:rtl w:val="0"/>
        </w:rPr>
        <w:t xml:space="preserve">At the country level, the United States is the largest single market (6,828 customers), followed by the United Kingdom, Canada, and Germany. The company operates 67 physical stores across the United States, Germany, France, the United Kingdom, Australia, Canada, the Netherlands, and Italy, with the U.S. hosting the largest store footprint (24 locations).</w:t>
      </w:r>
      <w:r w:rsidDel="00000000" w:rsidR="00000000" w:rsidRPr="00000000">
        <w:rPr>
          <w:rtl w:val="0"/>
        </w:rPr>
      </w:r>
    </w:p>
    <w:p w:rsidR="00000000" w:rsidDel="00000000" w:rsidP="00000000" w:rsidRDefault="00000000" w:rsidRPr="00000000" w14:paraId="00000029">
      <w:pPr>
        <w:pStyle w:val="Heading1"/>
        <w:pBdr>
          <w:bottom w:color="1f3864" w:space="4" w:sz="6" w:val="single"/>
        </w:pBdr>
        <w:spacing w:after="200" w:before="400" w:lineRule="auto"/>
        <w:rPr/>
      </w:pPr>
      <w:r w:rsidDel="00000000" w:rsidR="00000000" w:rsidRPr="00000000">
        <w:rPr>
          <w:rFonts w:ascii="Calibri" w:cs="Calibri" w:eastAsia="Calibri" w:hAnsi="Calibri"/>
          <w:b w:val="1"/>
          <w:bCs w:val="1"/>
          <w:color w:val="1f3864"/>
          <w:sz w:val="30"/>
          <w:szCs w:val="30"/>
          <w:rtl w:val="0"/>
        </w:rPr>
        <w:t xml:space="preserve">2. Seasonal Patterns in Orders &amp; Revenue</w:t>
      </w:r>
      <w:r w:rsidDel="00000000" w:rsidR="00000000" w:rsidRPr="00000000">
        <w:rPr>
          <w:rtl w:val="0"/>
        </w:rPr>
      </w:r>
    </w:p>
    <w:p w:rsidR="00000000" w:rsidDel="00000000" w:rsidP="00000000" w:rsidRDefault="00000000" w:rsidRPr="00000000" w14:paraId="0000002A">
      <w:pPr>
        <w:spacing w:after="160" w:line="276" w:lineRule="auto"/>
        <w:rPr/>
      </w:pPr>
      <w:r w:rsidDel="00000000" w:rsidR="00000000" w:rsidRPr="00000000">
        <w:rPr>
          <w:rFonts w:ascii="Calibri" w:cs="Calibri" w:eastAsia="Calibri" w:hAnsi="Calibri"/>
          <w:sz w:val="21"/>
          <w:szCs w:val="21"/>
          <w:rtl w:val="0"/>
        </w:rPr>
        <w:t xml:space="preserve">A clear and consistent seasonal cycle repeats every year in the data: revenue peaks in December (holiday shopping) and January–February, then drops sharply in March and bottoms out in April, before climbing gradually back up through the second half of the year.</w:t>
      </w:r>
      <w:r w:rsidDel="00000000" w:rsidR="00000000" w:rsidRPr="00000000">
        <w:rPr>
          <w:rtl w:val="0"/>
        </w:rPr>
      </w:r>
    </w:p>
    <w:p w:rsidR="00000000" w:rsidDel="00000000" w:rsidP="00000000" w:rsidRDefault="00000000" w:rsidRPr="00000000" w14:paraId="0000002B">
      <w:pPr>
        <w:spacing w:after="60" w:before="120" w:lineRule="auto"/>
        <w:jc w:val="center"/>
        <w:rPr/>
      </w:pPr>
      <w:r w:rsidDel="00000000" w:rsidR="00000000" w:rsidRPr="00000000">
        <w:rPr/>
        <w:drawing>
          <wp:inline distB="0" distT="0" distL="0" distR="0">
            <wp:extent cx="5524500" cy="2790825"/>
            <wp:effectExtent b="0" l="0" r="0" t="0"/>
            <wp:docPr id="4" name="image6.png"/>
            <a:graphic>
              <a:graphicData uri="http://schemas.openxmlformats.org/drawingml/2006/picture">
                <pic:pic>
                  <pic:nvPicPr>
                    <pic:cNvPr id="0" name="image6.png"/>
                    <pic:cNvPicPr preferRelativeResize="0"/>
                  </pic:nvPicPr>
                  <pic:blipFill>
                    <a:blip r:embed="rId7"/>
                    <a:srcRect b="0" l="0" r="0" t="0"/>
                    <a:stretch>
                      <a:fillRect/>
                    </a:stretch>
                  </pic:blipFill>
                  <pic:spPr>
                    <a:xfrm>
                      <a:off x="0" y="0"/>
                      <a:ext cx="5524500" cy="2790825"/>
                    </a:xfrm>
                    <a:prstGeom prst="rect"/>
                    <a:ln/>
                  </pic:spPr>
                </pic:pic>
              </a:graphicData>
            </a:graphic>
          </wp:inline>
        </w:drawing>
      </w:r>
      <w:r w:rsidDel="00000000" w:rsidR="00000000" w:rsidRPr="00000000">
        <w:rPr>
          <w:rtl w:val="0"/>
        </w:rPr>
      </w:r>
    </w:p>
    <w:p w:rsidR="00000000" w:rsidDel="00000000" w:rsidP="00000000" w:rsidRDefault="00000000" w:rsidRPr="00000000" w14:paraId="0000002C">
      <w:pPr>
        <w:spacing w:after="240" w:lineRule="auto"/>
        <w:jc w:val="center"/>
        <w:rPr/>
      </w:pPr>
      <w:r w:rsidDel="00000000" w:rsidR="00000000" w:rsidRPr="00000000">
        <w:rPr>
          <w:rFonts w:ascii="Calibri" w:cs="Calibri" w:eastAsia="Calibri" w:hAnsi="Calibri"/>
          <w:i w:val="1"/>
          <w:iCs w:val="1"/>
          <w:color w:val="595959"/>
          <w:sz w:val="18"/>
          <w:szCs w:val="18"/>
          <w:rtl w:val="0"/>
        </w:rPr>
        <w:t xml:space="preserve">Figure 2. Average monthly revenue, 2016–2019 (pre-decline years), showing the recurring holiday peak and spring trough.</w:t>
      </w:r>
      <w:r w:rsidDel="00000000" w:rsidR="00000000" w:rsidRPr="00000000">
        <w:rPr>
          <w:rtl w:val="0"/>
        </w:rPr>
      </w:r>
    </w:p>
    <w:p w:rsidR="00000000" w:rsidDel="00000000" w:rsidP="00000000" w:rsidRDefault="00000000" w:rsidRPr="00000000" w14:paraId="0000002D">
      <w:pPr>
        <w:spacing w:after="160" w:line="276" w:lineRule="auto"/>
        <w:rPr/>
      </w:pPr>
      <w:r w:rsidDel="00000000" w:rsidR="00000000" w:rsidRPr="00000000">
        <w:rPr>
          <w:rFonts w:ascii="Calibri" w:cs="Calibri" w:eastAsia="Calibri" w:hAnsi="Calibri"/>
          <w:sz w:val="21"/>
          <w:szCs w:val="21"/>
          <w:rtl w:val="0"/>
        </w:rPr>
        <w:t xml:space="preserve">This pattern held across all four years prior to 2020, which matters for the decline analysis below: the March–April dip is a normal seasonal feature of the business, not evidence of a problem in isolation. Order volume follows the same shape as revenue. At the weekly level, Saturday is by far the busiest day for orders, and Sunday the quietest.</w:t>
      </w:r>
      <w:r w:rsidDel="00000000" w:rsidR="00000000" w:rsidRPr="00000000">
        <w:rPr>
          <w:rtl w:val="0"/>
        </w:rPr>
      </w:r>
    </w:p>
    <w:p w:rsidR="00000000" w:rsidDel="00000000" w:rsidP="00000000" w:rsidRDefault="00000000" w:rsidRPr="00000000" w14:paraId="0000002E">
      <w:pPr>
        <w:pStyle w:val="Heading1"/>
        <w:pBdr>
          <w:bottom w:color="1f3864" w:space="4" w:sz="6" w:val="single"/>
        </w:pBdr>
        <w:spacing w:after="200" w:before="400" w:lineRule="auto"/>
        <w:rPr/>
      </w:pPr>
      <w:r w:rsidDel="00000000" w:rsidR="00000000" w:rsidRPr="00000000">
        <w:rPr>
          <w:rFonts w:ascii="Calibri" w:cs="Calibri" w:eastAsia="Calibri" w:hAnsi="Calibri"/>
          <w:b w:val="1"/>
          <w:bCs w:val="1"/>
          <w:color w:val="1f3864"/>
          <w:sz w:val="30"/>
          <w:szCs w:val="30"/>
          <w:rtl w:val="0"/>
        </w:rPr>
        <w:t xml:space="preserve">3. Delivery Time: Average &amp; Trend</w:t>
      </w:r>
      <w:r w:rsidDel="00000000" w:rsidR="00000000" w:rsidRPr="00000000">
        <w:rPr>
          <w:rtl w:val="0"/>
        </w:rPr>
      </w:r>
    </w:p>
    <w:p w:rsidR="00000000" w:rsidDel="00000000" w:rsidP="00000000" w:rsidRDefault="00000000" w:rsidRPr="00000000" w14:paraId="0000002F">
      <w:pPr>
        <w:spacing w:after="160" w:line="276" w:lineRule="auto"/>
        <w:rPr/>
      </w:pPr>
      <w:r w:rsidDel="00000000" w:rsidR="00000000" w:rsidRPr="00000000">
        <w:rPr>
          <w:rFonts w:ascii="Calibri" w:cs="Calibri" w:eastAsia="Calibri" w:hAnsi="Calibri"/>
          <w:sz w:val="21"/>
          <w:szCs w:val="21"/>
          <w:rtl w:val="0"/>
        </w:rPr>
        <w:t xml:space="preserve">Average delivery time has improved steadily year over year, from 7.3 days in 2016 down to roughly 4.0 days by 2019–2020. Note that a delivery date is only recorded for a subset of orders (about 17–23% depending on year), so this reflects the tracked subset rather than every shipment — but the direction and consistency of the trend across years is a reliable signal of improving fulfillment operations.</w:t>
      </w:r>
      <w:r w:rsidDel="00000000" w:rsidR="00000000" w:rsidRPr="00000000">
        <w:rPr>
          <w:rtl w:val="0"/>
        </w:rPr>
      </w:r>
    </w:p>
    <w:p w:rsidR="00000000" w:rsidDel="00000000" w:rsidP="00000000" w:rsidRDefault="00000000" w:rsidRPr="00000000" w14:paraId="00000030">
      <w:pPr>
        <w:spacing w:after="60" w:before="120" w:lineRule="auto"/>
        <w:jc w:val="center"/>
        <w:rPr/>
      </w:pPr>
      <w:r w:rsidDel="00000000" w:rsidR="00000000" w:rsidRPr="00000000">
        <w:rPr/>
        <w:drawing>
          <wp:inline distB="0" distT="0" distL="0" distR="0">
            <wp:extent cx="5524500" cy="2790825"/>
            <wp:effectExtent b="0" l="0" r="0" t="0"/>
            <wp:docPr id="3"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5524500" cy="2790825"/>
                    </a:xfrm>
                    <a:prstGeom prst="rect"/>
                    <a:ln/>
                  </pic:spPr>
                </pic:pic>
              </a:graphicData>
            </a:graphic>
          </wp:inline>
        </w:drawing>
      </w:r>
      <w:r w:rsidDel="00000000" w:rsidR="00000000" w:rsidRPr="00000000">
        <w:rPr>
          <w:rtl w:val="0"/>
        </w:rPr>
      </w:r>
    </w:p>
    <w:p w:rsidR="00000000" w:rsidDel="00000000" w:rsidP="00000000" w:rsidRDefault="00000000" w:rsidRPr="00000000" w14:paraId="00000031">
      <w:pPr>
        <w:spacing w:after="240" w:lineRule="auto"/>
        <w:jc w:val="center"/>
        <w:rPr/>
      </w:pPr>
      <w:r w:rsidDel="00000000" w:rsidR="00000000" w:rsidRPr="00000000">
        <w:rPr>
          <w:rFonts w:ascii="Calibri" w:cs="Calibri" w:eastAsia="Calibri" w:hAnsi="Calibri"/>
          <w:i w:val="1"/>
          <w:iCs w:val="1"/>
          <w:color w:val="595959"/>
          <w:sz w:val="18"/>
          <w:szCs w:val="18"/>
          <w:rtl w:val="0"/>
        </w:rPr>
        <w:t xml:space="preserve">Figure 3. Average delivery time (days) by year.</w:t>
      </w:r>
      <w:r w:rsidDel="00000000" w:rsidR="00000000" w:rsidRPr="00000000">
        <w:rPr>
          <w:rtl w:val="0"/>
        </w:rPr>
      </w:r>
    </w:p>
    <w:p w:rsidR="00000000" w:rsidDel="00000000" w:rsidP="00000000" w:rsidRDefault="00000000" w:rsidRPr="00000000" w14:paraId="00000032">
      <w:pPr>
        <w:spacing w:after="160" w:line="276" w:lineRule="auto"/>
        <w:rPr/>
      </w:pPr>
      <w:r w:rsidDel="00000000" w:rsidR="00000000" w:rsidRPr="00000000">
        <w:rPr>
          <w:rFonts w:ascii="Calibri" w:cs="Calibri" w:eastAsia="Calibri" w:hAnsi="Calibri"/>
          <w:sz w:val="21"/>
          <w:szCs w:val="21"/>
          <w:rtl w:val="0"/>
        </w:rPr>
        <w:t xml:space="preserve">The steady improvement in delivery time through 2019–2020 also helps rule out fulfillment problems as a driver of the 2020 revenue decline — if anything, delivery performance was at its best when revenue fell.</w:t>
      </w:r>
      <w:r w:rsidDel="00000000" w:rsidR="00000000" w:rsidRPr="00000000">
        <w:rPr>
          <w:rtl w:val="0"/>
        </w:rPr>
      </w:r>
    </w:p>
    <w:p w:rsidR="00000000" w:rsidDel="00000000" w:rsidP="00000000" w:rsidRDefault="00000000" w:rsidRPr="00000000" w14:paraId="00000033">
      <w:pPr>
        <w:pStyle w:val="Heading1"/>
        <w:pBdr>
          <w:bottom w:color="1f3864" w:space="4" w:sz="6" w:val="single"/>
        </w:pBdr>
        <w:spacing w:after="200" w:before="400" w:lineRule="auto"/>
        <w:rPr/>
      </w:pPr>
      <w:r w:rsidDel="00000000" w:rsidR="00000000" w:rsidRPr="00000000">
        <w:rPr>
          <w:rFonts w:ascii="Calibri" w:cs="Calibri" w:eastAsia="Calibri" w:hAnsi="Calibri"/>
          <w:b w:val="1"/>
          <w:bCs w:val="1"/>
          <w:color w:val="1f3864"/>
          <w:sz w:val="30"/>
          <w:szCs w:val="30"/>
          <w:rtl w:val="0"/>
        </w:rPr>
        <w:t xml:space="preserve">4. Average Order Value: Online vs. In-Store</w:t>
      </w:r>
      <w:r w:rsidDel="00000000" w:rsidR="00000000" w:rsidRPr="00000000">
        <w:rPr>
          <w:rtl w:val="0"/>
        </w:rPr>
      </w:r>
    </w:p>
    <w:p w:rsidR="00000000" w:rsidDel="00000000" w:rsidP="00000000" w:rsidRDefault="00000000" w:rsidRPr="00000000" w14:paraId="00000034">
      <w:pPr>
        <w:spacing w:after="160" w:line="276" w:lineRule="auto"/>
        <w:rPr/>
      </w:pPr>
      <w:r w:rsidDel="00000000" w:rsidR="00000000" w:rsidRPr="00000000">
        <w:rPr>
          <w:rFonts w:ascii="Calibri" w:cs="Calibri" w:eastAsia="Calibri" w:hAnsi="Calibri"/>
          <w:sz w:val="21"/>
          <w:szCs w:val="21"/>
          <w:rtl w:val="0"/>
        </w:rPr>
        <w:t xml:space="preserve">Across the full dataset, in-store (offline) orders carry a slightly higher average order value than online orders:</w:t>
      </w:r>
      <w:r w:rsidDel="00000000" w:rsidR="00000000" w:rsidRPr="00000000">
        <w:rPr>
          <w:rtl w:val="0"/>
        </w:rPr>
      </w:r>
    </w:p>
    <w:tbl>
      <w:tblPr>
        <w:tblStyle w:val="Table3"/>
        <w:tblW w:w="95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900"/>
        <w:gridCol w:w="2400"/>
        <w:gridCol w:w="2000"/>
        <w:gridCol w:w="2200"/>
        <w:tblGridChange w:id="0">
          <w:tblGrid>
            <w:gridCol w:w="2900"/>
            <w:gridCol w:w="2400"/>
            <w:gridCol w:w="2000"/>
            <w:gridCol w:w="2200"/>
          </w:tblGrid>
        </w:tblGridChange>
      </w:tblGrid>
      <w:tr>
        <w:trPr>
          <w:cantSplit w:val="0"/>
          <w:tblHeader w:val="1"/>
        </w:trPr>
        <w:tc>
          <w:tcPr>
            <w:shd w:fill="1f3864" w:val="clear"/>
            <w:tcMar>
              <w:top w:w="100.0" w:type="dxa"/>
              <w:left w:w="120.0" w:type="dxa"/>
              <w:bottom w:w="100.0" w:type="dxa"/>
              <w:right w:w="120.0" w:type="dxa"/>
            </w:tcMar>
          </w:tcPr>
          <w:p w:rsidR="00000000" w:rsidDel="00000000" w:rsidP="00000000" w:rsidRDefault="00000000" w:rsidRPr="00000000" w14:paraId="00000035">
            <w:pPr>
              <w:rPr/>
            </w:pPr>
            <w:r w:rsidDel="00000000" w:rsidR="00000000" w:rsidRPr="00000000">
              <w:rPr>
                <w:rFonts w:ascii="Calibri" w:cs="Calibri" w:eastAsia="Calibri" w:hAnsi="Calibri"/>
                <w:b w:val="1"/>
                <w:bCs w:val="1"/>
                <w:color w:val="ffffff"/>
                <w:sz w:val="19"/>
                <w:szCs w:val="19"/>
                <w:rtl w:val="0"/>
              </w:rPr>
              <w:t xml:space="preserve">Channel</w:t>
            </w:r>
            <w:r w:rsidDel="00000000" w:rsidR="00000000" w:rsidRPr="00000000">
              <w:rPr>
                <w:rtl w:val="0"/>
              </w:rPr>
            </w:r>
          </w:p>
        </w:tc>
        <w:tc>
          <w:tcPr>
            <w:shd w:fill="1f3864" w:val="clear"/>
            <w:tcMar>
              <w:top w:w="100.0" w:type="dxa"/>
              <w:left w:w="120.0" w:type="dxa"/>
              <w:bottom w:w="100.0" w:type="dxa"/>
              <w:right w:w="120.0" w:type="dxa"/>
            </w:tcMar>
          </w:tcPr>
          <w:p w:rsidR="00000000" w:rsidDel="00000000" w:rsidP="00000000" w:rsidRDefault="00000000" w:rsidRPr="00000000" w14:paraId="00000036">
            <w:pPr>
              <w:rPr/>
            </w:pPr>
            <w:r w:rsidDel="00000000" w:rsidR="00000000" w:rsidRPr="00000000">
              <w:rPr>
                <w:rFonts w:ascii="Calibri" w:cs="Calibri" w:eastAsia="Calibri" w:hAnsi="Calibri"/>
                <w:b w:val="1"/>
                <w:bCs w:val="1"/>
                <w:color w:val="ffffff"/>
                <w:sz w:val="19"/>
                <w:szCs w:val="19"/>
                <w:rtl w:val="0"/>
              </w:rPr>
              <w:t xml:space="preserve">Total Revenue</w:t>
            </w:r>
            <w:r w:rsidDel="00000000" w:rsidR="00000000" w:rsidRPr="00000000">
              <w:rPr>
                <w:rtl w:val="0"/>
              </w:rPr>
            </w:r>
          </w:p>
        </w:tc>
        <w:tc>
          <w:tcPr>
            <w:shd w:fill="1f3864" w:val="clear"/>
            <w:tcMar>
              <w:top w:w="100.0" w:type="dxa"/>
              <w:left w:w="120.0" w:type="dxa"/>
              <w:bottom w:w="100.0" w:type="dxa"/>
              <w:right w:w="120.0" w:type="dxa"/>
            </w:tcMar>
          </w:tcPr>
          <w:p w:rsidR="00000000" w:rsidDel="00000000" w:rsidP="00000000" w:rsidRDefault="00000000" w:rsidRPr="00000000" w14:paraId="00000037">
            <w:pPr>
              <w:rPr/>
            </w:pPr>
            <w:r w:rsidDel="00000000" w:rsidR="00000000" w:rsidRPr="00000000">
              <w:rPr>
                <w:rFonts w:ascii="Calibri" w:cs="Calibri" w:eastAsia="Calibri" w:hAnsi="Calibri"/>
                <w:b w:val="1"/>
                <w:bCs w:val="1"/>
                <w:color w:val="ffffff"/>
                <w:sz w:val="19"/>
                <w:szCs w:val="19"/>
                <w:rtl w:val="0"/>
              </w:rPr>
              <w:t xml:space="preserve">Orders</w:t>
            </w:r>
            <w:r w:rsidDel="00000000" w:rsidR="00000000" w:rsidRPr="00000000">
              <w:rPr>
                <w:rtl w:val="0"/>
              </w:rPr>
            </w:r>
          </w:p>
        </w:tc>
        <w:tc>
          <w:tcPr>
            <w:shd w:fill="1f3864" w:val="clear"/>
            <w:tcMar>
              <w:top w:w="100.0" w:type="dxa"/>
              <w:left w:w="120.0" w:type="dxa"/>
              <w:bottom w:w="100.0" w:type="dxa"/>
              <w:right w:w="120.0" w:type="dxa"/>
            </w:tcMar>
          </w:tcPr>
          <w:p w:rsidR="00000000" w:rsidDel="00000000" w:rsidP="00000000" w:rsidRDefault="00000000" w:rsidRPr="00000000" w14:paraId="00000038">
            <w:pPr>
              <w:rPr/>
            </w:pPr>
            <w:r w:rsidDel="00000000" w:rsidR="00000000" w:rsidRPr="00000000">
              <w:rPr>
                <w:rFonts w:ascii="Calibri" w:cs="Calibri" w:eastAsia="Calibri" w:hAnsi="Calibri"/>
                <w:b w:val="1"/>
                <w:bCs w:val="1"/>
                <w:color w:val="ffffff"/>
                <w:sz w:val="19"/>
                <w:szCs w:val="19"/>
                <w:rtl w:val="0"/>
              </w:rPr>
              <w:t xml:space="preserve">Avg Order Value</w:t>
            </w:r>
            <w:r w:rsidDel="00000000" w:rsidR="00000000" w:rsidRPr="00000000">
              <w:rPr>
                <w:rtl w:val="0"/>
              </w:rPr>
            </w:r>
          </w:p>
        </w:tc>
      </w:tr>
      <w:tr>
        <w:trPr>
          <w:cantSplit w:val="0"/>
          <w:tblHeader w:val="0"/>
        </w:trPr>
        <w:tc>
          <w:tcPr>
            <w:shd w:fill="ffffff" w:val="clear"/>
            <w:tcMar>
              <w:top w:w="90.0" w:type="dxa"/>
              <w:left w:w="120.0" w:type="dxa"/>
              <w:bottom w:w="90.0" w:type="dxa"/>
              <w:right w:w="120.0" w:type="dxa"/>
            </w:tcMar>
          </w:tcPr>
          <w:p w:rsidR="00000000" w:rsidDel="00000000" w:rsidP="00000000" w:rsidRDefault="00000000" w:rsidRPr="00000000" w14:paraId="00000039">
            <w:pPr>
              <w:rPr/>
            </w:pPr>
            <w:r w:rsidDel="00000000" w:rsidR="00000000" w:rsidRPr="00000000">
              <w:rPr>
                <w:rFonts w:ascii="Calibri" w:cs="Calibri" w:eastAsia="Calibri" w:hAnsi="Calibri"/>
                <w:sz w:val="19"/>
                <w:szCs w:val="19"/>
                <w:rtl w:val="0"/>
              </w:rPr>
              <w:t xml:space="preserve">Offline (in-store)</w:t>
            </w:r>
            <w:r w:rsidDel="00000000" w:rsidR="00000000" w:rsidRPr="00000000">
              <w:rPr>
                <w:rtl w:val="0"/>
              </w:rPr>
            </w:r>
          </w:p>
        </w:tc>
        <w:tc>
          <w:tcPr>
            <w:shd w:fill="ffffff" w:val="clear"/>
            <w:tcMar>
              <w:top w:w="90.0" w:type="dxa"/>
              <w:left w:w="120.0" w:type="dxa"/>
              <w:bottom w:w="90.0" w:type="dxa"/>
              <w:right w:w="120.0" w:type="dxa"/>
            </w:tcMar>
          </w:tcPr>
          <w:p w:rsidR="00000000" w:rsidDel="00000000" w:rsidP="00000000" w:rsidRDefault="00000000" w:rsidRPr="00000000" w14:paraId="0000003A">
            <w:pPr>
              <w:rPr/>
            </w:pPr>
            <w:r w:rsidDel="00000000" w:rsidR="00000000" w:rsidRPr="00000000">
              <w:rPr>
                <w:rFonts w:ascii="Calibri" w:cs="Calibri" w:eastAsia="Calibri" w:hAnsi="Calibri"/>
                <w:sz w:val="19"/>
                <w:szCs w:val="19"/>
                <w:rtl w:val="0"/>
              </w:rPr>
              <w:t xml:space="preserve">$42.2M</w:t>
            </w:r>
            <w:r w:rsidDel="00000000" w:rsidR="00000000" w:rsidRPr="00000000">
              <w:rPr>
                <w:rtl w:val="0"/>
              </w:rPr>
            </w:r>
          </w:p>
        </w:tc>
        <w:tc>
          <w:tcPr>
            <w:shd w:fill="ffffff" w:val="clear"/>
            <w:tcMar>
              <w:top w:w="90.0" w:type="dxa"/>
              <w:left w:w="120.0" w:type="dxa"/>
              <w:bottom w:w="90.0" w:type="dxa"/>
              <w:right w:w="120.0" w:type="dxa"/>
            </w:tcMar>
          </w:tcPr>
          <w:p w:rsidR="00000000" w:rsidDel="00000000" w:rsidP="00000000" w:rsidRDefault="00000000" w:rsidRPr="00000000" w14:paraId="0000003B">
            <w:pPr>
              <w:rPr/>
            </w:pPr>
            <w:r w:rsidDel="00000000" w:rsidR="00000000" w:rsidRPr="00000000">
              <w:rPr>
                <w:rFonts w:ascii="Calibri" w:cs="Calibri" w:eastAsia="Calibri" w:hAnsi="Calibri"/>
                <w:sz w:val="19"/>
                <w:szCs w:val="19"/>
                <w:rtl w:val="0"/>
              </w:rPr>
              <w:t xml:space="preserve">20,647</w:t>
            </w:r>
            <w:r w:rsidDel="00000000" w:rsidR="00000000" w:rsidRPr="00000000">
              <w:rPr>
                <w:rtl w:val="0"/>
              </w:rPr>
            </w:r>
          </w:p>
        </w:tc>
        <w:tc>
          <w:tcPr>
            <w:shd w:fill="ffffff" w:val="clear"/>
            <w:tcMar>
              <w:top w:w="90.0" w:type="dxa"/>
              <w:left w:w="120.0" w:type="dxa"/>
              <w:bottom w:w="90.0" w:type="dxa"/>
              <w:right w:w="120.0" w:type="dxa"/>
            </w:tcMar>
          </w:tcPr>
          <w:p w:rsidR="00000000" w:rsidDel="00000000" w:rsidP="00000000" w:rsidRDefault="00000000" w:rsidRPr="00000000" w14:paraId="0000003C">
            <w:pPr>
              <w:rPr/>
            </w:pPr>
            <w:r w:rsidDel="00000000" w:rsidR="00000000" w:rsidRPr="00000000">
              <w:rPr>
                <w:rFonts w:ascii="Calibri" w:cs="Calibri" w:eastAsia="Calibri" w:hAnsi="Calibri"/>
                <w:sz w:val="19"/>
                <w:szCs w:val="19"/>
                <w:rtl w:val="0"/>
              </w:rPr>
              <w:t xml:space="preserve">$2,043</w:t>
            </w:r>
            <w:r w:rsidDel="00000000" w:rsidR="00000000" w:rsidRPr="00000000">
              <w:rPr>
                <w:rtl w:val="0"/>
              </w:rPr>
            </w:r>
          </w:p>
        </w:tc>
      </w:tr>
      <w:tr>
        <w:trPr>
          <w:cantSplit w:val="0"/>
          <w:tblHeader w:val="0"/>
        </w:trPr>
        <w:tc>
          <w:tcPr>
            <w:shd w:fill="f2f2f2" w:val="clear"/>
            <w:tcMar>
              <w:top w:w="90.0" w:type="dxa"/>
              <w:left w:w="120.0" w:type="dxa"/>
              <w:bottom w:w="90.0" w:type="dxa"/>
              <w:right w:w="120.0" w:type="dxa"/>
            </w:tcMar>
          </w:tcPr>
          <w:p w:rsidR="00000000" w:rsidDel="00000000" w:rsidP="00000000" w:rsidRDefault="00000000" w:rsidRPr="00000000" w14:paraId="0000003D">
            <w:pPr>
              <w:rPr/>
            </w:pPr>
            <w:r w:rsidDel="00000000" w:rsidR="00000000" w:rsidRPr="00000000">
              <w:rPr>
                <w:rFonts w:ascii="Calibri" w:cs="Calibri" w:eastAsia="Calibri" w:hAnsi="Calibri"/>
                <w:sz w:val="19"/>
                <w:szCs w:val="19"/>
                <w:rtl w:val="0"/>
              </w:rPr>
              <w:t xml:space="preserve">Online</w:t>
            </w:r>
            <w:r w:rsidDel="00000000" w:rsidR="00000000" w:rsidRPr="00000000">
              <w:rPr>
                <w:rtl w:val="0"/>
              </w:rPr>
            </w:r>
          </w:p>
        </w:tc>
        <w:tc>
          <w:tcPr>
            <w:shd w:fill="f2f2f2" w:val="clear"/>
            <w:tcMar>
              <w:top w:w="90.0" w:type="dxa"/>
              <w:left w:w="120.0" w:type="dxa"/>
              <w:bottom w:w="90.0" w:type="dxa"/>
              <w:right w:w="120.0" w:type="dxa"/>
            </w:tcMar>
          </w:tcPr>
          <w:p w:rsidR="00000000" w:rsidDel="00000000" w:rsidP="00000000" w:rsidRDefault="00000000" w:rsidRPr="00000000" w14:paraId="0000003E">
            <w:pPr>
              <w:rPr/>
            </w:pPr>
            <w:r w:rsidDel="00000000" w:rsidR="00000000" w:rsidRPr="00000000">
              <w:rPr>
                <w:rFonts w:ascii="Calibri" w:cs="Calibri" w:eastAsia="Calibri" w:hAnsi="Calibri"/>
                <w:sz w:val="19"/>
                <w:szCs w:val="19"/>
                <w:rtl w:val="0"/>
              </w:rPr>
              <w:t xml:space="preserve">$10.8M</w:t>
            </w:r>
            <w:r w:rsidDel="00000000" w:rsidR="00000000" w:rsidRPr="00000000">
              <w:rPr>
                <w:rtl w:val="0"/>
              </w:rPr>
            </w:r>
          </w:p>
        </w:tc>
        <w:tc>
          <w:tcPr>
            <w:shd w:fill="f2f2f2" w:val="clear"/>
            <w:tcMar>
              <w:top w:w="90.0" w:type="dxa"/>
              <w:left w:w="120.0" w:type="dxa"/>
              <w:bottom w:w="90.0" w:type="dxa"/>
              <w:right w:w="120.0" w:type="dxa"/>
            </w:tcMar>
          </w:tcPr>
          <w:p w:rsidR="00000000" w:rsidDel="00000000" w:rsidP="00000000" w:rsidRDefault="00000000" w:rsidRPr="00000000" w14:paraId="0000003F">
            <w:pPr>
              <w:rPr/>
            </w:pPr>
            <w:r w:rsidDel="00000000" w:rsidR="00000000" w:rsidRPr="00000000">
              <w:rPr>
                <w:rFonts w:ascii="Calibri" w:cs="Calibri" w:eastAsia="Calibri" w:hAnsi="Calibri"/>
                <w:sz w:val="19"/>
                <w:szCs w:val="19"/>
                <w:rtl w:val="0"/>
              </w:rPr>
              <w:t xml:space="preserve">5,541</w:t>
            </w:r>
            <w:r w:rsidDel="00000000" w:rsidR="00000000" w:rsidRPr="00000000">
              <w:rPr>
                <w:rtl w:val="0"/>
              </w:rPr>
            </w:r>
          </w:p>
        </w:tc>
        <w:tc>
          <w:tcPr>
            <w:shd w:fill="f2f2f2" w:val="clear"/>
            <w:tcMar>
              <w:top w:w="90.0" w:type="dxa"/>
              <w:left w:w="120.0" w:type="dxa"/>
              <w:bottom w:w="90.0" w:type="dxa"/>
              <w:right w:w="120.0" w:type="dxa"/>
            </w:tcMar>
          </w:tcPr>
          <w:p w:rsidR="00000000" w:rsidDel="00000000" w:rsidP="00000000" w:rsidRDefault="00000000" w:rsidRPr="00000000" w14:paraId="00000040">
            <w:pPr>
              <w:rPr/>
            </w:pPr>
            <w:r w:rsidDel="00000000" w:rsidR="00000000" w:rsidRPr="00000000">
              <w:rPr>
                <w:rFonts w:ascii="Calibri" w:cs="Calibri" w:eastAsia="Calibri" w:hAnsi="Calibri"/>
                <w:sz w:val="19"/>
                <w:szCs w:val="19"/>
                <w:rtl w:val="0"/>
              </w:rPr>
              <w:t xml:space="preserve">$1,957</w:t>
            </w:r>
            <w:r w:rsidDel="00000000" w:rsidR="00000000" w:rsidRPr="00000000">
              <w:rPr>
                <w:rtl w:val="0"/>
              </w:rPr>
            </w:r>
          </w:p>
        </w:tc>
      </w:tr>
    </w:tbl>
    <w:p w:rsidR="00000000" w:rsidDel="00000000" w:rsidP="00000000" w:rsidRDefault="00000000" w:rsidRPr="00000000" w14:paraId="00000041">
      <w:pPr>
        <w:spacing w:after="160" w:line="276" w:lineRule="auto"/>
        <w:rPr/>
      </w:pPr>
      <w:r w:rsidDel="00000000" w:rsidR="00000000" w:rsidRPr="00000000">
        <w:rPr>
          <w:rtl w:val="0"/>
        </w:rPr>
      </w:r>
    </w:p>
    <w:p w:rsidR="00000000" w:rsidDel="00000000" w:rsidP="00000000" w:rsidRDefault="00000000" w:rsidRPr="00000000" w14:paraId="00000042">
      <w:pPr>
        <w:spacing w:after="160" w:line="276" w:lineRule="auto"/>
        <w:rPr/>
      </w:pPr>
      <w:r w:rsidDel="00000000" w:rsidR="00000000" w:rsidRPr="00000000">
        <w:rPr>
          <w:rFonts w:ascii="Calibri" w:cs="Calibri" w:eastAsia="Calibri" w:hAnsi="Calibri"/>
          <w:sz w:val="21"/>
          <w:szCs w:val="21"/>
          <w:rtl w:val="0"/>
        </w:rPr>
        <w:t xml:space="preserve">Offline is the dominant channel, generating roughly 4x the revenue of online and accounting for about 79% of all orders. The AOV gap between channels is modest (about $86, or 4%) and stayed essentially flat during the 2019–2020 decline, indicating the two channels serve a similar mix of basket sizes rather than online being reserved for smaller, incidental purchases.</w:t>
      </w:r>
      <w:r w:rsidDel="00000000" w:rsidR="00000000" w:rsidRPr="00000000">
        <w:rPr>
          <w:rtl w:val="0"/>
        </w:rPr>
      </w:r>
    </w:p>
    <w:p w:rsidR="00000000" w:rsidDel="00000000" w:rsidP="00000000" w:rsidRDefault="00000000" w:rsidRPr="00000000" w14:paraId="00000043">
      <w:pPr>
        <w:pStyle w:val="Heading1"/>
        <w:pBdr>
          <w:bottom w:color="1f3864" w:space="4" w:sz="6" w:val="single"/>
        </w:pBdr>
        <w:spacing w:after="200" w:before="400" w:lineRule="auto"/>
        <w:rPr/>
      </w:pPr>
      <w:r w:rsidDel="00000000" w:rsidR="00000000" w:rsidRPr="00000000">
        <w:rPr>
          <w:rFonts w:ascii="Calibri" w:cs="Calibri" w:eastAsia="Calibri" w:hAnsi="Calibri"/>
          <w:b w:val="1"/>
          <w:bCs w:val="1"/>
          <w:color w:val="1f3864"/>
          <w:sz w:val="30"/>
          <w:szCs w:val="30"/>
          <w:rtl w:val="0"/>
        </w:rPr>
        <w:t xml:space="preserve">Deep Dive: Why Did Sales Decline from 2019 to 2020?</w:t>
      </w:r>
      <w:r w:rsidDel="00000000" w:rsidR="00000000" w:rsidRPr="00000000">
        <w:rPr>
          <w:rtl w:val="0"/>
        </w:rPr>
      </w:r>
    </w:p>
    <w:p w:rsidR="00000000" w:rsidDel="00000000" w:rsidP="00000000" w:rsidRDefault="00000000" w:rsidRPr="00000000" w14:paraId="00000044">
      <w:pPr>
        <w:spacing w:after="160" w:line="276" w:lineRule="auto"/>
        <w:rPr/>
      </w:pPr>
      <w:r w:rsidDel="00000000" w:rsidR="00000000" w:rsidRPr="00000000">
        <w:rPr>
          <w:rFonts w:ascii="Calibri" w:cs="Calibri" w:eastAsia="Calibri" w:hAnsi="Calibri"/>
          <w:sz w:val="21"/>
          <w:szCs w:val="21"/>
          <w:rtl w:val="0"/>
        </w:rPr>
        <w:t xml:space="preserve">Total revenue fell from $16.4M in 2019 to $8.4M in 2020 (–49%), with orders falling from 8,896 to 4,534 and active customers from 6,399 to 3,802. Four data points together point to a clear cause.</w:t>
      </w:r>
      <w:r w:rsidDel="00000000" w:rsidR="00000000" w:rsidRPr="00000000">
        <w:rPr>
          <w:rtl w:val="0"/>
        </w:rPr>
      </w:r>
    </w:p>
    <w:p w:rsidR="00000000" w:rsidDel="00000000" w:rsidP="00000000" w:rsidRDefault="00000000" w:rsidRPr="00000000" w14:paraId="00000045">
      <w:pPr>
        <w:pStyle w:val="Heading2"/>
        <w:spacing w:after="120" w:before="300" w:lineRule="auto"/>
        <w:rPr/>
      </w:pPr>
      <w:r w:rsidDel="00000000" w:rsidR="00000000" w:rsidRPr="00000000">
        <w:rPr>
          <w:rFonts w:ascii="Calibri" w:cs="Calibri" w:eastAsia="Calibri" w:hAnsi="Calibri"/>
          <w:b w:val="1"/>
          <w:bCs w:val="1"/>
          <w:color w:val="1f3864"/>
          <w:sz w:val="24"/>
          <w:szCs w:val="24"/>
          <w:rtl w:val="0"/>
        </w:rPr>
        <w:t xml:space="preserve">A. The decline is a hard break in March 2020, not a slow slide</w:t>
      </w:r>
      <w:r w:rsidDel="00000000" w:rsidR="00000000" w:rsidRPr="00000000">
        <w:rPr>
          <w:rtl w:val="0"/>
        </w:rPr>
      </w:r>
    </w:p>
    <w:p w:rsidR="00000000" w:rsidDel="00000000" w:rsidP="00000000" w:rsidRDefault="00000000" w:rsidRPr="00000000" w14:paraId="00000046">
      <w:pPr>
        <w:spacing w:after="160" w:line="276" w:lineRule="auto"/>
        <w:rPr/>
      </w:pPr>
      <w:r w:rsidDel="00000000" w:rsidR="00000000" w:rsidRPr="00000000">
        <w:rPr>
          <w:rFonts w:ascii="Calibri" w:cs="Calibri" w:eastAsia="Calibri" w:hAnsi="Calibri"/>
          <w:sz w:val="21"/>
          <w:szCs w:val="21"/>
          <w:rtl w:val="0"/>
        </w:rPr>
        <w:t xml:space="preserve">January and February 2020 actually outperformed the same months in 2019. Revenue then fell 60–75% starting in March 2020 and never recovered for the rest of the year — a pattern inconsistent with a gradual 2019 downturn and highly consistent with the timing of COVID-19 lockdowns and reduced store traffic.</w:t>
      </w:r>
      <w:r w:rsidDel="00000000" w:rsidR="00000000" w:rsidRPr="00000000">
        <w:rPr>
          <w:rtl w:val="0"/>
        </w:rPr>
      </w:r>
    </w:p>
    <w:p w:rsidR="00000000" w:rsidDel="00000000" w:rsidP="00000000" w:rsidRDefault="00000000" w:rsidRPr="00000000" w14:paraId="00000047">
      <w:pPr>
        <w:spacing w:after="60" w:before="120" w:lineRule="auto"/>
        <w:jc w:val="center"/>
        <w:rPr/>
      </w:pPr>
      <w:r w:rsidDel="00000000" w:rsidR="00000000" w:rsidRPr="00000000">
        <w:rPr/>
        <w:drawing>
          <wp:inline distB="0" distT="0" distL="0" distR="0">
            <wp:extent cx="5524500" cy="2943225"/>
            <wp:effectExtent b="0" l="0" r="0" t="0"/>
            <wp:docPr id="6" name="image4.png"/>
            <a:graphic>
              <a:graphicData uri="http://schemas.openxmlformats.org/drawingml/2006/picture">
                <pic:pic>
                  <pic:nvPicPr>
                    <pic:cNvPr id="0" name="image4.png"/>
                    <pic:cNvPicPr preferRelativeResize="0"/>
                  </pic:nvPicPr>
                  <pic:blipFill>
                    <a:blip r:embed="rId9"/>
                    <a:srcRect b="0" l="0" r="0" t="0"/>
                    <a:stretch>
                      <a:fillRect/>
                    </a:stretch>
                  </pic:blipFill>
                  <pic:spPr>
                    <a:xfrm>
                      <a:off x="0" y="0"/>
                      <a:ext cx="5524500" cy="2943225"/>
                    </a:xfrm>
                    <a:prstGeom prst="rect"/>
                    <a:ln/>
                  </pic:spPr>
                </pic:pic>
              </a:graphicData>
            </a:graphic>
          </wp:inline>
        </w:drawing>
      </w:r>
      <w:r w:rsidDel="00000000" w:rsidR="00000000" w:rsidRPr="00000000">
        <w:rPr>
          <w:rtl w:val="0"/>
        </w:rPr>
      </w:r>
    </w:p>
    <w:p w:rsidR="00000000" w:rsidDel="00000000" w:rsidP="00000000" w:rsidRDefault="00000000" w:rsidRPr="00000000" w14:paraId="00000048">
      <w:pPr>
        <w:spacing w:after="240" w:lineRule="auto"/>
        <w:jc w:val="center"/>
        <w:rPr/>
      </w:pPr>
      <w:r w:rsidDel="00000000" w:rsidR="00000000" w:rsidRPr="00000000">
        <w:rPr>
          <w:rFonts w:ascii="Calibri" w:cs="Calibri" w:eastAsia="Calibri" w:hAnsi="Calibri"/>
          <w:i w:val="1"/>
          <w:iCs w:val="1"/>
          <w:color w:val="595959"/>
          <w:sz w:val="18"/>
          <w:szCs w:val="18"/>
          <w:rtl w:val="0"/>
        </w:rPr>
        <w:t xml:space="preserve">Figure 4. Monthly revenue, 2019 vs. 2020. The shaded band marks March–April, when the divergence begins.</w:t>
      </w:r>
      <w:r w:rsidDel="00000000" w:rsidR="00000000" w:rsidRPr="00000000">
        <w:rPr>
          <w:rtl w:val="0"/>
        </w:rPr>
      </w:r>
    </w:p>
    <w:p w:rsidR="00000000" w:rsidDel="00000000" w:rsidP="00000000" w:rsidRDefault="00000000" w:rsidRPr="00000000" w14:paraId="00000049">
      <w:pPr>
        <w:pStyle w:val="Heading2"/>
        <w:spacing w:after="120" w:before="300" w:lineRule="auto"/>
        <w:rPr/>
      </w:pPr>
      <w:r w:rsidDel="00000000" w:rsidR="00000000" w:rsidRPr="00000000">
        <w:rPr>
          <w:rFonts w:ascii="Calibri" w:cs="Calibri" w:eastAsia="Calibri" w:hAnsi="Calibri"/>
          <w:b w:val="1"/>
          <w:bCs w:val="1"/>
          <w:color w:val="1f3864"/>
          <w:sz w:val="24"/>
          <w:szCs w:val="24"/>
          <w:rtl w:val="0"/>
        </w:rPr>
        <w:t xml:space="preserve">B. It is a volume collapse, not a pricing or basket-size problem</w:t>
      </w:r>
      <w:r w:rsidDel="00000000" w:rsidR="00000000" w:rsidRPr="00000000">
        <w:rPr>
          <w:rtl w:val="0"/>
        </w:rPr>
      </w:r>
    </w:p>
    <w:p w:rsidR="00000000" w:rsidDel="00000000" w:rsidP="00000000" w:rsidRDefault="00000000" w:rsidRPr="00000000" w14:paraId="0000004A">
      <w:pPr>
        <w:spacing w:after="160" w:line="276" w:lineRule="auto"/>
        <w:rPr/>
      </w:pPr>
      <w:r w:rsidDel="00000000" w:rsidR="00000000" w:rsidRPr="00000000">
        <w:rPr>
          <w:rFonts w:ascii="Calibri" w:cs="Calibri" w:eastAsia="Calibri" w:hAnsi="Calibri"/>
          <w:sz w:val="21"/>
          <w:szCs w:val="21"/>
          <w:rtl w:val="0"/>
        </w:rPr>
        <w:t xml:space="preserve">Average order value was essentially unchanged: $1,856 (2019) vs. $1,878 (2020) in-store, and $1,810 vs. $1,792 online. Customers who purchased spent about the same as before. The revenue loss is fully explained by fewer orders from fewer customers, not discounting, smaller baskets, or price cuts.</w:t>
      </w:r>
      <w:r w:rsidDel="00000000" w:rsidR="00000000" w:rsidRPr="00000000">
        <w:rPr>
          <w:rtl w:val="0"/>
        </w:rPr>
      </w:r>
    </w:p>
    <w:p w:rsidR="00000000" w:rsidDel="00000000" w:rsidP="00000000" w:rsidRDefault="00000000" w:rsidRPr="00000000" w14:paraId="0000004B">
      <w:pPr>
        <w:pStyle w:val="Heading2"/>
        <w:spacing w:after="120" w:before="300" w:lineRule="auto"/>
        <w:rPr/>
      </w:pPr>
      <w:r w:rsidDel="00000000" w:rsidR="00000000" w:rsidRPr="00000000">
        <w:rPr>
          <w:rFonts w:ascii="Calibri" w:cs="Calibri" w:eastAsia="Calibri" w:hAnsi="Calibri"/>
          <w:b w:val="1"/>
          <w:bCs w:val="1"/>
          <w:color w:val="1f3864"/>
          <w:sz w:val="24"/>
          <w:szCs w:val="24"/>
          <w:rtl w:val="0"/>
        </w:rPr>
        <w:t xml:space="preserve">C. The impact was broad-based across products, geography, and channel</w:t>
      </w:r>
      <w:r w:rsidDel="00000000" w:rsidR="00000000" w:rsidRPr="00000000">
        <w:rPr>
          <w:rtl w:val="0"/>
        </w:rPr>
      </w:r>
    </w:p>
    <w:p w:rsidR="00000000" w:rsidDel="00000000" w:rsidP="00000000" w:rsidRDefault="00000000" w:rsidRPr="00000000" w14:paraId="0000004C">
      <w:pPr>
        <w:spacing w:after="160" w:line="276" w:lineRule="auto"/>
        <w:rPr/>
      </w:pPr>
      <w:r w:rsidDel="00000000" w:rsidR="00000000" w:rsidRPr="00000000">
        <w:rPr>
          <w:rFonts w:ascii="Calibri" w:cs="Calibri" w:eastAsia="Calibri" w:hAnsi="Calibri"/>
          <w:sz w:val="21"/>
          <w:szCs w:val="21"/>
          <w:rtl w:val="0"/>
        </w:rPr>
        <w:t xml:space="preserve">Every product category declined between 44% and 59% — Audio was hit hardest, Cell phones least. Every major market declined between 44% and 62%, except France, which held up notably better at –26%. Store count was nearly unchanged (55 → 53 active stores), ruling out store closures as the cause.</w:t>
      </w:r>
      <w:r w:rsidDel="00000000" w:rsidR="00000000" w:rsidRPr="00000000">
        <w:rPr>
          <w:rtl w:val="0"/>
        </w:rPr>
      </w:r>
    </w:p>
    <w:p w:rsidR="00000000" w:rsidDel="00000000" w:rsidP="00000000" w:rsidRDefault="00000000" w:rsidRPr="00000000" w14:paraId="0000004D">
      <w:pPr>
        <w:spacing w:after="60" w:before="120" w:lineRule="auto"/>
        <w:jc w:val="center"/>
        <w:rPr/>
      </w:pPr>
      <w:r w:rsidDel="00000000" w:rsidR="00000000" w:rsidRPr="00000000">
        <w:rPr/>
        <w:drawing>
          <wp:inline distB="0" distT="0" distL="0" distR="0">
            <wp:extent cx="5524500" cy="2943225"/>
            <wp:effectExtent b="0" l="0" r="0" t="0"/>
            <wp:docPr id="5" name="image2.png"/>
            <a:graphic>
              <a:graphicData uri="http://schemas.openxmlformats.org/drawingml/2006/picture">
                <pic:pic>
                  <pic:nvPicPr>
                    <pic:cNvPr id="0" name="image2.png"/>
                    <pic:cNvPicPr preferRelativeResize="0"/>
                  </pic:nvPicPr>
                  <pic:blipFill>
                    <a:blip r:embed="rId10"/>
                    <a:srcRect b="0" l="0" r="0" t="0"/>
                    <a:stretch>
                      <a:fillRect/>
                    </a:stretch>
                  </pic:blipFill>
                  <pic:spPr>
                    <a:xfrm>
                      <a:off x="0" y="0"/>
                      <a:ext cx="5524500" cy="2943225"/>
                    </a:xfrm>
                    <a:prstGeom prst="rect"/>
                    <a:ln/>
                  </pic:spPr>
                </pic:pic>
              </a:graphicData>
            </a:graphic>
          </wp:inline>
        </w:drawing>
      </w:r>
      <w:r w:rsidDel="00000000" w:rsidR="00000000" w:rsidRPr="00000000">
        <w:rPr>
          <w:rtl w:val="0"/>
        </w:rPr>
      </w:r>
    </w:p>
    <w:p w:rsidR="00000000" w:rsidDel="00000000" w:rsidP="00000000" w:rsidRDefault="00000000" w:rsidRPr="00000000" w14:paraId="0000004E">
      <w:pPr>
        <w:spacing w:after="240" w:lineRule="auto"/>
        <w:jc w:val="center"/>
        <w:rPr/>
      </w:pPr>
      <w:r w:rsidDel="00000000" w:rsidR="00000000" w:rsidRPr="00000000">
        <w:rPr>
          <w:rFonts w:ascii="Calibri" w:cs="Calibri" w:eastAsia="Calibri" w:hAnsi="Calibri"/>
          <w:i w:val="1"/>
          <w:iCs w:val="1"/>
          <w:color w:val="595959"/>
          <w:sz w:val="18"/>
          <w:szCs w:val="18"/>
          <w:rtl w:val="0"/>
        </w:rPr>
        <w:t xml:space="preserve">Figure 5. Revenue by top market, 2019 vs. 2020.</w:t>
      </w:r>
      <w:r w:rsidDel="00000000" w:rsidR="00000000" w:rsidRPr="00000000">
        <w:rPr>
          <w:rtl w:val="0"/>
        </w:rPr>
      </w:r>
    </w:p>
    <w:p w:rsidR="00000000" w:rsidDel="00000000" w:rsidP="00000000" w:rsidRDefault="00000000" w:rsidRPr="00000000" w14:paraId="0000004F">
      <w:pPr>
        <w:spacing w:after="160" w:line="276" w:lineRule="auto"/>
        <w:rPr/>
      </w:pPr>
      <w:r w:rsidDel="00000000" w:rsidR="00000000" w:rsidRPr="00000000">
        <w:rPr>
          <w:rFonts w:ascii="Calibri" w:cs="Calibri" w:eastAsia="Calibri" w:hAnsi="Calibri"/>
          <w:sz w:val="21"/>
          <w:szCs w:val="21"/>
          <w:rtl w:val="0"/>
        </w:rPr>
        <w:t xml:space="preserve">Most notably, online revenue fell 47% — almost as much as offline's 49% decline. In a typical pandemic scenario, online sales absorb demand displaced from closed stores; that did not happen here, suggesting the drop reflects overall demand destruction (customers pulling back on discretionary electronics spending) rather than a channel-specific or operational failure.</w:t>
      </w:r>
      <w:r w:rsidDel="00000000" w:rsidR="00000000" w:rsidRPr="00000000">
        <w:rPr>
          <w:rtl w:val="0"/>
        </w:rPr>
      </w:r>
    </w:p>
    <w:p w:rsidR="00000000" w:rsidDel="00000000" w:rsidP="00000000" w:rsidRDefault="00000000" w:rsidRPr="00000000" w14:paraId="00000050">
      <w:pPr>
        <w:pStyle w:val="Heading2"/>
        <w:spacing w:after="120" w:before="300" w:lineRule="auto"/>
        <w:rPr/>
      </w:pPr>
      <w:r w:rsidDel="00000000" w:rsidR="00000000" w:rsidRPr="00000000">
        <w:rPr>
          <w:rFonts w:ascii="Calibri" w:cs="Calibri" w:eastAsia="Calibri" w:hAnsi="Calibri"/>
          <w:b w:val="1"/>
          <w:bCs w:val="1"/>
          <w:color w:val="1f3864"/>
          <w:sz w:val="24"/>
          <w:szCs w:val="24"/>
          <w:rtl w:val="0"/>
        </w:rPr>
        <w:t xml:space="preserve">D. Seasonality alone does not explain it</w:t>
      </w:r>
      <w:r w:rsidDel="00000000" w:rsidR="00000000" w:rsidRPr="00000000">
        <w:rPr>
          <w:rtl w:val="0"/>
        </w:rPr>
      </w:r>
    </w:p>
    <w:p w:rsidR="00000000" w:rsidDel="00000000" w:rsidP="00000000" w:rsidRDefault="00000000" w:rsidRPr="00000000" w14:paraId="00000051">
      <w:pPr>
        <w:spacing w:after="160" w:line="276" w:lineRule="auto"/>
        <w:rPr/>
      </w:pPr>
      <w:r w:rsidDel="00000000" w:rsidR="00000000" w:rsidRPr="00000000">
        <w:rPr>
          <w:rFonts w:ascii="Calibri" w:cs="Calibri" w:eastAsia="Calibri" w:hAnsi="Calibri"/>
          <w:sz w:val="21"/>
          <w:szCs w:val="21"/>
          <w:rtl w:val="0"/>
        </w:rPr>
        <w:t xml:space="preserve">The March–April trough is normal for this business (see Figure 2), but in 2020 revenue never recovered to seasonal norms afterward — May through December 2020 all ran 40–85% below the equivalent 2019 months, well outside the usual seasonal rebound pattern.</w:t>
      </w:r>
      <w:r w:rsidDel="00000000" w:rsidR="00000000" w:rsidRPr="00000000">
        <w:rPr>
          <w:rtl w:val="0"/>
        </w:rPr>
      </w:r>
    </w:p>
    <w:p w:rsidR="00000000" w:rsidDel="00000000" w:rsidP="00000000" w:rsidRDefault="00000000" w:rsidRPr="00000000" w14:paraId="00000052">
      <w:pPr>
        <w:pStyle w:val="Heading1"/>
        <w:pBdr>
          <w:bottom w:color="1f3864" w:space="4" w:sz="6" w:val="single"/>
        </w:pBdr>
        <w:spacing w:after="200" w:before="400" w:lineRule="auto"/>
        <w:rPr/>
      </w:pPr>
      <w:r w:rsidDel="00000000" w:rsidR="00000000" w:rsidRPr="00000000">
        <w:rPr>
          <w:rFonts w:ascii="Calibri" w:cs="Calibri" w:eastAsia="Calibri" w:hAnsi="Calibri"/>
          <w:b w:val="1"/>
          <w:bCs w:val="1"/>
          <w:color w:val="1f3864"/>
          <w:sz w:val="30"/>
          <w:szCs w:val="30"/>
          <w:rtl w:val="0"/>
        </w:rPr>
        <w:t xml:space="preserve">Recommendations</w:t>
      </w:r>
      <w:r w:rsidDel="00000000" w:rsidR="00000000" w:rsidRPr="00000000">
        <w:rPr>
          <w:rtl w:val="0"/>
        </w:rPr>
      </w:r>
    </w:p>
    <w:p w:rsidR="00000000" w:rsidDel="00000000" w:rsidP="00000000" w:rsidRDefault="00000000" w:rsidRPr="00000000" w14:paraId="0000005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64" w:lineRule="auto"/>
        <w:ind w:left="400" w:right="0" w:hanging="2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Strengthen online as a demand shock absorber. Since online declined in lockstep with offline instead of offsetting it, review digital marketing spend, delivery capacity, and online stock availability during the March–April 2020 window to identify why e-commerce did not flex upward when in-store traffic fell.</w:t>
      </w:r>
      <w:r w:rsidDel="00000000" w:rsidR="00000000" w:rsidRPr="00000000">
        <w:rPr>
          <w:rtl w:val="0"/>
        </w:rPr>
      </w:r>
    </w:p>
    <w:p w:rsidR="00000000" w:rsidDel="00000000" w:rsidP="00000000" w:rsidRDefault="00000000" w:rsidRPr="00000000" w14:paraId="0000005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64" w:lineRule="auto"/>
        <w:ind w:left="400" w:right="0" w:hanging="2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Prioritize customer win-back over basket-size tactics. Because AOV was stable and the drop was driven by a 41% fall in active customers, recovery efforts (loyalty campaigns, targeted reactivation offers, email/SMS win-back) are likely to have more impact than price promotions or upsell pushes.</w:t>
      </w:r>
      <w:r w:rsidDel="00000000" w:rsidR="00000000" w:rsidRPr="00000000">
        <w:rPr>
          <w:rtl w:val="0"/>
        </w:rPr>
      </w:r>
    </w:p>
    <w:p w:rsidR="00000000" w:rsidDel="00000000" w:rsidP="00000000" w:rsidRDefault="00000000" w:rsidRPr="00000000" w14:paraId="0000005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64" w:lineRule="auto"/>
        <w:ind w:left="400" w:right="0" w:hanging="2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Use category resilience to guide inventory and promotions. Cell phones and Music/Movies held up best (-44%) while Audio and Home Appliances fell hardest (-56% to -59%), suggesting customers treated some categories as more essential during the downturn; weight future promotional and inventory planning accordingly during demand shocks.</w:t>
      </w:r>
      <w:r w:rsidDel="00000000" w:rsidR="00000000" w:rsidRPr="00000000">
        <w:rPr>
          <w:rtl w:val="0"/>
        </w:rPr>
      </w:r>
    </w:p>
    <w:p w:rsidR="00000000" w:rsidDel="00000000" w:rsidP="00000000" w:rsidRDefault="00000000" w:rsidRPr="00000000" w14:paraId="0000005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64" w:lineRule="auto"/>
        <w:ind w:left="400" w:right="0" w:hanging="2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Study the France exception as a playbook. France's smaller decline (-26% vs. -45% to -62% elsewhere) is worth a focused review of local store operations, promotions, or category mix that may be replicable in other markets.</w:t>
      </w:r>
      <w:r w:rsidDel="00000000" w:rsidR="00000000" w:rsidRPr="00000000">
        <w:rPr>
          <w:rtl w:val="0"/>
        </w:rPr>
      </w:r>
    </w:p>
    <w:p w:rsidR="00000000" w:rsidDel="00000000" w:rsidP="00000000" w:rsidRDefault="00000000" w:rsidRPr="00000000" w14:paraId="0000005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64" w:lineRule="auto"/>
        <w:ind w:left="400" w:right="0" w:hanging="2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Build a monthly early-warning view. Because the 2020 decline was visible in the data within the first month it began (March), an interactive report with month-over-month and year-over-year revenue tracking by channel, category, and market would let management flag similar demand shocks earlier in the future.</w:t>
      </w:r>
      <w:r w:rsidDel="00000000" w:rsidR="00000000" w:rsidRPr="00000000">
        <w:rPr>
          <w:rtl w:val="0"/>
        </w:rPr>
      </w:r>
    </w:p>
    <w:p w:rsidR="00000000" w:rsidDel="00000000" w:rsidP="00000000" w:rsidRDefault="00000000" w:rsidRPr="00000000" w14:paraId="00000058">
      <w:pPr>
        <w:pStyle w:val="Heading1"/>
        <w:pBdr>
          <w:bottom w:color="1f3864" w:space="4" w:sz="6" w:val="single"/>
        </w:pBdr>
        <w:spacing w:after="200" w:before="400" w:lineRule="auto"/>
        <w:rPr/>
      </w:pPr>
      <w:r w:rsidDel="00000000" w:rsidR="00000000" w:rsidRPr="00000000">
        <w:rPr>
          <w:rFonts w:ascii="Calibri" w:cs="Calibri" w:eastAsia="Calibri" w:hAnsi="Calibri"/>
          <w:b w:val="1"/>
          <w:bCs w:val="1"/>
          <w:color w:val="1f3864"/>
          <w:sz w:val="30"/>
          <w:szCs w:val="30"/>
          <w:rtl w:val="0"/>
        </w:rPr>
        <w:t xml:space="preserve">Appendix: Annual Revenue Trend, 2016–2020</w:t>
      </w:r>
      <w:r w:rsidDel="00000000" w:rsidR="00000000" w:rsidRPr="00000000">
        <w:rPr>
          <w:rtl w:val="0"/>
        </w:rPr>
      </w:r>
    </w:p>
    <w:p w:rsidR="00000000" w:rsidDel="00000000" w:rsidP="00000000" w:rsidRDefault="00000000" w:rsidRPr="00000000" w14:paraId="00000059">
      <w:pPr>
        <w:spacing w:after="160" w:line="276" w:lineRule="auto"/>
        <w:rPr/>
      </w:pPr>
      <w:r w:rsidDel="00000000" w:rsidR="00000000" w:rsidRPr="00000000">
        <w:rPr>
          <w:rFonts w:ascii="Calibri" w:cs="Calibri" w:eastAsia="Calibri" w:hAnsi="Calibri"/>
          <w:sz w:val="21"/>
          <w:szCs w:val="21"/>
          <w:rtl w:val="0"/>
        </w:rPr>
        <w:t xml:space="preserve">For context, revenue grew every year from 2016 through 2019 before the 2020 decline, more than doubling over that period. This underscores that 2020 was a reversal of a previously healthy growth trajectory, not a continuation of an existing downward trend.</w:t>
      </w:r>
      <w:r w:rsidDel="00000000" w:rsidR="00000000" w:rsidRPr="00000000">
        <w:rPr>
          <w:rtl w:val="0"/>
        </w:rPr>
      </w:r>
    </w:p>
    <w:p w:rsidR="00000000" w:rsidDel="00000000" w:rsidP="00000000" w:rsidRDefault="00000000" w:rsidRPr="00000000" w14:paraId="0000005A">
      <w:pPr>
        <w:spacing w:after="60" w:before="120" w:lineRule="auto"/>
        <w:jc w:val="center"/>
        <w:rPr/>
      </w:pPr>
      <w:r w:rsidDel="00000000" w:rsidR="00000000" w:rsidRPr="00000000">
        <w:rPr/>
        <w:drawing>
          <wp:inline distB="0" distT="0" distL="0" distR="0">
            <wp:extent cx="5524500" cy="2790825"/>
            <wp:effectExtent b="0" l="0" r="0" t="0"/>
            <wp:docPr id="1" name="image5.png"/>
            <a:graphic>
              <a:graphicData uri="http://schemas.openxmlformats.org/drawingml/2006/picture">
                <pic:pic>
                  <pic:nvPicPr>
                    <pic:cNvPr id="0" name="image5.png"/>
                    <pic:cNvPicPr preferRelativeResize="0"/>
                  </pic:nvPicPr>
                  <pic:blipFill>
                    <a:blip r:embed="rId11"/>
                    <a:srcRect b="0" l="0" r="0" t="0"/>
                    <a:stretch>
                      <a:fillRect/>
                    </a:stretch>
                  </pic:blipFill>
                  <pic:spPr>
                    <a:xfrm>
                      <a:off x="0" y="0"/>
                      <a:ext cx="5524500" cy="2790825"/>
                    </a:xfrm>
                    <a:prstGeom prst="rect"/>
                    <a:ln/>
                  </pic:spPr>
                </pic:pic>
              </a:graphicData>
            </a:graphic>
          </wp:inline>
        </w:drawing>
      </w:r>
      <w:r w:rsidDel="00000000" w:rsidR="00000000" w:rsidRPr="00000000">
        <w:rPr>
          <w:rtl w:val="0"/>
        </w:rPr>
      </w:r>
    </w:p>
    <w:p w:rsidR="00000000" w:rsidDel="00000000" w:rsidP="00000000" w:rsidRDefault="00000000" w:rsidRPr="00000000" w14:paraId="0000005B">
      <w:pPr>
        <w:spacing w:after="240" w:lineRule="auto"/>
        <w:jc w:val="center"/>
        <w:rPr/>
      </w:pPr>
      <w:r w:rsidDel="00000000" w:rsidR="00000000" w:rsidRPr="00000000">
        <w:rPr>
          <w:rFonts w:ascii="Calibri" w:cs="Calibri" w:eastAsia="Calibri" w:hAnsi="Calibri"/>
          <w:i w:val="1"/>
          <w:iCs w:val="1"/>
          <w:color w:val="595959"/>
          <w:sz w:val="18"/>
          <w:szCs w:val="18"/>
          <w:rtl w:val="0"/>
        </w:rPr>
        <w:t xml:space="preserve">Figure 6. Annual revenue, 2016–2020.</w:t>
      </w:r>
      <w:r w:rsidDel="00000000" w:rsidR="00000000" w:rsidRPr="00000000">
        <w:rPr>
          <w:rtl w:val="0"/>
        </w:rPr>
      </w:r>
    </w:p>
    <w:sectPr>
      <w:headerReference r:id="rId12" w:type="default"/>
      <w:footerReference r:id="rId13" w:type="default"/>
      <w:type w:val="nextPage"/>
      <w:pgSz w:h="15840" w:w="12240" w:orient="portrait"/>
      <w:pgMar w:bottom="1350" w:top="1350" w:left="1350" w:right="1350" w:header="708" w:footer="708"/>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 w:name="Calibri"/>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D">
    <w:pPr>
      <w:jc w:val="center"/>
      <w:rPr/>
    </w:pPr>
    <w:r w:rsidDel="00000000" w:rsidR="00000000" w:rsidRPr="00000000">
      <w:rPr>
        <w:rFonts w:ascii="Calibri" w:cs="Calibri" w:eastAsia="Calibri" w:hAnsi="Calibri"/>
        <w:color w:val="595959"/>
        <w:sz w:val="16"/>
        <w:szCs w:val="16"/>
        <w:rtl w:val="0"/>
      </w:rPr>
      <w:t xml:space="preserve">Page </w:t>
    </w:r>
    <w:r w:rsidDel="00000000" w:rsidR="00000000" w:rsidRPr="00000000">
      <w:rPr>
        <w:rFonts w:ascii="Calibri" w:cs="Calibri" w:eastAsia="Calibri" w:hAnsi="Calibri"/>
        <w:color w:val="595959"/>
        <w:sz w:val="16"/>
        <w:szCs w:val="16"/>
      </w:rPr>
      <w:fldChar w:fldCharType="begin"/>
      <w:instrText xml:space="preserve">PAGE</w:instrText>
      <w:fldChar w:fldCharType="separate"/>
      <w:fldChar w:fldCharType="end"/>
    </w:r>
    <w:r w:rsidDel="00000000" w:rsidR="00000000" w:rsidRPr="00000000">
      <w:rPr>
        <w:rFonts w:ascii="Calibri" w:cs="Calibri" w:eastAsia="Calibri" w:hAnsi="Calibri"/>
        <w:color w:val="595959"/>
        <w:sz w:val="16"/>
        <w:szCs w:val="16"/>
        <w:rtl w:val="0"/>
      </w:rPr>
      <w:t xml:space="preserve"> of </w:t>
    </w:r>
    <w:r w:rsidDel="00000000" w:rsidR="00000000" w:rsidRPr="00000000">
      <w:rPr>
        <w:rFonts w:ascii="Calibri" w:cs="Calibri" w:eastAsia="Calibri" w:hAnsi="Calibri"/>
        <w:color w:val="595959"/>
        <w:sz w:val="16"/>
        <w:szCs w:val="16"/>
      </w:rPr>
      <w:fldChar w:fldCharType="begin"/>
      <w:instrText xml:space="preserve">NUMPAGES</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C">
    <w:pPr>
      <w:pBdr>
        <w:bottom w:color="cccccc" w:space="4" w:sz="4" w:val="single"/>
      </w:pBdr>
      <w:jc w:val="right"/>
      <w:rPr/>
    </w:pPr>
    <w:r w:rsidDel="00000000" w:rsidR="00000000" w:rsidRPr="00000000">
      <w:rPr>
        <w:rFonts w:ascii="Calibri" w:cs="Calibri" w:eastAsia="Calibri" w:hAnsi="Calibri"/>
        <w:color w:val="595959"/>
        <w:sz w:val="16"/>
        <w:szCs w:val="16"/>
        <w:rtl w:val="0"/>
      </w:rPr>
      <w:t xml:space="preserve">Global Electronics Retailer  |  Sales Analysis Report</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400" w:hanging="2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1"/>
      <w:iCs w:val="1"/>
      <w:smallCaps w:val="0"/>
      <w:strike w:val="0"/>
      <w:color w:val="2e74b5"/>
      <w:sz w:val="20"/>
      <w:szCs w:val="20"/>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0"/>
      <w:szCs w:val="20"/>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0"/>
      <w:szCs w:val="20"/>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5.png"/><Relationship Id="rId10" Type="http://schemas.openxmlformats.org/officeDocument/2006/relationships/image" Target="media/image2.png"/><Relationship Id="rId13" Type="http://schemas.openxmlformats.org/officeDocument/2006/relationships/footer" Target="footer1.xml"/><Relationship Id="rId12" Type="http://schemas.openxmlformats.org/officeDocument/2006/relationships/header" Target="header1.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4.png"/><Relationship Id="rId5" Type="http://schemas.openxmlformats.org/officeDocument/2006/relationships/styles" Target="styles.xml"/><Relationship Id="rId6" Type="http://schemas.openxmlformats.org/officeDocument/2006/relationships/image" Target="media/image3.png"/><Relationship Id="rId7" Type="http://schemas.openxmlformats.org/officeDocument/2006/relationships/image" Target="media/image6.png"/><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