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Environment, Health and Safety (EHS) Policy</w:t>
      </w:r>
    </w:p>
    <w:p>
      <w:pPr>
        <w:jc w:val="center"/>
      </w:pPr>
      <w:r>
        <w:rPr>
          <w:i/>
          <w:color w:val="808080"/>
          <w:sz w:val="20"/>
        </w:rPr>
        <w:t>Internal Policy Reference | EHS-002 v2.5 | PrecisionForge Manufacturing Ltd. (synthetic demo entity)</w:t>
      </w:r>
    </w:p>
    <w:p>
      <w:pPr>
        <w:jc w:val="center"/>
      </w:pPr>
      <w:r>
        <w:rPr>
          <w:i/>
          <w:color w:val="A03030"/>
          <w:sz w:val="18"/>
        </w:rPr>
        <w:t>This is a synthetic, practitioner-style summary prepared for software demo/testing purposes. It is not an official ISO/regulatory publication and must not be used as a compliance reference.</w:t>
      </w:r>
    </w:p>
    <w:p/>
    <w:p>
      <w:pPr>
        <w:pStyle w:val="Heading1"/>
      </w:pPr>
      <w:r>
        <w:t>1. Commitment</w:t>
      </w:r>
    </w:p>
    <w:p>
      <w:r>
        <w:t>PrecisionForge is committed to providing a safe working environment for every employee, contractor, and visitor across its plants, consistent with the spirit of the Factories Act and applicable occupational health and safety standards (OHSAS 18001 / ISO 45001 practice).</w:t>
      </w:r>
    </w:p>
    <w:p>
      <w:pPr>
        <w:pStyle w:val="Heading1"/>
      </w:pPr>
      <w:r>
        <w:t>2. Personal Protective Equipment (PPE)</w:t>
      </w:r>
    </w:p>
    <w:p>
      <w:pPr>
        <w:pStyle w:val="ListBullet"/>
      </w:pPr>
      <w:r>
        <w:t>Safety helmet, safety shoes, and high-visibility vest are mandatory on the shop floor at all times for every employee, contractor, and visitor.</w:t>
      </w:r>
    </w:p>
    <w:p>
      <w:pPr>
        <w:pStyle w:val="ListBullet"/>
      </w:pPr>
      <w:r>
        <w:t>Machine operators on CNC, press, and welding stations additionally wear cut-resistant gloves, safety goggles/face shields, and hearing protection as specified for that machine type.</w:t>
      </w:r>
    </w:p>
    <w:p>
      <w:pPr>
        <w:pStyle w:val="ListBullet"/>
      </w:pPr>
      <w:r>
        <w:t>PPE is issued free of cost and replaced on a defined cycle or immediately on visible damage.</w:t>
      </w:r>
    </w:p>
    <w:p>
      <w:pPr>
        <w:pStyle w:val="Heading1"/>
      </w:pPr>
      <w:r>
        <w:t>3. Machine Safety and Lockout-Tagout (LOTO)</w:t>
      </w:r>
    </w:p>
    <w:p>
      <w:r>
        <w:t>Before any maintenance, cleaning, or unjamming activity on a machine, the Maintenance Technician isolates its energy source and applies a lockout tag; the machine is not re-energised until the tag is removed by the same technician who applied it. Every machine carries a visible emergency stop and interlocked safety guards on moving parts.</w:t>
      </w:r>
    </w:p>
    <w:p>
      <w:pPr>
        <w:pStyle w:val="Heading1"/>
      </w:pPr>
      <w:r>
        <w:t>4. Incident Reporting and Investigation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Reporting TAT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Investigation Owner</w:t>
            </w:r>
          </w:p>
        </w:tc>
      </w:tr>
      <w:tr>
        <w:tc>
          <w:tcPr>
            <w:tcW w:type="dxa" w:w="2160"/>
          </w:tcPr>
          <w:p>
            <w:r>
              <w:t>Near Miss</w:t>
            </w:r>
          </w:p>
        </w:tc>
        <w:tc>
          <w:tcPr>
            <w:tcW w:type="dxa" w:w="2160"/>
          </w:tcPr>
          <w:p>
            <w:r>
              <w:t>Slip without fall, tool drop with no contact</w:t>
            </w:r>
          </w:p>
        </w:tc>
        <w:tc>
          <w:tcPr>
            <w:tcW w:type="dxa" w:w="2160"/>
          </w:tcPr>
          <w:p>
            <w:r>
              <w:t>Same shift</w:t>
            </w:r>
          </w:p>
        </w:tc>
        <w:tc>
          <w:tcPr>
            <w:tcW w:type="dxa" w:w="2160"/>
          </w:tcPr>
          <w:p>
            <w:r>
              <w:t>Shift Supervisor</w:t>
            </w:r>
          </w:p>
        </w:tc>
      </w:tr>
      <w:tr>
        <w:tc>
          <w:tcPr>
            <w:tcW w:type="dxa" w:w="2160"/>
          </w:tcPr>
          <w:p>
            <w:r>
              <w:t>First Aid Case</w:t>
            </w:r>
          </w:p>
        </w:tc>
        <w:tc>
          <w:tcPr>
            <w:tcW w:type="dxa" w:w="2160"/>
          </w:tcPr>
          <w:p>
            <w:r>
              <w:t>Minor cut, bruise treated on-site</w:t>
            </w:r>
          </w:p>
        </w:tc>
        <w:tc>
          <w:tcPr>
            <w:tcW w:type="dxa" w:w="2160"/>
          </w:tcPr>
          <w:p>
            <w:r>
              <w:t>Within 4 hours</w:t>
            </w:r>
          </w:p>
        </w:tc>
        <w:tc>
          <w:tcPr>
            <w:tcW w:type="dxa" w:w="2160"/>
          </w:tcPr>
          <w:p>
            <w:r>
              <w:t>Safety Officer</w:t>
            </w:r>
          </w:p>
        </w:tc>
      </w:tr>
      <w:tr>
        <w:tc>
          <w:tcPr>
            <w:tcW w:type="dxa" w:w="2160"/>
          </w:tcPr>
          <w:p>
            <w:r>
              <w:t>Lost Time Injury (LTI)</w:t>
            </w:r>
          </w:p>
        </w:tc>
        <w:tc>
          <w:tcPr>
            <w:tcW w:type="dxa" w:w="2160"/>
          </w:tcPr>
          <w:p>
            <w:r>
              <w:t>Injury requiring time off work</w:t>
            </w:r>
          </w:p>
        </w:tc>
        <w:tc>
          <w:tcPr>
            <w:tcW w:type="dxa" w:w="2160"/>
          </w:tcPr>
          <w:p>
            <w:r>
              <w:t>Within 1 hour</w:t>
            </w:r>
          </w:p>
        </w:tc>
        <w:tc>
          <w:tcPr>
            <w:tcW w:type="dxa" w:w="2160"/>
          </w:tcPr>
          <w:p>
            <w:r>
              <w:t>Safety Officer + Plant Manager</w:t>
            </w:r>
          </w:p>
        </w:tc>
      </w:tr>
      <w:tr>
        <w:tc>
          <w:tcPr>
            <w:tcW w:type="dxa" w:w="2160"/>
          </w:tcPr>
          <w:p>
            <w:r>
              <w:t>Major/Fatal</w:t>
            </w:r>
          </w:p>
        </w:tc>
        <w:tc>
          <w:tcPr>
            <w:tcW w:type="dxa" w:w="2160"/>
          </w:tcPr>
          <w:p>
            <w:r>
              <w:t>Serious injury, fatality, major equipment damage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  <w:tc>
          <w:tcPr>
            <w:tcW w:type="dxa" w:w="2160"/>
          </w:tcPr>
          <w:p>
            <w:r>
              <w:t>Plant Manager + Head Office EHS</w:t>
            </w:r>
          </w:p>
        </w:tc>
      </w:tr>
    </w:tbl>
    <w:p/>
    <w:p>
      <w:pPr>
        <w:pStyle w:val="Heading1"/>
      </w:pPr>
      <w:r>
        <w:t>5. Fire and Emergency Preparedness</w:t>
      </w:r>
    </w:p>
    <w:p>
      <w:pPr>
        <w:pStyle w:val="ListBullet"/>
      </w:pPr>
      <w:r>
        <w:t>Fire extinguishers, hydrants, and smoke detectors are inspected monthly and serviced annually by a certified vendor.</w:t>
      </w:r>
    </w:p>
    <w:p>
      <w:pPr>
        <w:pStyle w:val="ListBullet"/>
      </w:pPr>
      <w:r>
        <w:t>A full-plant fire/evacuation mock drill is conducted at least twice a year, with attendance and response-time logged.</w:t>
      </w:r>
    </w:p>
    <w:p>
      <w:pPr>
        <w:pStyle w:val="ListBullet"/>
      </w:pPr>
      <w:r>
        <w:t>Material Safety Data Sheets (MSDS) for all hazardous chemicals (paints, solvents, lubricants) are maintained at the point of use and at the plant safety office.</w:t>
      </w:r>
    </w:p>
    <w:p>
      <w:pPr>
        <w:pStyle w:val="Heading1"/>
      </w:pPr>
      <w:r>
        <w:t>6. Training</w:t>
      </w:r>
    </w:p>
    <w:p>
      <w:r>
        <w:t>Every new employee and contractor completes a safety induction before floor access is granted, and machine operators complete equipment-specific safety training before being certified to operate that machine class independently.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