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Environmental Compliance and Waste Management Policy</w:t>
      </w:r>
    </w:p>
    <w:p>
      <w:pPr>
        <w:jc w:val="center"/>
      </w:pPr>
      <w:r>
        <w:rPr>
          <w:i/>
          <w:color w:val="808080"/>
          <w:sz w:val="20"/>
        </w:rPr>
        <w:t>Internal Policy Reference | ENV-005 v1.6 | PrecisionForge Manufacturing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ISO/regulatory publication and must not be used as a compliance reference.</w:t>
      </w:r>
    </w:p>
    <w:p/>
    <w:p>
      <w:pPr>
        <w:pStyle w:val="Heading1"/>
      </w:pPr>
      <w:r>
        <w:t>1. Purpose and Scope</w:t>
      </w:r>
    </w:p>
    <w:p>
      <w:r>
        <w:t>This policy summarises how PrecisionForge manages its environmental footprint - effluent, emissions, and industrial waste - across its plants, aligned in spirit with the Environment (Protection) Act framework and state Pollution Control Board consent-to-operate conditions.</w:t>
      </w:r>
    </w:p>
    <w:p>
      <w:pPr>
        <w:pStyle w:val="Heading1"/>
      </w:pPr>
      <w:r>
        <w:t>2. Waste Classification and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Waste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t>Hazardous Waste</w:t>
            </w:r>
          </w:p>
        </w:tc>
        <w:tc>
          <w:tcPr>
            <w:tcW w:type="dxa" w:w="2880"/>
          </w:tcPr>
          <w:p>
            <w:r>
              <w:t>Used lubricant/cutting oil, paint sludge, solvent residue</w:t>
            </w:r>
          </w:p>
        </w:tc>
        <w:tc>
          <w:tcPr>
            <w:tcW w:type="dxa" w:w="2880"/>
          </w:tcPr>
          <w:p>
            <w:r>
              <w:t>Stored in labelled containers in a bunded area; disposed via an authorised hazardous-waste handler</w:t>
            </w:r>
          </w:p>
        </w:tc>
      </w:tr>
      <w:tr>
        <w:tc>
          <w:tcPr>
            <w:tcW w:type="dxa" w:w="2880"/>
          </w:tcPr>
          <w:p>
            <w:r>
              <w:t>Scrap Metal</w:t>
            </w:r>
          </w:p>
        </w:tc>
        <w:tc>
          <w:tcPr>
            <w:tcW w:type="dxa" w:w="2880"/>
          </w:tcPr>
          <w:p>
            <w:r>
              <w:t>Turnings, off-cuts, rejected castings</w:t>
            </w:r>
          </w:p>
        </w:tc>
        <w:tc>
          <w:tcPr>
            <w:tcW w:type="dxa" w:w="2880"/>
          </w:tcPr>
          <w:p>
            <w:r>
              <w:t>Segregated by alloy and sold to authorised scrap recyclers</w:t>
            </w:r>
          </w:p>
        </w:tc>
      </w:tr>
      <w:tr>
        <w:tc>
          <w:tcPr>
            <w:tcW w:type="dxa" w:w="2880"/>
          </w:tcPr>
          <w:p>
            <w:r>
              <w:t>Plastic Waste</w:t>
            </w:r>
          </w:p>
        </w:tc>
        <w:tc>
          <w:tcPr>
            <w:tcW w:type="dxa" w:w="2880"/>
          </w:tcPr>
          <w:p>
            <w:r>
              <w:t>Molding sprues, rejected plastic parts</w:t>
            </w:r>
          </w:p>
        </w:tc>
        <w:tc>
          <w:tcPr>
            <w:tcW w:type="dxa" w:w="2880"/>
          </w:tcPr>
          <w:p>
            <w:r>
              <w:t>Reground and reused in-process where specification allows, else sent to an authorised recycler</w:t>
            </w:r>
          </w:p>
        </w:tc>
      </w:tr>
      <w:tr>
        <w:tc>
          <w:tcPr>
            <w:tcW w:type="dxa" w:w="2880"/>
          </w:tcPr>
          <w:p>
            <w:r>
              <w:t>E-Waste</w:t>
            </w:r>
          </w:p>
        </w:tc>
        <w:tc>
          <w:tcPr>
            <w:tcW w:type="dxa" w:w="2880"/>
          </w:tcPr>
          <w:p>
            <w:r>
              <w:t>Damaged PCB modules, control panel electronics</w:t>
            </w:r>
          </w:p>
        </w:tc>
        <w:tc>
          <w:tcPr>
            <w:tcW w:type="dxa" w:w="2880"/>
          </w:tcPr>
          <w:p>
            <w:r>
              <w:t>Collected separately and disposed via an authorised e-waste recycler</w:t>
            </w:r>
          </w:p>
        </w:tc>
      </w:tr>
      <w:tr>
        <w:tc>
          <w:tcPr>
            <w:tcW w:type="dxa" w:w="2880"/>
          </w:tcPr>
          <w:p>
            <w:r>
              <w:t>General/Packaging Waste</w:t>
            </w:r>
          </w:p>
        </w:tc>
        <w:tc>
          <w:tcPr>
            <w:tcW w:type="dxa" w:w="2880"/>
          </w:tcPr>
          <w:p>
            <w:r>
              <w:t>Cartons, wooden pallets, general refuse</w:t>
            </w:r>
          </w:p>
        </w:tc>
        <w:tc>
          <w:tcPr>
            <w:tcW w:type="dxa" w:w="2880"/>
          </w:tcPr>
          <w:p>
            <w:r>
              <w:t>Segregated as recyclable/non-recyclable per municipal norms</w:t>
            </w:r>
          </w:p>
        </w:tc>
      </w:tr>
    </w:tbl>
    <w:p/>
    <w:p>
      <w:pPr>
        <w:pStyle w:val="Heading1"/>
      </w:pPr>
      <w:r>
        <w:t>3. Emissions and Effluent Monitoring</w:t>
      </w:r>
    </w:p>
    <w:p>
      <w:pPr>
        <w:pStyle w:val="ListBullet"/>
      </w:pPr>
      <w:r>
        <w:t>Stack emissions from furnaces and powder-coating curing ovens are monitored per the frequency in the plant's Pollution Control Board consent, with a third-party stack test at least annually.</w:t>
      </w:r>
    </w:p>
    <w:p>
      <w:pPr>
        <w:pStyle w:val="ListBullet"/>
      </w:pPr>
      <w:r>
        <w:t>Effluent from surface-treatment/plating processes is treated at the plant's Effluent Treatment Plant (ETP) before discharge, and ETP outlet parameters are logged daily.</w:t>
      </w:r>
    </w:p>
    <w:p>
      <w:pPr>
        <w:pStyle w:val="ListBullet"/>
      </w:pPr>
      <w:r>
        <w:t>Any exceedance of a consented emission or discharge limit is reported to the Plant Manager immediately and to the Head Office EHS function within 24 hours.</w:t>
      </w:r>
    </w:p>
    <w:p>
      <w:pPr>
        <w:pStyle w:val="Heading1"/>
      </w:pPr>
      <w:r>
        <w:t>4. Energy and Resource Efficiency</w:t>
      </w:r>
    </w:p>
    <w:p>
      <w:r>
        <w:t>Each plant tracks specific energy consumption (units per tonne/unit produced) monthly against a year-on-year reduction target, and water withdrawal is metered separately for process use, cooling, and domestic use to identify conservation opportunities.</w:t>
      </w:r>
    </w:p>
    <w:p>
      <w:pPr>
        <w:pStyle w:val="Heading1"/>
      </w:pPr>
      <w:r>
        <w:t>5. Regulatory Consents and Renewals</w:t>
      </w:r>
    </w:p>
    <w:p>
      <w:r>
        <w:t>Consent-to-Operate, Consent-to-Establish, and hazardous-waste authorisation renewals are tracked on a compliance calendar by the Plant Manager, with a renewal application filed at least 90 days before expiry.</w:t>
      </w:r>
    </w:p>
    <w:p>
      <w:pPr>
        <w:pStyle w:val="Heading1"/>
      </w:pPr>
      <w:r>
        <w:t>6. Reporting</w:t>
      </w:r>
    </w:p>
    <w:p>
      <w:r>
        <w:t>A consolidated environmental performance report - waste generated/disposed by category, emissions test results, and any regulatory non-compliance - is placed before the Board's Sustainability Committee every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