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Equipment Maintenance and Calibration Policy</w:t>
      </w:r>
    </w:p>
    <w:p>
      <w:pPr>
        <w:jc w:val="center"/>
      </w:pPr>
      <w:r>
        <w:rPr>
          <w:i/>
          <w:color w:val="808080"/>
          <w:sz w:val="20"/>
        </w:rPr>
        <w:t>Internal Policy Reference | EMP-004 v1.8 | PrecisionForge Manufacturing Ltd. (synthetic demo entity)</w:t>
      </w:r>
    </w:p>
    <w:p>
      <w:pPr>
        <w:jc w:val="center"/>
      </w:pPr>
      <w:r>
        <w:rPr>
          <w:i/>
          <w:color w:val="A03030"/>
          <w:sz w:val="18"/>
        </w:rPr>
        <w:t>This is a synthetic, practitioner-style summary prepared for software demo/testing purposes. It is not an official ISO/regulatory publication and must not be used as a compliance reference.</w:t>
      </w:r>
    </w:p>
    <w:p/>
    <w:p>
      <w:pPr>
        <w:pStyle w:val="Heading1"/>
      </w:pPr>
      <w:r>
        <w:t>1. Purpose</w:t>
      </w:r>
    </w:p>
    <w:p>
      <w:r>
        <w:t>This policy defines how PrecisionForge keeps production machinery and measuring equipment reliable, safe, and within specification, balancing preventive maintenance cost against unplanned breakdown risk across the machine fleet.</w:t>
      </w:r>
    </w:p>
    <w:p>
      <w:pPr>
        <w:pStyle w:val="Heading1"/>
      </w:pPr>
      <w:r>
        <w:t>2. Maintenance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Response Time</w:t>
            </w:r>
          </w:p>
        </w:tc>
      </w:tr>
      <w:tr>
        <w:tc>
          <w:tcPr>
            <w:tcW w:type="dxa" w:w="2880"/>
          </w:tcPr>
          <w:p>
            <w:r>
              <w:t>Preventive Maintenance (PM)</w:t>
            </w:r>
          </w:p>
        </w:tc>
        <w:tc>
          <w:tcPr>
            <w:tcW w:type="dxa" w:w="2880"/>
          </w:tcPr>
          <w:p>
            <w:r>
              <w:t>Scheduled per the machine-type PM calendar</w:t>
            </w:r>
          </w:p>
        </w:tc>
        <w:tc>
          <w:tcPr>
            <w:tcW w:type="dxa" w:w="2880"/>
          </w:tcPr>
          <w:p>
            <w:r>
              <w:t>Planned, scheduled downtime</w:t>
            </w:r>
          </w:p>
        </w:tc>
      </w:tr>
      <w:tr>
        <w:tc>
          <w:tcPr>
            <w:tcW w:type="dxa" w:w="2880"/>
          </w:tcPr>
          <w:p>
            <w:r>
              <w:t>Minor Breakdown</w:t>
            </w:r>
          </w:p>
        </w:tc>
        <w:tc>
          <w:tcPr>
            <w:tcW w:type="dxa" w:w="2880"/>
          </w:tcPr>
          <w:p>
            <w:r>
              <w:t>Machine stoppage resolvable on-shift by plant maintenance staff</w:t>
            </w:r>
          </w:p>
        </w:tc>
        <w:tc>
          <w:tcPr>
            <w:tcW w:type="dxa" w:w="2880"/>
          </w:tcPr>
          <w:p>
            <w:r>
              <w:t>Within 4 hours</w:t>
            </w:r>
          </w:p>
        </w:tc>
      </w:tr>
      <w:tr>
        <w:tc>
          <w:tcPr>
            <w:tcW w:type="dxa" w:w="2880"/>
          </w:tcPr>
          <w:p>
            <w:r>
              <w:t>Major Breakdown</w:t>
            </w:r>
          </w:p>
        </w:tc>
        <w:tc>
          <w:tcPr>
            <w:tcW w:type="dxa" w:w="2880"/>
          </w:tcPr>
          <w:p>
            <w:r>
              <w:t>Requires spare-part replacement or specialist/OEM support</w:t>
            </w:r>
          </w:p>
        </w:tc>
        <w:tc>
          <w:tcPr>
            <w:tcW w:type="dxa" w:w="2880"/>
          </w:tcPr>
          <w:p>
            <w:r>
              <w:t>Within 48 hours</w:t>
            </w:r>
          </w:p>
        </w:tc>
      </w:tr>
      <w:tr>
        <w:tc>
          <w:tcPr>
            <w:tcW w:type="dxa" w:w="2880"/>
          </w:tcPr>
          <w:p>
            <w:r>
              <w:t>Extended Outage</w:t>
            </w:r>
          </w:p>
        </w:tc>
        <w:tc>
          <w:tcPr>
            <w:tcW w:type="dxa" w:w="2880"/>
          </w:tcPr>
          <w:p>
            <w:r>
              <w:t>Major structural failure or awaited long-lead spare part</w:t>
            </w:r>
          </w:p>
        </w:tc>
        <w:tc>
          <w:tcPr>
            <w:tcW w:type="dxa" w:w="2880"/>
          </w:tcPr>
          <w:p>
            <w:r>
              <w:t>Case-by-case recovery plan</w:t>
            </w:r>
          </w:p>
        </w:tc>
      </w:tr>
    </w:tbl>
    <w:p/>
    <w:p>
      <w:pPr>
        <w:pStyle w:val="Heading1"/>
      </w:pPr>
      <w:r>
        <w:t>3. Preventive Maintenance Scheduling</w:t>
      </w:r>
    </w:p>
    <w:p>
      <w:r>
        <w:t>Every machine follows the PM frequency, lubrication interval, and overhaul interval defined for its machine type in the Machine Maintenance Schedule reference; a machine skipping two consecutive scheduled PM cycles is automatically flagged to the Plant Manager for priority rescheduling.</w:t>
      </w:r>
    </w:p>
    <w:p>
      <w:pPr>
        <w:pStyle w:val="Heading1"/>
      </w:pPr>
      <w:r>
        <w:t>4. Breakdown Classification and Criticality</w:t>
      </w:r>
    </w:p>
    <w:p>
      <w:pPr>
        <w:pStyle w:val="ListBullet"/>
      </w:pPr>
      <w:r>
        <w:t>Every downtime event is classified by category (Scheduled Maintenance / Minor Breakdown / Major Breakdown / Extended Outage) and criticality (Low / Medium / High / Critical) based on downtime hours and production impact.</w:t>
      </w:r>
    </w:p>
    <w:p>
      <w:pPr>
        <w:pStyle w:val="ListBullet"/>
      </w:pPr>
      <w:r>
        <w:t>A machine logging 3 or more High/Critical breakdown events within a rolling 90-day window is escalated for a full condition assessment and, where justified, replacement rather than continued repair.</w:t>
      </w:r>
    </w:p>
    <w:p>
      <w:pPr>
        <w:pStyle w:val="ListBullet"/>
      </w:pPr>
      <w:r>
        <w:t>Maintenance cost per event is tracked against the machine's book value to flag machines approaching end-of-economic-life.</w:t>
      </w:r>
    </w:p>
    <w:p>
      <w:pPr>
        <w:pStyle w:val="Heading1"/>
      </w:pPr>
      <w:r>
        <w:t>5. Calibration of Measuring and Test Equipment</w:t>
      </w:r>
    </w:p>
    <w:p>
      <w:r>
        <w:t>Gauges, calipers, torque wrenches, and testing rigs used in quality inspection are calibrated against a traceable reference standard at the interval fixed for that instrument class (never exceeding 12 months), and carry a visible calibration-due label; equipment overdue for calibration is withdrawn from use immediately.</w:t>
      </w:r>
    </w:p>
    <w:p>
      <w:pPr>
        <w:pStyle w:val="Heading1"/>
      </w:pPr>
      <w:r>
        <w:t>6. Spare Parts Inventory</w:t>
      </w:r>
    </w:p>
    <w:p>
      <w:r>
        <w:t>Critical spares for high-criticality machines are stocked at each plant per a minimum/maximum level set by Plant Engineering; a stock-out of a critical spare during a breakdown is logged as a maintenance-planning non-conformance.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