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Vendor and Supplier Management Policy</w:t>
      </w:r>
    </w:p>
    <w:p>
      <w:pPr>
        <w:jc w:val="center"/>
      </w:pPr>
      <w:r>
        <w:rPr>
          <w:i/>
          <w:color w:val="808080"/>
          <w:sz w:val="20"/>
        </w:rPr>
        <w:t>Internal Policy Reference | VMP-003 v2.0 | PrecisionForge Manufacturing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ISO/regulatory publication and must not be used as a compliance reference.</w:t>
      </w:r>
    </w:p>
    <w:p/>
    <w:p>
      <w:pPr>
        <w:pStyle w:val="Heading1"/>
      </w:pPr>
      <w:r>
        <w:t>1. Purpose</w:t>
      </w:r>
    </w:p>
    <w:p>
      <w:r>
        <w:t>This policy governs how PrecisionForge selects, empanels, evaluates, and exits raw-material and services suppliers, so that the supply base reliably meets cost, quality, and delivery requirements across the plant network.</w:t>
      </w:r>
    </w:p>
    <w:p>
      <w:pPr>
        <w:pStyle w:val="Heading1"/>
      </w:pPr>
      <w:r>
        <w:t>2. Supplier Empanelment</w:t>
      </w:r>
    </w:p>
    <w:p>
      <w:pPr>
        <w:pStyle w:val="ListBullet"/>
      </w:pPr>
      <w:r>
        <w:t>A prospective supplier submits company registration, GSTIN, quality certifications (ISO 9001 or equivalent where applicable), and sample material for first-article inspection before empanelment.</w:t>
      </w:r>
    </w:p>
    <w:p>
      <w:pPr>
        <w:pStyle w:val="ListBullet"/>
      </w:pPr>
      <w:r>
        <w:t>Empanelment is approved by the Plant Manager for purchase orders below the delegated financial threshold, and by the Head Office Procurement Committee above it.</w:t>
      </w:r>
    </w:p>
    <w:p>
      <w:pPr>
        <w:pStyle w:val="ListBullet"/>
      </w:pPr>
      <w:r>
        <w:t>Every empanelled supplier is assigned a home plant for primary servicing but may be used by other plants subject to logistics feasibility.</w:t>
      </w:r>
    </w:p>
    <w:p>
      <w:pPr>
        <w:pStyle w:val="Heading1"/>
      </w:pPr>
      <w:r>
        <w:t>3. Ongoing Performance Evaluation</w:t>
      </w:r>
    </w:p>
    <w:p>
      <w:r>
        <w:t>Suppliers are scored quarterly on the criteria and weightage defined in the Vendor Rating Card (on-time delivery, incoming quality acceptance rate, price competitiveness, responsiveness), producing the quality_rating figure carried on the supplier master record. Ratings below the 'Acceptable' threshold trigger a formal improvement plan; two consecutive quarters below threshold move the supplier to Suspended status pending re-audit.</w:t>
      </w:r>
    </w:p>
    <w:p>
      <w:pPr>
        <w:pStyle w:val="Heading1"/>
      </w:pPr>
      <w:r>
        <w:t>4. Purchase Order Governance</w:t>
      </w:r>
    </w:p>
    <w:p>
      <w:pPr>
        <w:pStyle w:val="ListBullet"/>
      </w:pPr>
      <w:r>
        <w:t>A purchase order is raised only against a rate agreed with an empanelled, active supplier; urgent off-contract purchases require Plant Manager approval and are capped at a defined annual value per supplier.</w:t>
      </w:r>
    </w:p>
    <w:p>
      <w:pPr>
        <w:pStyle w:val="ListBullet"/>
      </w:pPr>
      <w:r>
        <w:t>A purchase order is auto-flagged for review if its unit price exceeds the last three accepted purchase orders for the same material by more than 15%.</w:t>
      </w:r>
    </w:p>
    <w:p>
      <w:pPr>
        <w:pStyle w:val="ListBullet"/>
      </w:pPr>
      <w:r>
        <w:t>Rejected or cancelled purchase orders record a reason code, reviewed monthly to spot systemic supplier or specification issues.</w:t>
      </w:r>
    </w:p>
    <w:p>
      <w:pPr>
        <w:pStyle w:val="Heading1"/>
      </w:pPr>
      <w:r>
        <w:t>5. Payment Terms</w:t>
      </w:r>
    </w:p>
    <w:p>
      <w:r>
        <w:t>Standard payment terms range from 15 to 90 days depending on the supplier's rating tier and category, per the Vendor Rating Card; suppliers under review or suspended are moved to advance payment only until re-audited and reinstated.</w:t>
      </w:r>
    </w:p>
    <w:p>
      <w:pPr>
        <w:pStyle w:val="Heading1"/>
      </w:pPr>
      <w:r>
        <w:t>6. Exit and Debarment</w:t>
      </w:r>
    </w:p>
    <w:p>
      <w:r>
        <w:t>A supplier is debarred for confirmed quality fraud (falsified test certificates), repeated safety non-compliance at their facility on audit, or breach of confidentiality/IP terms, and is not re-empanelled for a minimum of 24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