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Fair Practices Code for Lending Operations</w:t>
      </w:r>
    </w:p>
    <w:p>
      <w:pPr>
        <w:jc w:val="center"/>
      </w:pPr>
      <w:r>
        <w:rPr>
          <w:i/>
          <w:color w:val="808080"/>
          <w:sz w:val="20"/>
        </w:rPr>
        <w:t>Internal Policy Reference | FPC-001 v3.2 | LendWell NBFC Ltd. (synthetic demo entity)</w:t>
      </w:r>
    </w:p>
    <w:p>
      <w:pPr>
        <w:jc w:val="center"/>
      </w:pPr>
      <w:r>
        <w:rPr>
          <w:i/>
          <w:color w:val="A03030"/>
          <w:sz w:val="18"/>
        </w:rPr>
        <w:t>This is a synthetic, practitioner-style summary prepared for software demo/testing purposes. It is not an official RBI publication and must not be used as a compliance reference.</w:t>
      </w:r>
    </w:p>
    <w:p/>
    <w:p>
      <w:pPr>
        <w:pStyle w:val="Heading1"/>
      </w:pPr>
      <w:r>
        <w:t>1. Purpose and Applicability</w:t>
      </w:r>
    </w:p>
    <w:p>
      <w:r>
        <w:t>This Code sets out the minimum standards of fair, transparent and non-coercive conduct that LendWell NBFC Ltd. follows across the loan lifecycle - from advertising and origination through servicing, collections and closure - in line with the spirit of RBI's guidance for NBFCs on fair lending conduct. It applies to all branches, digital channels, and third-party agents/DSAs engaged by the company.</w:t>
      </w:r>
    </w:p>
    <w:p>
      <w:pPr>
        <w:pStyle w:val="Heading1"/>
      </w:pPr>
      <w:r>
        <w:t>2. Loan Application and Processing</w:t>
      </w:r>
    </w:p>
    <w:p>
      <w:pPr>
        <w:pStyle w:val="ListBullet"/>
      </w:pPr>
      <w:r>
        <w:t>All loan application forms disclose the information required for an informed decision, including fees, interest rate basis (fixed/floating), penal charges and prepayment terms.</w:t>
      </w:r>
    </w:p>
    <w:p>
      <w:pPr>
        <w:pStyle w:val="ListBullet"/>
      </w:pPr>
      <w:r>
        <w:t>An acknowledgement is issued for every application received, indicating the expected turnaround time for a decision.</w:t>
      </w:r>
    </w:p>
    <w:p>
      <w:pPr>
        <w:pStyle w:val="ListBullet"/>
      </w:pPr>
      <w:r>
        <w:t>Rejections are communicated in writing along with the specific reason(s) for rejection.</w:t>
      </w:r>
    </w:p>
    <w:p>
      <w:pPr>
        <w:pStyle w:val="ListBullet"/>
      </w:pPr>
      <w:r>
        <w:t>No discrimination is made on grounds of gender, marital status, religion, caste or disability in the loan appraisal process; only creditworthiness-related factors are used.</w:t>
      </w:r>
    </w:p>
    <w:p>
      <w:pPr>
        <w:pStyle w:val="Heading1"/>
      </w:pPr>
      <w:r>
        <w:t>3. Loan Appraisal and Sanction</w:t>
      </w:r>
    </w:p>
    <w:p>
      <w:r>
        <w:t>The sanction letter/loan agreement sets out the amount sanctioned, annualised interest rate, method of application (reducing balance), tenure, EMI schedule, processing fee, and all other charges. A copy of the loan agreement and enclosures is furnished to every borrower at the time of disbursement.</w:t>
      </w:r>
    </w:p>
    <w:p>
      <w:pPr>
        <w:pStyle w:val="Heading1"/>
      </w:pPr>
      <w:r>
        <w:t>4. Disbursement, Changes in Terms and Post-Disbursement Conduct</w:t>
      </w:r>
    </w:p>
    <w:p>
      <w:pPr>
        <w:pStyle w:val="ListBullet"/>
      </w:pPr>
      <w:r>
        <w:t>Any change in interest rate, charges or terms is notified to the borrower in advance, in a language understood by the borrower, through the agreed communication channel.</w:t>
      </w:r>
    </w:p>
    <w:p>
      <w:pPr>
        <w:pStyle w:val="ListBullet"/>
      </w:pPr>
      <w:r>
        <w:t>Decisions to recall/accelerate a loan or seek additional security are taken in consonance with the loan agreement and only after due notice.</w:t>
      </w:r>
    </w:p>
    <w:p>
      <w:pPr>
        <w:pStyle w:val="ListBullet"/>
      </w:pPr>
      <w:r>
        <w:t>On repayment of all dues, all security documents are released within 30 days, subject to any lawful right of set-off the company may have.</w:t>
      </w:r>
    </w:p>
    <w:p>
      <w:pPr>
        <w:pStyle w:val="Heading1"/>
      </w:pPr>
      <w:r>
        <w:t>5. Interest Rate Policy</w:t>
      </w:r>
    </w:p>
    <w:p>
      <w:r>
        <w:t>The Board-approved interest rate model considers cost of funds, margin, risk premium for the borrower/product category, and is reviewed at least annually. The range of interest rates charged for a given product/category, and the rationale for the differential, is disclosed on the company's website and in loan documentation. Penal charges for delayed payment are levied as a reasonable, disclosed percentage and are not compounded as additional interest.</w:t>
      </w:r>
    </w:p>
    <w:p>
      <w:pPr>
        <w:pStyle w:val="Heading1"/>
      </w:pPr>
      <w:r>
        <w:t>6. Collection of Dues and Recovery Practices</w:t>
      </w:r>
    </w:p>
    <w:p>
      <w:pPr>
        <w:pStyle w:val="ListBullet"/>
      </w:pPr>
      <w:r>
        <w:t>Collections staff and empanelled recovery agents identify themselves and produce authorisation on request.</w:t>
      </w:r>
    </w:p>
    <w:p>
      <w:pPr>
        <w:pStyle w:val="ListBullet"/>
      </w:pPr>
      <w:r>
        <w:t>Contact with borrowers for recovery purposes is restricted to 8:00 AM to 7:00 PM unless the borrower has agreed otherwise.</w:t>
      </w:r>
    </w:p>
    <w:p>
      <w:pPr>
        <w:pStyle w:val="ListBullet"/>
      </w:pPr>
      <w:r>
        <w:t>Recovery agents do not use threatening, intimidating, or abusive language, and do not contact the borrower's referees or family members except to trace an untraceable borrower.</w:t>
      </w:r>
    </w:p>
    <w:p>
      <w:pPr>
        <w:pStyle w:val="ListBullet"/>
      </w:pPr>
      <w:r>
        <w:t>All borrower grievances relating to recovery conduct are logged and reviewed under the Grievance Redressal Policy (see GRP-004).</w:t>
      </w:r>
    </w:p>
    <w:p>
      <w:pPr>
        <w:pStyle w:val="Heading1"/>
      </w:pPr>
      <w:r>
        <w:t>7. Responsibility of the Board</w:t>
      </w:r>
    </w:p>
    <w:p>
      <w:r>
        <w:t>The Board of Directors reviews compliance with this Code and the functioning of the grievance redressal mechanism at least once every financial year, and lays down the appropriate grievance redressal mechanism within the organisation.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