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Know Your Customer (KYC) and Anti-Money Laundering (AML) Policy</w:t>
      </w:r>
    </w:p>
    <w:p>
      <w:pPr>
        <w:jc w:val="center"/>
      </w:pPr>
      <w:r>
        <w:rPr>
          <w:i/>
          <w:color w:val="808080"/>
          <w:sz w:val="20"/>
        </w:rPr>
        <w:t>Internal Policy Reference | KYC-002 v4.0 | LendWell NBFC Ltd. (synthetic demo entity)</w:t>
      </w:r>
    </w:p>
    <w:p>
      <w:pPr>
        <w:jc w:val="center"/>
      </w:pPr>
      <w:r>
        <w:rPr>
          <w:i/>
          <w:color w:val="A03030"/>
          <w:sz w:val="18"/>
        </w:rPr>
        <w:t>This is a synthetic, practitioner-style summary prepared for software demo/testing purposes. It is not an official RBI publication and must not be used as a compliance reference.</w:t>
      </w:r>
    </w:p>
    <w:p/>
    <w:p>
      <w:pPr>
        <w:pStyle w:val="Heading1"/>
      </w:pPr>
      <w:r>
        <w:t>1. Objective</w:t>
      </w:r>
    </w:p>
    <w:p>
      <w:r>
        <w:t>This policy establishes the customer identification, due diligence and monitoring standards LendWell follows so that the company is not used, intentionally or unintentionally, for money laundering or terror financing, and to comply with the spirit of RBI's Master Direction on KYC and the Prevention of Money Laundering Act (PMLA), 2002 and its Rules.</w:t>
      </w:r>
    </w:p>
    <w:p>
      <w:pPr>
        <w:pStyle w:val="Heading1"/>
      </w:pPr>
      <w:r>
        <w:t>2. Customer Acceptance and Risk Categorisation</w:t>
      </w:r>
    </w:p>
    <w:p>
      <w:pPr>
        <w:pStyle w:val="ListBullet"/>
      </w:pPr>
      <w:r>
        <w:t>Every customer is categorised as Low, Medium or High risk at onboarding based on occupation, income profile, geographical location, mode of payment, and nature of business (for self-employed applicants).</w:t>
      </w:r>
    </w:p>
    <w:p>
      <w:pPr>
        <w:pStyle w:val="ListBullet"/>
      </w:pPr>
      <w:r>
        <w:t>Politically Exposed Persons (PEPs) are, by default, categorised as High risk and subjected to enhanced due diligence (EDD) and senior management approval before onboarding.</w:t>
      </w:r>
    </w:p>
    <w:p>
      <w:pPr>
        <w:pStyle w:val="ListBullet"/>
      </w:pPr>
      <w:r>
        <w:t>No account is opened in anonymous or fictitious names, or where the company is unable to apply appropriate customer due diligence.</w:t>
      </w:r>
    </w:p>
    <w:p>
      <w:pPr>
        <w:pStyle w:val="Heading1"/>
      </w:pPr>
      <w:r>
        <w:t>3. Officially Valid Documents (OVDs) Accepted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Used For</w:t>
            </w:r>
          </w:p>
        </w:tc>
        <w:tc>
          <w:tcPr>
            <w:tcW w:type="dxa" w:w="2880"/>
          </w:tcPr>
          <w:p>
            <w:r>
              <w:rPr>
                <w:b/>
              </w:rPr>
              <w:t>Notes</w:t>
            </w:r>
          </w:p>
        </w:tc>
      </w:tr>
      <w:tr>
        <w:tc>
          <w:tcPr>
            <w:tcW w:type="dxa" w:w="2880"/>
          </w:tcPr>
          <w:p>
            <w:r>
              <w:t>Aadhaar (masked/last 4 digits displayed)</w:t>
            </w:r>
          </w:p>
        </w:tc>
        <w:tc>
          <w:tcPr>
            <w:tcW w:type="dxa" w:w="2880"/>
          </w:tcPr>
          <w:p>
            <w:r>
              <w:t>Identity + Address proof</w:t>
            </w:r>
          </w:p>
        </w:tc>
        <w:tc>
          <w:tcPr>
            <w:tcW w:type="dxa" w:w="2880"/>
          </w:tcPr>
          <w:p>
            <w:r>
              <w:t>Preferred via Aadhaar-based e-KYC/Digilocker where consented</w:t>
            </w:r>
          </w:p>
        </w:tc>
      </w:tr>
      <w:tr>
        <w:tc>
          <w:tcPr>
            <w:tcW w:type="dxa" w:w="2880"/>
          </w:tcPr>
          <w:p>
            <w:r>
              <w:t>PAN Card</w:t>
            </w:r>
          </w:p>
        </w:tc>
        <w:tc>
          <w:tcPr>
            <w:tcW w:type="dxa" w:w="2880"/>
          </w:tcPr>
          <w:p>
            <w:r>
              <w:t>Identity + tax linkage</w:t>
            </w:r>
          </w:p>
        </w:tc>
        <w:tc>
          <w:tcPr>
            <w:tcW w:type="dxa" w:w="2880"/>
          </w:tcPr>
          <w:p>
            <w:r>
              <w:t>Mandatory for loans above the prescribed threshold</w:t>
            </w:r>
          </w:p>
        </w:tc>
      </w:tr>
      <w:tr>
        <w:tc>
          <w:tcPr>
            <w:tcW w:type="dxa" w:w="2880"/>
          </w:tcPr>
          <w:p>
            <w:r>
              <w:t>Voter ID Card</w:t>
            </w:r>
          </w:p>
        </w:tc>
        <w:tc>
          <w:tcPr>
            <w:tcW w:type="dxa" w:w="2880"/>
          </w:tcPr>
          <w:p>
            <w:r>
              <w:t>Identity + Address proof</w:t>
            </w:r>
          </w:p>
        </w:tc>
        <w:tc>
          <w:tcPr>
            <w:tcW w:type="dxa" w:w="2880"/>
          </w:tcPr>
          <w:p>
            <w:r>
              <w:t>Accepted as an alternate OVD</w:t>
            </w:r>
          </w:p>
        </w:tc>
      </w:tr>
      <w:tr>
        <w:tc>
          <w:tcPr>
            <w:tcW w:type="dxa" w:w="2880"/>
          </w:tcPr>
          <w:p>
            <w:r>
              <w:t>Passport</w:t>
            </w:r>
          </w:p>
        </w:tc>
        <w:tc>
          <w:tcPr>
            <w:tcW w:type="dxa" w:w="2880"/>
          </w:tcPr>
          <w:p>
            <w:r>
              <w:t>Identity + Address proof</w:t>
            </w:r>
          </w:p>
        </w:tc>
        <w:tc>
          <w:tcPr>
            <w:tcW w:type="dxa" w:w="2880"/>
          </w:tcPr>
          <w:p>
            <w:r>
              <w:t>Accepted; NRI applicants require additional documentation</w:t>
            </w:r>
          </w:p>
        </w:tc>
      </w:tr>
      <w:tr>
        <w:tc>
          <w:tcPr>
            <w:tcW w:type="dxa" w:w="2880"/>
          </w:tcPr>
          <w:p>
            <w:r>
              <w:t>Driving Licence</w:t>
            </w:r>
          </w:p>
        </w:tc>
        <w:tc>
          <w:tcPr>
            <w:tcW w:type="dxa" w:w="2880"/>
          </w:tcPr>
          <w:p>
            <w:r>
              <w:t>Identity + Address proof</w:t>
            </w:r>
          </w:p>
        </w:tc>
        <w:tc>
          <w:tcPr>
            <w:tcW w:type="dxa" w:w="2880"/>
          </w:tcPr>
          <w:p>
            <w:r>
              <w:t>Accepted as an alternate OVD</w:t>
            </w:r>
          </w:p>
        </w:tc>
      </w:tr>
      <w:tr>
        <w:tc>
          <w:tcPr>
            <w:tcW w:type="dxa" w:w="2880"/>
          </w:tcPr>
          <w:p>
            <w:r>
              <w:t>NREGA Job Card</w:t>
            </w:r>
          </w:p>
        </w:tc>
        <w:tc>
          <w:tcPr>
            <w:tcW w:type="dxa" w:w="2880"/>
          </w:tcPr>
          <w:p>
            <w:r>
              <w:t>Identity + Address proof</w:t>
            </w:r>
          </w:p>
        </w:tc>
        <w:tc>
          <w:tcPr>
            <w:tcW w:type="dxa" w:w="2880"/>
          </w:tcPr>
          <w:p>
            <w:r>
              <w:t>Accepted for rural/microfinance segment</w:t>
            </w:r>
          </w:p>
        </w:tc>
      </w:tr>
    </w:tbl>
    <w:p/>
    <w:p>
      <w:pPr>
        <w:pStyle w:val="Heading1"/>
      </w:pPr>
      <w:r>
        <w:t>4. Periodic Updation (Re-KYC)</w:t>
      </w:r>
    </w:p>
    <w:p>
      <w:r>
        <w:t>Re-KYC is carried out based on risk category: every 2 years for High risk customers, every 8 years for Medium risk, and every 10 years for Low risk customers, or earlier if there is a material change in the customer's profile (address, occupation, or unusual transaction pattern).</w:t>
      </w:r>
    </w:p>
    <w:p>
      <w:pPr>
        <w:pStyle w:val="Heading1"/>
      </w:pPr>
      <w:r>
        <w:t>5. Monitoring and Reporting</w:t>
      </w:r>
    </w:p>
    <w:p>
      <w:pPr>
        <w:pStyle w:val="ListBullet"/>
      </w:pPr>
      <w:r>
        <w:t>Transactions inconsistent with a customer's declared income or profile are flagged for review by the AML/Compliance desk.</w:t>
      </w:r>
    </w:p>
    <w:p>
      <w:pPr>
        <w:pStyle w:val="ListBullet"/>
      </w:pPr>
      <w:r>
        <w:t>Cash transactions above the prescribed threshold, and any suspicious transaction, are reported to the Financial Intelligence Unit-India (FIU-IND) as a Cash Transaction Report (CTR) / Suspicious Transaction Report (STR) as applicable.</w:t>
      </w:r>
    </w:p>
    <w:p>
      <w:pPr>
        <w:pStyle w:val="ListBullet"/>
      </w:pPr>
      <w:r>
        <w:t>Sanctions screening (UN Security Council list, and other applicable lists) is run at onboarding and periodically thereafter for all active borrowers.</w:t>
      </w:r>
    </w:p>
    <w:p>
      <w:pPr>
        <w:pStyle w:val="Heading1"/>
      </w:pPr>
      <w:r>
        <w:t>6. Record Retention</w:t>
      </w:r>
    </w:p>
    <w:p>
      <w:r>
        <w:t>KYC records, account opening documents, and transaction records are retained for a minimum of 5 years from the date of transaction, or 5 years from the date of cessation of the relationship, whichever is later, and are made available to regulators/law enforcement on lawful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