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Customer Grievance Redressal Policy</w:t>
      </w:r>
    </w:p>
    <w:p>
      <w:pPr>
        <w:jc w:val="center"/>
      </w:pPr>
      <w:r>
        <w:rPr>
          <w:i/>
          <w:color w:val="808080"/>
          <w:sz w:val="20"/>
        </w:rPr>
        <w:t>Internal Policy Reference | GRP-004 v2.3 | LendWell NBFC Ltd. (synthetic demo entity)</w:t>
      </w:r>
    </w:p>
    <w:p>
      <w:pPr>
        <w:jc w:val="center"/>
      </w:pPr>
      <w:r>
        <w:rPr>
          <w:i/>
          <w:color w:val="A03030"/>
          <w:sz w:val="18"/>
        </w:rPr>
        <w:t>This is a synthetic, practitioner-style summary prepared for software demo/testing purposes. It is not an official RBI publication and must not be used as a compliance reference.</w:t>
      </w:r>
    </w:p>
    <w:p/>
    <w:p>
      <w:pPr>
        <w:pStyle w:val="Heading1"/>
      </w:pPr>
      <w:r>
        <w:t>1. Objective</w:t>
      </w:r>
    </w:p>
    <w:p>
      <w:r>
        <w:t>To provide customers a fair, time-bound, and accessible mechanism to raise and get complaints resolved regarding any product, service, or conduct of the company or its representatives/agents, aligned with RBI's Integrated Ombudsman Scheme framework for regulated entities.</w:t>
      </w:r>
    </w:p>
    <w:p>
      <w:pPr>
        <w:pStyle w:val="Heading1"/>
      </w:pPr>
      <w:r>
        <w:t>2. Channels for Raising a Complaint</w:t>
      </w:r>
    </w:p>
    <w:p>
      <w:pPr>
        <w:pStyle w:val="ListBullet"/>
      </w:pPr>
      <w:r>
        <w:t>Toll-free customer care number, available on all loan documents and the company website.</w:t>
      </w:r>
    </w:p>
    <w:p>
      <w:pPr>
        <w:pStyle w:val="ListBullet"/>
      </w:pPr>
      <w:r>
        <w:t>Dedicated email address monitored by the Customer Service Cell.</w:t>
      </w:r>
    </w:p>
    <w:p>
      <w:pPr>
        <w:pStyle w:val="ListBullet"/>
      </w:pPr>
      <w:r>
        <w:t>In person at any branch, or through the mobile app's 'Help &amp; Support' section.</w:t>
      </w:r>
    </w:p>
    <w:p>
      <w:pPr>
        <w:pStyle w:val="Heading1"/>
      </w:pPr>
      <w:r>
        <w:t>3. Escalation Matrix and Turnaround Time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Escalation 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Resolution TAT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Branch Manager / Customer Service Cell</w:t>
            </w:r>
          </w:p>
        </w:tc>
        <w:tc>
          <w:tcPr>
            <w:tcW w:type="dxa" w:w="2880"/>
          </w:tcPr>
          <w:p>
            <w:r>
              <w:t>7 working days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Regional Grievance Redressal Officer</w:t>
            </w:r>
          </w:p>
        </w:tc>
        <w:tc>
          <w:tcPr>
            <w:tcW w:type="dxa" w:w="2880"/>
          </w:tcPr>
          <w:p>
            <w:r>
              <w:t>15 working days from original complaint date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Principal Nodal Officer (Head Office)</w:t>
            </w:r>
          </w:p>
        </w:tc>
        <w:tc>
          <w:tcPr>
            <w:tcW w:type="dxa" w:w="2880"/>
          </w:tcPr>
          <w:p>
            <w:r>
              <w:t>30 working days from original complaint date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RBI Ombudsman (if unresolved after 30 days, or reply unsatisfactory)</w:t>
            </w:r>
          </w:p>
        </w:tc>
        <w:tc>
          <w:tcPr>
            <w:tcW w:type="dxa" w:w="2880"/>
          </w:tcPr>
          <w:p>
            <w:r>
              <w:t>As per Ombudsman Scheme timelines</w:t>
            </w:r>
          </w:p>
        </w:tc>
      </w:tr>
    </w:tbl>
    <w:p/>
    <w:p>
      <w:pPr>
        <w:pStyle w:val="Heading1"/>
      </w:pPr>
      <w:r>
        <w:t>4. Specific Provisions for Collections-Related Grievances</w:t>
      </w:r>
    </w:p>
    <w:p>
      <w:r>
        <w:t>Complaints alleging harassment, inappropriate contact hours, or misconduct by a collections agent are treated as priority and investigated by the Compliance function within 3 working days; the concerned agent/DSA is suspended from collection activity pending investigation outcome, per the Fair Practices Code (FPC-001).</w:t>
      </w:r>
    </w:p>
    <w:p>
      <w:pPr>
        <w:pStyle w:val="Heading1"/>
      </w:pPr>
      <w:r>
        <w:t>5. Reporting to the Board</w:t>
      </w:r>
    </w:p>
    <w:p>
      <w:r>
        <w:t>A consolidated grievance report - volume, category, average TAT, and root-cause themes - is placed before the Customer Service Committee of the Board every quarter.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