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Income Recognition, Asset Classification and Provisioning (IRACP) Norms</w:t>
      </w:r>
    </w:p>
    <w:p>
      <w:pPr>
        <w:jc w:val="center"/>
      </w:pPr>
      <w:r>
        <w:rPr>
          <w:i/>
          <w:color w:val="808080"/>
          <w:sz w:val="20"/>
        </w:rPr>
        <w:t>Internal Policy Reference | IRACP-003 v2.1 | LendWell NBFC Ltd. (synthetic demo entity)</w:t>
      </w:r>
    </w:p>
    <w:p>
      <w:pPr>
        <w:jc w:val="center"/>
      </w:pPr>
      <w:r>
        <w:rPr>
          <w:i/>
          <w:color w:val="A03030"/>
          <w:sz w:val="18"/>
        </w:rPr>
        <w:t>This is a synthetic, practitioner-style summary prepared for software demo/testing purposes. It is not an official RBI publication and must not be used as a compliance reference.</w:t>
      </w:r>
    </w:p>
    <w:p/>
    <w:p>
      <w:pPr>
        <w:pStyle w:val="Heading1"/>
      </w:pPr>
      <w:r>
        <w:t>1. Purpose</w:t>
      </w:r>
    </w:p>
    <w:p>
      <w:r>
        <w:t>This document summarises how LendWell classifies loan accounts by days-past-due (DPD), recognises income, and provisions for expected losses, aligned in spirit with RBI's prudential norms for NBFCs on income recognition, asset classification and provisioning.</w:t>
      </w:r>
    </w:p>
    <w:p>
      <w:pPr>
        <w:pStyle w:val="Heading1"/>
      </w:pPr>
      <w:r>
        <w:t>2. DPD-Based Classification (Special Mention Accounts and NPA)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Bucket</w:t>
            </w:r>
          </w:p>
        </w:tc>
        <w:tc>
          <w:tcPr>
            <w:tcW w:type="dxa" w:w="2160"/>
          </w:tcPr>
          <w:p>
            <w:r>
              <w:rPr>
                <w:b/>
              </w:rPr>
              <w:t>DPD Range</w:t>
            </w:r>
          </w:p>
        </w:tc>
        <w:tc>
          <w:tcPr>
            <w:tcW w:type="dxa" w:w="2160"/>
          </w:tcPr>
          <w:p>
            <w:r>
              <w:rPr>
                <w:b/>
              </w:rPr>
              <w:t>Category</w:t>
            </w:r>
          </w:p>
        </w:tc>
        <w:tc>
          <w:tcPr>
            <w:tcW w:type="dxa" w:w="2160"/>
          </w:tcPr>
          <w:p>
            <w:r>
              <w:rPr>
                <w:b/>
              </w:rPr>
              <w:t>Description</w:t>
            </w:r>
          </w:p>
        </w:tc>
      </w:tr>
      <w:tr>
        <w:tc>
          <w:tcPr>
            <w:tcW w:type="dxa" w:w="2160"/>
          </w:tcPr>
          <w:p>
            <w:r>
              <w:t>Standard</w:t>
            </w:r>
          </w:p>
        </w:tc>
        <w:tc>
          <w:tcPr>
            <w:tcW w:type="dxa" w:w="2160"/>
          </w:tcPr>
          <w:p>
            <w:r>
              <w:t>0 days</w:t>
            </w:r>
          </w:p>
        </w:tc>
        <w:tc>
          <w:tcPr>
            <w:tcW w:type="dxa" w:w="2160"/>
          </w:tcPr>
          <w:p>
            <w:r>
              <w:t>Standard</w:t>
            </w:r>
          </w:p>
        </w:tc>
        <w:tc>
          <w:tcPr>
            <w:tcW w:type="dxa" w:w="2160"/>
          </w:tcPr>
          <w:p>
            <w:r>
              <w:t>No overdue amount; account performing as per schedule.</w:t>
            </w:r>
          </w:p>
        </w:tc>
      </w:tr>
      <w:tr>
        <w:tc>
          <w:tcPr>
            <w:tcW w:type="dxa" w:w="2160"/>
          </w:tcPr>
          <w:p>
            <w:r>
              <w:t>SMA-0</w:t>
            </w:r>
          </w:p>
        </w:tc>
        <w:tc>
          <w:tcPr>
            <w:tcW w:type="dxa" w:w="2160"/>
          </w:tcPr>
          <w:p>
            <w:r>
              <w:t>1-30 days</w:t>
            </w:r>
          </w:p>
        </w:tc>
        <w:tc>
          <w:tcPr>
            <w:tcW w:type="dxa" w:w="2160"/>
          </w:tcPr>
          <w:p>
            <w:r>
              <w:t>Standard (early warning)</w:t>
            </w:r>
          </w:p>
        </w:tc>
        <w:tc>
          <w:tcPr>
            <w:tcW w:type="dxa" w:w="2160"/>
          </w:tcPr>
          <w:p>
            <w:r>
              <w:t>Principal/interest overdue but not yet 31 days.</w:t>
            </w:r>
          </w:p>
        </w:tc>
      </w:tr>
      <w:tr>
        <w:tc>
          <w:tcPr>
            <w:tcW w:type="dxa" w:w="2160"/>
          </w:tcPr>
          <w:p>
            <w:r>
              <w:t>SMA-1</w:t>
            </w:r>
          </w:p>
        </w:tc>
        <w:tc>
          <w:tcPr>
            <w:tcW w:type="dxa" w:w="2160"/>
          </w:tcPr>
          <w:p>
            <w:r>
              <w:t>31-60 days</w:t>
            </w:r>
          </w:p>
        </w:tc>
        <w:tc>
          <w:tcPr>
            <w:tcW w:type="dxa" w:w="2160"/>
          </w:tcPr>
          <w:p>
            <w:r>
              <w:t>Standard (early warning)</w:t>
            </w:r>
          </w:p>
        </w:tc>
        <w:tc>
          <w:tcPr>
            <w:tcW w:type="dxa" w:w="2160"/>
          </w:tcPr>
          <w:p>
            <w:r>
              <w:t>Overdue between 31 and 60 days.</w:t>
            </w:r>
          </w:p>
        </w:tc>
      </w:tr>
      <w:tr>
        <w:tc>
          <w:tcPr>
            <w:tcW w:type="dxa" w:w="2160"/>
          </w:tcPr>
          <w:p>
            <w:r>
              <w:t>SMA-2</w:t>
            </w:r>
          </w:p>
        </w:tc>
        <w:tc>
          <w:tcPr>
            <w:tcW w:type="dxa" w:w="2160"/>
          </w:tcPr>
          <w:p>
            <w:r>
              <w:t>61-90 days</w:t>
            </w:r>
          </w:p>
        </w:tc>
        <w:tc>
          <w:tcPr>
            <w:tcW w:type="dxa" w:w="2160"/>
          </w:tcPr>
          <w:p>
            <w:r>
              <w:t>Standard (early warning)</w:t>
            </w:r>
          </w:p>
        </w:tc>
        <w:tc>
          <w:tcPr>
            <w:tcW w:type="dxa" w:w="2160"/>
          </w:tcPr>
          <w:p>
            <w:r>
              <w:t>Overdue between 61 and 90 days - last stage before NPA.</w:t>
            </w:r>
          </w:p>
        </w:tc>
      </w:tr>
      <w:tr>
        <w:tc>
          <w:tcPr>
            <w:tcW w:type="dxa" w:w="2160"/>
          </w:tcPr>
          <w:p>
            <w:r>
              <w:t>NPA - Sub-Standard</w:t>
            </w:r>
          </w:p>
        </w:tc>
        <w:tc>
          <w:tcPr>
            <w:tcW w:type="dxa" w:w="2160"/>
          </w:tcPr>
          <w:p>
            <w:r>
              <w:t>91-365 days</w:t>
            </w:r>
          </w:p>
        </w:tc>
        <w:tc>
          <w:tcPr>
            <w:tcW w:type="dxa" w:w="2160"/>
          </w:tcPr>
          <w:p>
            <w:r>
              <w:t>Non-Performing</w:t>
            </w:r>
          </w:p>
        </w:tc>
        <w:tc>
          <w:tcPr>
            <w:tcW w:type="dxa" w:w="2160"/>
          </w:tcPr>
          <w:p>
            <w:r>
              <w:t>Overdue beyond 90 days; classified NPA for term loans.</w:t>
            </w:r>
          </w:p>
        </w:tc>
      </w:tr>
      <w:tr>
        <w:tc>
          <w:tcPr>
            <w:tcW w:type="dxa" w:w="2160"/>
          </w:tcPr>
          <w:p>
            <w:r>
              <w:t>NPA - Doubtful</w:t>
            </w:r>
          </w:p>
        </w:tc>
        <w:tc>
          <w:tcPr>
            <w:tcW w:type="dxa" w:w="2160"/>
          </w:tcPr>
          <w:p>
            <w:r>
              <w:t>366-730 days</w:t>
            </w:r>
          </w:p>
        </w:tc>
        <w:tc>
          <w:tcPr>
            <w:tcW w:type="dxa" w:w="2160"/>
          </w:tcPr>
          <w:p>
            <w:r>
              <w:t>Non-Performing</w:t>
            </w:r>
          </w:p>
        </w:tc>
        <w:tc>
          <w:tcPr>
            <w:tcW w:type="dxa" w:w="2160"/>
          </w:tcPr>
          <w:p>
            <w:r>
              <w:t>Remained Sub-Standard for 12 months.</w:t>
            </w:r>
          </w:p>
        </w:tc>
      </w:tr>
      <w:tr>
        <w:tc>
          <w:tcPr>
            <w:tcW w:type="dxa" w:w="2160"/>
          </w:tcPr>
          <w:p>
            <w:r>
              <w:t>NPA - Loss</w:t>
            </w:r>
          </w:p>
        </w:tc>
        <w:tc>
          <w:tcPr>
            <w:tcW w:type="dxa" w:w="2160"/>
          </w:tcPr>
          <w:p>
            <w:r>
              <w:t>731+ days / identified as loss</w:t>
            </w:r>
          </w:p>
        </w:tc>
        <w:tc>
          <w:tcPr>
            <w:tcW w:type="dxa" w:w="2160"/>
          </w:tcPr>
          <w:p>
            <w:r>
              <w:t>Non-Performing</w:t>
            </w:r>
          </w:p>
        </w:tc>
        <w:tc>
          <w:tcPr>
            <w:tcW w:type="dxa" w:w="2160"/>
          </w:tcPr>
          <w:p>
            <w:r>
              <w:t>Considered uncollectible; full provisioning required.</w:t>
            </w:r>
          </w:p>
        </w:tc>
      </w:tr>
    </w:tbl>
    <w:p/>
    <w:p>
      <w:pPr>
        <w:pStyle w:val="Heading1"/>
      </w:pPr>
      <w:r>
        <w:t>3. Provisioning Norms Applied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 Classification</w:t>
            </w:r>
          </w:p>
        </w:tc>
        <w:tc>
          <w:tcPr>
            <w:tcW w:type="dxa" w:w="4320"/>
          </w:tcPr>
          <w:p>
            <w:r>
              <w:rPr>
                <w:b/>
              </w:rPr>
              <w:t>Provisioning Requirement (illustrative)</w:t>
            </w:r>
          </w:p>
        </w:tc>
      </w:tr>
      <w:tr>
        <w:tc>
          <w:tcPr>
            <w:tcW w:type="dxa" w:w="4320"/>
          </w:tcPr>
          <w:p>
            <w:r>
              <w:t>Standard (incl. SMA-0/1)</w:t>
            </w:r>
          </w:p>
        </w:tc>
        <w:tc>
          <w:tcPr>
            <w:tcW w:type="dxa" w:w="4320"/>
          </w:tcPr>
          <w:p>
            <w:r>
              <w:t>0.40% of outstanding, generally</w:t>
            </w:r>
          </w:p>
        </w:tc>
      </w:tr>
      <w:tr>
        <w:tc>
          <w:tcPr>
            <w:tcW w:type="dxa" w:w="4320"/>
          </w:tcPr>
          <w:p>
            <w:r>
              <w:t>SMA-2</w:t>
            </w:r>
          </w:p>
        </w:tc>
        <w:tc>
          <w:tcPr>
            <w:tcW w:type="dxa" w:w="4320"/>
          </w:tcPr>
          <w:p>
            <w:r>
              <w:t>Higher provisioning as a precautionary buffer (typically 10-15%)</w:t>
            </w:r>
          </w:p>
        </w:tc>
      </w:tr>
      <w:tr>
        <w:tc>
          <w:tcPr>
            <w:tcW w:type="dxa" w:w="4320"/>
          </w:tcPr>
          <w:p>
            <w:r>
              <w:t>Sub-Standard</w:t>
            </w:r>
          </w:p>
        </w:tc>
        <w:tc>
          <w:tcPr>
            <w:tcW w:type="dxa" w:w="4320"/>
          </w:tcPr>
          <w:p>
            <w:r>
              <w:t>Minimum 25% of the unsecured portion; higher for secured shortfall</w:t>
            </w:r>
          </w:p>
        </w:tc>
      </w:tr>
      <w:tr>
        <w:tc>
          <w:tcPr>
            <w:tcW w:type="dxa" w:w="4320"/>
          </w:tcPr>
          <w:p>
            <w:r>
              <w:t>Doubtful</w:t>
            </w:r>
          </w:p>
        </w:tc>
        <w:tc>
          <w:tcPr>
            <w:tcW w:type="dxa" w:w="4320"/>
          </w:tcPr>
          <w:p>
            <w:r>
              <w:t>25-100% depending on how long the account has been doubtful and security cover</w:t>
            </w:r>
          </w:p>
        </w:tc>
      </w:tr>
      <w:tr>
        <w:tc>
          <w:tcPr>
            <w:tcW w:type="dxa" w:w="4320"/>
          </w:tcPr>
          <w:p>
            <w:r>
              <w:t>Loss</w:t>
            </w:r>
          </w:p>
        </w:tc>
        <w:tc>
          <w:tcPr>
            <w:tcW w:type="dxa" w:w="4320"/>
          </w:tcPr>
          <w:p>
            <w:r>
              <w:t>100% - the entire asset is written off or fully provided for</w:t>
            </w:r>
          </w:p>
        </w:tc>
      </w:tr>
    </w:tbl>
    <w:p/>
    <w:p>
      <w:pPr>
        <w:pStyle w:val="Heading1"/>
      </w:pPr>
      <w:r>
        <w:t>4. Income Recognition</w:t>
      </w:r>
    </w:p>
    <w:p>
      <w:r>
        <w:t>Interest income on Standard assets (including SMA) is recognised on an accrual basis. Once an account is classified NPA, further interest income is recognised only on actual realisation (cash basis), and any interest already accrued but not received is reversed.</w:t>
      </w:r>
    </w:p>
    <w:p>
      <w:pPr>
        <w:pStyle w:val="Heading1"/>
      </w:pPr>
      <w:r>
        <w:t>5. Upgradation to Standard</w:t>
      </w:r>
    </w:p>
    <w:p>
      <w:r>
        <w:t>An NPA account may be upgraded to Standard only after the borrower clears all arrears of principal and interest, and demonstrates satisfactory performance during a subsequent monitoring period, as approved under the credit policy - a single part-payment does not by itself justify an upgrade.</w:t>
      </w:r>
    </w:p>
    <w:p>
      <w:pPr>
        <w:pStyle w:val="Heading1"/>
      </w:pPr>
      <w:r>
        <w:t>6. Restructuring</w:t>
      </w:r>
    </w:p>
    <w:p>
      <w:r>
        <w:t>Restructured accounts (arising from genuine financial difficulty of the borrower, e.g. a revised repayment schedule or moratorium) are classified and provisioned as per the applicable restructuring framework and are separately flagged and reported in the NPA_CLASSIFICATION table for audit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