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Digital Lending Operating Guidelines</w:t>
      </w:r>
    </w:p>
    <w:p>
      <w:pPr>
        <w:jc w:val="center"/>
      </w:pPr>
      <w:r>
        <w:rPr>
          <w:i/>
          <w:color w:val="808080"/>
          <w:sz w:val="20"/>
        </w:rPr>
        <w:t>Internal Policy Reference | DLG-005 v1.4 | LendWell NBFC Ltd. (synthetic demo entity)</w:t>
      </w:r>
    </w:p>
    <w:p>
      <w:pPr>
        <w:jc w:val="center"/>
      </w:pPr>
      <w:r>
        <w:rPr>
          <w:i/>
          <w:color w:val="A03030"/>
          <w:sz w:val="18"/>
        </w:rPr>
        <w:t>This is a synthetic, practitioner-style summary prepared for software demo/testing purposes. It is not an official RBI publication and must not be used as a compliance reference.</w:t>
      </w:r>
    </w:p>
    <w:p/>
    <w:p>
      <w:pPr>
        <w:pStyle w:val="Heading1"/>
      </w:pPr>
      <w:r>
        <w:t>1. Scope</w:t>
      </w:r>
    </w:p>
    <w:p>
      <w:r>
        <w:t>Applies to loans sourced or serviced through the company's own mobile/web app, and through Lending Service Providers (LSPs) - digital platforms and DSAs that source applications on the company's behalf - consistent with the regulatory direction on digital lending.</w:t>
      </w:r>
    </w:p>
    <w:p>
      <w:pPr>
        <w:pStyle w:val="Heading1"/>
      </w:pPr>
      <w:r>
        <w:t>2. Direct Disbursement and Repayment</w:t>
      </w:r>
    </w:p>
    <w:p>
      <w:pPr>
        <w:pStyle w:val="ListBullet"/>
      </w:pPr>
      <w:r>
        <w:t>Loan disbursement is made directly into the borrower's bank account; no pass-through or pool account of any third-party LSP is used to route disbursement or repayment.</w:t>
      </w:r>
    </w:p>
    <w:p>
      <w:pPr>
        <w:pStyle w:val="ListBullet"/>
      </w:pPr>
      <w:r>
        <w:t>All fees payable to an LSP are paid directly by the company, and are not collected from the borrower separately or deducted from the disbursed loan amount.</w:t>
      </w:r>
    </w:p>
    <w:p>
      <w:pPr>
        <w:pStyle w:val="Heading1"/>
      </w:pPr>
      <w:r>
        <w:t>3. Key Fact Statement (KFS)</w:t>
      </w:r>
    </w:p>
    <w:p>
      <w:r>
        <w:t>Before loan execution, the borrower is provided a standardised Key Fact Statement summarising: the Annual Percentage Rate (APR), the amount and purpose of every fee/charge, the recovery mechanism, details of the grievance redressal officer, and the cooling-off/look-up period during which the borrower may exit the loan by paying only the principal and proportionate APR, without penalty.</w:t>
      </w:r>
    </w:p>
    <w:p>
      <w:pPr>
        <w:pStyle w:val="Heading1"/>
      </w:pPr>
      <w:r>
        <w:t>4. Data Privacy and Consent</w:t>
      </w:r>
    </w:p>
    <w:p>
      <w:pPr>
        <w:pStyle w:val="ListBullet"/>
      </w:pPr>
      <w:r>
        <w:t>Only data necessary for the credit decision is collected, with explicit borrower consent, and the borrower can revoke consent for future data collection (subject to already-disbursed loans being serviced).</w:t>
      </w:r>
    </w:p>
    <w:p>
      <w:pPr>
        <w:pStyle w:val="ListBullet"/>
      </w:pPr>
      <w:r>
        <w:t>Borrower data is not shared with the LSP or any third party beyond what is required for the specific loan, and is not used for cross-selling without separate, specific consent.</w:t>
      </w:r>
    </w:p>
    <w:p>
      <w:pPr>
        <w:pStyle w:val="ListBullet"/>
      </w:pPr>
      <w:r>
        <w:t>Biometric/Aadhaar data is stored only in masked/encrypted form; full Aadhaar numbers are never persisted in application databases.</w:t>
      </w:r>
    </w:p>
    <w:p>
      <w:pPr>
        <w:pStyle w:val="Heading1"/>
      </w:pPr>
      <w:r>
        <w:t>5. Algorithmic Lending Decisions</w:t>
      </w:r>
    </w:p>
    <w:p>
      <w:r>
        <w:t>Where a scorecard/model is used to assist the credit decision, the model's key input features and the rationale for rejection are auditable, and a customer can request the principal reason for rejection of an application.</w:t>
      </w:r>
    </w:p>
    <w:p>
      <w:pPr>
        <w:pStyle w:val="Heading1"/>
      </w:pPr>
      <w:r>
        <w:t>6. Grievance Redressal for Digital Loans</w:t>
      </w:r>
    </w:p>
    <w:p>
      <w:r>
        <w:t>A dedicated nodal grievance officer handles digital-lending complaints, with an internal resolution target of 30 days, escalating to the RBI Ombudsman framework for unresolved complaints, per the Grievance Redressal Policy (GRP-004).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