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99045" w14:textId="77777777" w:rsidR="001308BC" w:rsidRDefault="001308BC" w:rsidP="001308BC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1.</w:t>
      </w:r>
    </w:p>
    <w:p w14:paraId="52A334F4" w14:textId="62DEA2E2" w:rsidR="00415D50" w:rsidRDefault="00415D50"/>
    <w:p w14:paraId="35933F9F" w14:textId="1AFF46C7" w:rsidR="001308BC" w:rsidRDefault="001308BC">
      <w:r>
        <w:t>Видеоуроки:</w:t>
      </w:r>
    </w:p>
    <w:p w14:paraId="4E4AF172" w14:textId="2C1D8240" w:rsidR="001308BC" w:rsidRDefault="001308BC"/>
    <w:p w14:paraId="031A90F1" w14:textId="17105BD4" w:rsidR="001308BC" w:rsidRDefault="00914403" w:rsidP="001308BC">
      <w:pPr>
        <w:pStyle w:val="a4"/>
        <w:numPr>
          <w:ilvl w:val="0"/>
          <w:numId w:val="1"/>
        </w:numPr>
      </w:pPr>
      <w:hyperlink r:id="rId5" w:history="1">
        <w:r w:rsidR="001308BC" w:rsidRP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Решение более сложных задач</w:t>
        </w:r>
      </w:hyperlink>
    </w:p>
    <w:p w14:paraId="699FA2C3" w14:textId="5322DCDB" w:rsidR="001308BC" w:rsidRDefault="00914403" w:rsidP="001308BC">
      <w:pPr>
        <w:pStyle w:val="a4"/>
        <w:numPr>
          <w:ilvl w:val="0"/>
          <w:numId w:val="1"/>
        </w:numPr>
      </w:pPr>
      <w:hyperlink r:id="rId6" w:history="1">
        <w:r w:rsid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свойства, определения. Аксиомы и теоремы</w:t>
        </w:r>
      </w:hyperlink>
    </w:p>
    <w:p w14:paraId="7B7FAAA7" w14:textId="763AC0BF" w:rsidR="001308BC" w:rsidRDefault="00914403" w:rsidP="001308BC">
      <w:pPr>
        <w:pStyle w:val="a4"/>
        <w:numPr>
          <w:ilvl w:val="0"/>
          <w:numId w:val="1"/>
        </w:numPr>
      </w:pPr>
      <w:hyperlink r:id="rId7" w:history="1">
        <w:r w:rsid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 и определения</w:t>
        </w:r>
      </w:hyperlink>
    </w:p>
    <w:p w14:paraId="4701649C" w14:textId="7D4DDE26" w:rsidR="001308BC" w:rsidRDefault="001308BC" w:rsidP="001308BC"/>
    <w:p w14:paraId="2F50601A" w14:textId="55C8855D" w:rsidR="001308BC" w:rsidRDefault="001308BC" w:rsidP="001308BC">
      <w:r>
        <w:t>Решить тренажёры и тесты после каждого из уроков.</w:t>
      </w:r>
    </w:p>
    <w:p w14:paraId="08B131EE" w14:textId="10D53594" w:rsidR="001308BC" w:rsidRDefault="001308BC" w:rsidP="001308BC"/>
    <w:p w14:paraId="5E75387E" w14:textId="52052FC9" w:rsidR="001308BC" w:rsidRDefault="001308BC" w:rsidP="001308BC"/>
    <w:p w14:paraId="2C070F15" w14:textId="6B917317" w:rsidR="001308BC" w:rsidRDefault="001308BC" w:rsidP="001308BC"/>
    <w:p w14:paraId="0008EF6A" w14:textId="22D0413B" w:rsidR="00B90E5E" w:rsidRDefault="00B90E5E" w:rsidP="00B90E5E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2.</w:t>
      </w:r>
    </w:p>
    <w:p w14:paraId="45F9178A" w14:textId="5F59B897" w:rsidR="00B90E5E" w:rsidRDefault="00B90E5E" w:rsidP="001308BC"/>
    <w:p w14:paraId="5817E00E" w14:textId="775D8663" w:rsidR="00276779" w:rsidRDefault="00276779" w:rsidP="001308BC">
      <w:r>
        <w:t xml:space="preserve">Продолжить последовательность тремя следующими </w:t>
      </w:r>
      <w:r w:rsidR="00B5118B">
        <w:t xml:space="preserve">числами </w:t>
      </w:r>
      <w:r>
        <w:t>и записать формулу её общего члена:</w:t>
      </w:r>
    </w:p>
    <w:p w14:paraId="50CF5FB8" w14:textId="63D1AF7F" w:rsidR="00B5118B" w:rsidRDefault="00276779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11, 34, </m:t>
        </m:r>
        <m:r>
          <w:rPr>
            <w:rFonts w:ascii="Cambria Math" w:eastAsiaTheme="minorEastAsia" w:hAnsi="Cambria Math"/>
            <w:lang w:val="en-GB"/>
          </w:rPr>
          <m:t>57, 70, 93, 116,139,162,185,…</m:t>
        </m:r>
      </m:oMath>
    </w:p>
    <w:p w14:paraId="0DF4ABAC" w14:textId="32D499ED" w:rsidR="000133F1" w:rsidRDefault="000133F1" w:rsidP="000133F1">
      <w:pPr>
        <w:rPr>
          <w:rFonts w:eastAsiaTheme="minorEastAsia"/>
          <w:color w:val="FF0000"/>
          <w:lang w:val="en-GB"/>
        </w:rPr>
      </w:pPr>
      <w:r w:rsidRPr="00195E4A">
        <w:rPr>
          <w:rFonts w:eastAsiaTheme="minorEastAsia"/>
          <w:color w:val="FF0000"/>
          <w:lang w:val="en-GB"/>
        </w:rPr>
        <w:t xml:space="preserve">     </w:t>
      </w:r>
      <m:oMath>
        <m:r>
          <w:rPr>
            <w:rFonts w:ascii="Cambria Math" w:eastAsiaTheme="minorEastAsia" w:hAnsi="Cambria Math"/>
            <w:color w:val="FF0000"/>
            <w:lang w:val="en-GB"/>
          </w:rPr>
          <m:t>x+23</m:t>
        </m:r>
      </m:oMath>
    </w:p>
    <w:p w14:paraId="2121E381" w14:textId="02041998" w:rsidR="00195E4A" w:rsidRDefault="00195E4A" w:rsidP="000133F1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Формула общего члена последовательности записывается несколько иначе:</w:t>
      </w:r>
    </w:p>
    <w:p w14:paraId="725684AD" w14:textId="46B7DBE3" w:rsidR="00195E4A" w:rsidRPr="00195E4A" w:rsidRDefault="00195E4A" w:rsidP="000133F1">
      <w:pPr>
        <w:rPr>
          <w:rFonts w:eastAsiaTheme="minorEastAsia"/>
          <w:i/>
          <w:color w:val="0070C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=11+23×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 xml:space="preserve">,  где 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n-</m:t>
          </m:r>
          <m:r>
            <w:rPr>
              <w:rFonts w:ascii="Cambria Math" w:eastAsiaTheme="minorEastAsia" w:hAnsi="Cambria Math"/>
              <w:color w:val="0070C0"/>
            </w:rPr>
            <m:t>порядковый номер элемента</m:t>
          </m:r>
        </m:oMath>
      </m:oMathPara>
    </w:p>
    <w:p w14:paraId="0B0332F7" w14:textId="5116B179" w:rsid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0, 7, 26, 63, 124, 215,</m:t>
        </m:r>
      </m:oMath>
      <w:proofErr w:type="gramStart"/>
      <w:r w:rsidR="000133F1">
        <w:rPr>
          <w:rFonts w:eastAsiaTheme="minorEastAsia"/>
          <w:lang w:val="en-GB"/>
        </w:rPr>
        <w:t>342,511,728,…</w:t>
      </w:r>
      <w:proofErr w:type="gramEnd"/>
    </w:p>
    <w:p w14:paraId="38226B75" w14:textId="603460AF" w:rsidR="000133F1" w:rsidRPr="00195E4A" w:rsidRDefault="00914403" w:rsidP="000133F1">
      <w:pPr>
        <w:ind w:left="360"/>
        <w:rPr>
          <w:rFonts w:eastAsiaTheme="minorEastAsia"/>
          <w:color w:val="FF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GB"/>
            </w:rPr>
            <m:t>-1</m:t>
          </m:r>
        </m:oMath>
      </m:oMathPara>
    </w:p>
    <w:p w14:paraId="546E0E76" w14:textId="540520CD" w:rsidR="00195E4A" w:rsidRDefault="00195E4A" w:rsidP="00195E4A">
      <w:pPr>
        <w:rPr>
          <w:color w:val="0070C0"/>
        </w:rPr>
      </w:pPr>
      <w:r>
        <w:rPr>
          <w:color w:val="0070C0"/>
        </w:rPr>
        <w:t xml:space="preserve">Та же ошибка: </w:t>
      </w:r>
    </w:p>
    <w:p w14:paraId="63C83E60" w14:textId="55DE0BB9" w:rsidR="00195E4A" w:rsidRPr="00195E4A" w:rsidRDefault="00195E4A" w:rsidP="00195E4A">
      <w:pPr>
        <w:rPr>
          <w:color w:val="0070C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color w:val="0070C0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color w:val="0070C0"/>
              <w:lang w:val="en-GB"/>
            </w:rPr>
            <m:t>-1</m:t>
          </m:r>
        </m:oMath>
      </m:oMathPara>
    </w:p>
    <w:p w14:paraId="219B4D8C" w14:textId="6EA35635" w:rsid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-6, -6, -4, 0, 6, 14, 24, 36, 50, 66,84,104,126,…</m:t>
        </m:r>
      </m:oMath>
    </w:p>
    <w:p w14:paraId="6EBFFBBF" w14:textId="0E9EBA64" w:rsidR="000133F1" w:rsidRDefault="000133F1" w:rsidP="000133F1">
      <w:pPr>
        <w:ind w:left="360"/>
        <w:rPr>
          <w:rFonts w:eastAsiaTheme="minorEastAsia"/>
          <w:lang w:val="en-GB"/>
        </w:rPr>
      </w:pPr>
    </w:p>
    <w:p w14:paraId="7A615834" w14:textId="4912088B" w:rsidR="00195E4A" w:rsidRPr="00195E4A" w:rsidRDefault="00195E4A" w:rsidP="00195E4A">
      <w:pPr>
        <w:rPr>
          <w:color w:val="0070C0"/>
        </w:rPr>
      </w:pPr>
      <w:r w:rsidRPr="00195E4A">
        <w:rPr>
          <w:color w:val="0070C0"/>
        </w:rPr>
        <w:t>Правильно!</w:t>
      </w:r>
    </w:p>
    <w:p w14:paraId="53DE8E3E" w14:textId="0C98ADCB" w:rsidR="00195E4A" w:rsidRDefault="00195E4A" w:rsidP="00195E4A">
      <w:pPr>
        <w:rPr>
          <w:color w:val="0070C0"/>
        </w:rPr>
      </w:pPr>
      <w:r>
        <w:rPr>
          <w:color w:val="0070C0"/>
        </w:rPr>
        <w:t>Разность между соседними элементами последовательности тоже является последовательностью.</w:t>
      </w:r>
    </w:p>
    <w:p w14:paraId="584FF66C" w14:textId="60C5B075" w:rsidR="00195E4A" w:rsidRPr="00195E4A" w:rsidRDefault="00195E4A" w:rsidP="00195E4A">
      <w:pPr>
        <w:rPr>
          <w:rFonts w:eastAsiaTheme="minorEastAsia"/>
          <w:color w:val="0070C0"/>
          <w:lang w:val="en-GB"/>
        </w:rPr>
      </w:pPr>
      <m:oMathPara>
        <m:oMath>
          <m:r>
            <w:rPr>
              <w:rFonts w:ascii="Cambria Math" w:hAnsi="Cambria Math"/>
              <w:color w:val="0070C0"/>
              <w:lang w:val="en-GB"/>
            </w:rPr>
            <m:t>0, 2, 4, 6, 8, 10, 12, 14, 16, 18, 20, 22, …</m:t>
          </m:r>
        </m:oMath>
      </m:oMathPara>
    </w:p>
    <w:p w14:paraId="1B0F72B7" w14:textId="62A9C7CB" w:rsidR="00195E4A" w:rsidRDefault="00195E4A" w:rsidP="00195E4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lastRenderedPageBreak/>
        <w:t>К сожалению, сейчас у тебя нет достаточных знаний, чтобы выяснить формулу:</w:t>
      </w:r>
    </w:p>
    <w:p w14:paraId="5E4E9631" w14:textId="1422C514" w:rsidR="00936484" w:rsidRPr="00914403" w:rsidRDefault="00195E4A" w:rsidP="000133F1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Она будет квадратичной</w:t>
      </w:r>
    </w:p>
    <w:p w14:paraId="64041311" w14:textId="305F4CC6" w:rsidR="00B5118B" w:rsidRPr="00914403" w:rsidRDefault="00936484" w:rsidP="001308BC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-3</m:t>
          </m:r>
          <m:r>
            <w:rPr>
              <w:rFonts w:ascii="Cambria Math" w:eastAsiaTheme="minorEastAsia" w:hAnsi="Cambria Math"/>
              <w:color w:val="0070C0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70C0"/>
            </w:rPr>
            <m:t>4</m:t>
          </m:r>
        </m:oMath>
      </m:oMathPara>
    </w:p>
    <w:p w14:paraId="0495DDD3" w14:textId="046B8ADF" w:rsidR="00B5118B" w:rsidRPr="00195E4A" w:rsidRDefault="00B5118B" w:rsidP="001308BC"/>
    <w:p w14:paraId="2CBB4EBA" w14:textId="77777777" w:rsidR="00B5118B" w:rsidRPr="00195E4A" w:rsidRDefault="00B5118B" w:rsidP="001308BC"/>
    <w:sectPr w:rsidR="00B5118B" w:rsidRPr="0019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E83"/>
    <w:multiLevelType w:val="hybridMultilevel"/>
    <w:tmpl w:val="2E48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658E"/>
    <w:multiLevelType w:val="hybridMultilevel"/>
    <w:tmpl w:val="27C2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E"/>
    <w:rsid w:val="000133F1"/>
    <w:rsid w:val="001308BC"/>
    <w:rsid w:val="00195E4A"/>
    <w:rsid w:val="00276779"/>
    <w:rsid w:val="00327E1E"/>
    <w:rsid w:val="00415D50"/>
    <w:rsid w:val="00914403"/>
    <w:rsid w:val="00936484"/>
    <w:rsid w:val="00A67FA7"/>
    <w:rsid w:val="00B5118B"/>
    <w:rsid w:val="00B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7969"/>
  <w15:chartTrackingRefBased/>
  <w15:docId w15:val="{B7F23A14-0B11-4F47-A8E2-F5E6BC4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8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08B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76779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13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priznaki-svoystva-i-opredel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priznaki-svoystva-opredeleniya-aksiomy-i-teoremy" TargetMode="External"/><Relationship Id="rId5" Type="http://schemas.openxmlformats.org/officeDocument/2006/relationships/hyperlink" Target="https://interneturok.ru/lesson/geometry/7-klass/nachalnye-geometricheskie-svedeniya/reshenie-bolee-slozhnyh-zada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2020-04-11T13:02:00Z</dcterms:created>
  <dcterms:modified xsi:type="dcterms:W3CDTF">2020-04-11T13:14:00Z</dcterms:modified>
</cp:coreProperties>
</file>