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20" w:lineRule="auto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Этот раздел включает в себя общий обзор деятельности по тестированию сайта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color w:val="222222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320" w:lineRule="auto"/>
        <w:jc w:val="both"/>
        <w:rPr>
          <w:b w:val="1"/>
          <w:color w:val="2222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22222"/>
          <w:rtl w:val="0"/>
        </w:rPr>
        <w:t xml:space="preserve">В процессе тестирования были протестированы следующие функциональности проекта согласно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Plan</w:t>
        </w:r>
      </w:hyperlink>
      <w:r w:rsidDel="00000000" w:rsidR="00000000" w:rsidRPr="00000000">
        <w:rPr>
          <w:b w:val="1"/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элемент “Иконка Etsy”;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“Поисковая строка”;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элемент “Кнопка Войти”;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форма “Войти в аккаунт”;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элемент “Избранное”;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“Корзина”;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“Оформление заказа”;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“Главная страница”;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“Страница товара”;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“Подписка на рассылку”;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200" w:line="24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“Социальные Сети”;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720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360" w:lineRule="auto"/>
        <w:jc w:val="both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Тестирование не проводилось для следующих функциональностей: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 для сотрудников;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 для продавцов сайта;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Мобильная версия сайта;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безопасности;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Стресс-тестирование;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локализации;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after="320" w:line="240" w:lineRule="auto"/>
        <w:jc w:val="both"/>
        <w:rPr>
          <w:b w:val="1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320" w:line="240" w:lineRule="auto"/>
        <w:jc w:val="both"/>
        <w:rPr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проводилось в следующем тестовом окружении: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10 64-bit</w:t>
      </w:r>
    </w:p>
    <w:p w:rsidR="00000000" w:rsidDel="00000000" w:rsidP="00000000" w:rsidRDefault="00000000" w:rsidRPr="00000000" w14:paraId="0000001F">
      <w:pPr>
        <w:widowControl w:val="0"/>
        <w:spacing w:after="120" w:line="24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20" w:line="24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line="24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Chrome: Version 116.0.5845.188 (Official Build) (64-bit)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line="24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Firefox: 117.0.1 (64-bit)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120" w:line="24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One: version: 102.0.4880.56</w:t>
      </w:r>
    </w:p>
    <w:p w:rsidR="00000000" w:rsidDel="00000000" w:rsidP="00000000" w:rsidRDefault="00000000" w:rsidRPr="00000000" w14:paraId="00000024">
      <w:pPr>
        <w:widowControl w:val="0"/>
        <w:spacing w:after="120"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Функциональный блок "Меню"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Функциональный блок "Корзина"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320" w:lineRule="auto"/>
        <w:ind w:left="720" w:hanging="360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Функциональный блок "Оформление заказа"</w:t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after="320" w:line="240" w:lineRule="auto"/>
        <w:rPr/>
      </w:pPr>
      <w:bookmarkStart w:colFirst="0" w:colLast="0" w:name="_3dy6vkm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Информация о проведенных тест-кейсах: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Количество выполненных тестовых случаев: 50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Количество пройденных тестовых случаев: 48.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Количество неудачных тестов: 2.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-141.73228346456688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60" w:before="360" w:line="360" w:lineRule="auto"/>
        <w:ind w:left="144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60" w:before="360" w:line="36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after="360" w:lineRule="auto"/>
        <w:rPr>
          <w:b w:val="1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Информация  о найденных дефектах: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before="36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Общее количество ошибок: 2.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Статус ошибок (открытые, закрытые, отвечающие):Открытые.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Количество открытых, исправленных, закрытых ошибок: открытые 2, исправленные 0, закрытые  0.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360" w:before="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Разбивка по степени серьезности и приоритетности: Major 2;</w:t>
      </w:r>
    </w:p>
    <w:p w:rsidR="00000000" w:rsidDel="00000000" w:rsidP="00000000" w:rsidRDefault="00000000" w:rsidRPr="00000000" w14:paraId="00000035">
      <w:pPr>
        <w:shd w:fill="ffffff" w:val="clear"/>
        <w:spacing w:after="36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6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hd w:fill="ffffff" w:val="clear"/>
        <w:spacing w:after="360" w:line="240" w:lineRule="auto"/>
        <w:rPr>
          <w:b w:val="1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Описание найденных дефектах: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110"/>
        <w:gridCol w:w="6390"/>
        <w:tblGridChange w:id="0">
          <w:tblGrid>
            <w:gridCol w:w="1530"/>
            <w:gridCol w:w="1110"/>
            <w:gridCol w:w="63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(Уникальный идентификатор)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(Серьезность)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(Краткое описание)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Открывается страница с ошибкой при нажатии на главной странице подборки Персонализированные подарки для не авторизированных пользователей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Оформление заказа осуществляется с невалидными данными Доставки</w:t>
            </w:r>
          </w:p>
        </w:tc>
      </w:tr>
    </w:tbl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Заключение: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После проведения тестирования сайта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дефектов с  серьезностью critical, blocker не обнаружено. 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48">
      <w:pPr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docs.google.com/document/d/1znKPQks_NNEslmlJNoebw4c_fLWtEKNx1nqBq5I8llI/edit?usp=sharing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