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Warszawa, 26.01.2016</w:t>
        <w:br w:type="textWrapping"/>
        <w:t xml:space="preserve">Politechnika Warszawska</w:t>
        <w:br w:type="textWrapping"/>
        <w:t xml:space="preserve">Wydział Elektroniki i Technik Informacyjnych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96"/>
          <w:szCs w:val="96"/>
          <w:rtl w:val="0"/>
        </w:rPr>
        <w:t xml:space="preserve">Projekt INTEL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  <w:r w:rsidDel="00000000" w:rsidR="00000000" w:rsidRPr="00000000">
        <w:rPr>
          <w:b w:val="1"/>
          <w:sz w:val="72"/>
          <w:szCs w:val="72"/>
          <w:rtl w:val="0"/>
        </w:rPr>
        <w:t xml:space="preserve">Mini Enigma 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(3.5)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60"/>
          <w:szCs w:val="60"/>
          <w:rtl w:val="0"/>
        </w:rPr>
        <w:t xml:space="preserve"> Architektura komputerów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60"/>
          <w:szCs w:val="60"/>
          <w:rtl w:val="0"/>
        </w:rPr>
        <w:tab/>
        <w:tab/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prowadzący: mgr inż. Zbigniew Szymański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Tatsiana Lukashevich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b w:val="1"/>
          <w:sz w:val="72"/>
          <w:szCs w:val="72"/>
          <w:rtl w:val="0"/>
        </w:rPr>
        <w:t xml:space="preserve">Spis treści: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1.</w:t>
      </w:r>
      <w:r w:rsidDel="00000000" w:rsidR="00000000" w:rsidRPr="00000000">
        <w:rPr>
          <w:sz w:val="48"/>
          <w:szCs w:val="48"/>
          <w:rtl w:val="0"/>
        </w:rPr>
        <w:t xml:space="preserve">Opis struktury programu………………..</w:t>
      </w:r>
      <w:r w:rsidDel="00000000" w:rsidR="00000000" w:rsidRPr="00000000">
        <w:rPr>
          <w:b w:val="1"/>
          <w:sz w:val="48"/>
          <w:szCs w:val="48"/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2.</w:t>
      </w:r>
      <w:r w:rsidDel="00000000" w:rsidR="00000000" w:rsidRPr="00000000">
        <w:rPr>
          <w:sz w:val="48"/>
          <w:szCs w:val="48"/>
          <w:rtl w:val="0"/>
        </w:rPr>
        <w:t xml:space="preserve">Opis struktur danych i ich implementacji,   implementacji algorytmu………………….</w:t>
      </w:r>
      <w:r w:rsidDel="00000000" w:rsidR="00000000" w:rsidRPr="00000000">
        <w:rPr>
          <w:b w:val="1"/>
          <w:sz w:val="48"/>
          <w:szCs w:val="48"/>
          <w:rtl w:val="0"/>
        </w:rPr>
        <w:t xml:space="preserve">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3.</w:t>
      </w:r>
      <w:r w:rsidDel="00000000" w:rsidR="00000000" w:rsidRPr="00000000">
        <w:rPr>
          <w:sz w:val="48"/>
          <w:szCs w:val="48"/>
          <w:highlight w:val="white"/>
          <w:rtl w:val="0"/>
        </w:rPr>
        <w:t xml:space="preserve">Opis testów……………………………....</w:t>
      </w: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48"/>
          <w:szCs w:val="48"/>
          <w:highlight w:val="white"/>
          <w:rtl w:val="0"/>
        </w:rPr>
        <w:t xml:space="preserve">1. Opis struktury programu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ab/>
        <w:t xml:space="preserve">Program powinien zaszyfrować tekst i zdeszyfrować tekst o odpowiednio podanych ustawieniach wirników. Po zaszyfrowaniu/zdeszyfrowaniu jednego znaku jeden z wirników obraca się o jedną pozycję.</w:t>
        <w:br w:type="textWrapping"/>
        <w:t xml:space="preserve">Tekst do zaszyfrowania/zdeszyfrowania zapisuje się w pliku o nazwie 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plaintext.txt.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Ustawienie wirników zmienia się w pliku 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init.txt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 Zaszyfrowany/zdeszyfrowany tekst zapisuje się do pliku 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ciphertext.txt.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Jak połączone wirniki są zapisane w pliku 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rotors.txt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Wymagania dotyczące pliku 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plaintext.txt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-tekst jawny zawiera znaki o kodach ASCII z przedziału &lt;32dec, 95dec&gt;  wszystkie znaki, których kody ASCII nie mieszczą się w przedziale wymienionym w poprzednim punkcie są ignorowane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- plik będzie wczytywany wiersz po wierszu (a nie na jeden raz w całości)  po wczytaniu kolejnego wiersza algorytm szyfrujący kontynuuje pracę (nie powraca do stanu początkowego)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-dane kończą się pustym wierszem zawierającym tylko znak o kodzie 10dec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Plik o nazwie 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rotors.txt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zawiera opis połączeń bębnów szyfrujących: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Przykład: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Rotorjeden;nr styku wejscia - nr styku prawa strona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00-04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01-10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02-12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Powyższe dane oznaczają, że np. styk wejścia 00 jest połączony z prawym stykiem wirnika pierwszego 04.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Każda sekcja składa się z etykiety (dowolny ciąg znakowy) oraz 52 linii opisujących połączenia styków po prawej i po lewej stronie bębna (dla bębnów standardowych) i 26 linie dla bębna odwracającego(alfabet łaciński). Połączenia bębnów można odnaleźć na stronie http://habrahabr.ru/post/217331/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Początkowe położenie bębnów szyfrujących podane jest w pliku 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init.txt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Przykład: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Dane z powyższego przykładu oznaczają, że: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styk 22 pierwszego bębna sąsiaduje ze stykiem wej./wyj. o numerze 00,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styk 05 drugiego bębna sąsiaduje ze stykiem 22 pierwszego bębna i stykiem 12 trzeciego bębna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styk 12 trzeciego bębna sąsiaduje ze stykiem 05 drugiego bębna i stykiem 00 bębna odwracającego.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Zaszyfrowane ciągi znakowe powinny być umieszczone w kolejnych wierszach pliku o nazwie 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ciphertext.txt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 programie została zaimlementowana w asemblerze funkcja dokonująca szyfrowanie zadanym alorytmem jednego wiersza tekstu. Prototyp funkcji w języku 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void kodowanie(char *buf1, char *buf2, ustawienia *ust);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Parametry: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char *buf1 - wskazanie na bufor zawierający tekst wejściowy(do zaszyfrowania bądź odszyfrowania)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char *buf2 - wskazanie na bufor zawierający tekst wyjściowy (zaszyfrowany bądź odszyfrowany)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ustawienia *ust - struktura służąca do przekazania dodatkowych danych potrzebnych do prawidłowego działania algorytmu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Odczyt danych z pliku i Alokacja pamięci na bufory jest realizowany na poziomie języka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2.Opis struktur danych i ich implementacji,   implementacji algorytmu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u w:val="single"/>
          <w:rtl w:val="0"/>
        </w:rPr>
        <w:t xml:space="preserve">Język 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int s1,s2,s3;</w:t>
        <w:tab/>
      </w: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Przechowanie ustawień wirników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char buf1[1025];</w:t>
      </w: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Przechowywanie symboli wejściowych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char buf2[1025];</w:t>
      </w: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Przechowywanie symboli wyjściowych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char tablica[100];</w:t>
      </w: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Tablica pomocnicza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int tablica2[2000];</w:t>
      </w: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Przechowywanie pierwszej części ustawień rotorów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int tablica3[400];</w:t>
        <w:tab/>
      </w: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Przechowywanie drugiej części ustawień rotorów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void read_init();</w:t>
      </w: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Funkcja dla odczytu ustawień wirników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void read_rotors();</w:t>
        <w:tab/>
      </w: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Funkcja dla odczytu połączeń wirników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int read(FILE *file);</w:t>
        <w:tab/>
      </w: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Funkcja dla odczytu z pliku wirników, zmieniając na liczby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struct ustawienia</w:t>
        <w:tab/>
      </w: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Struktura dla poprawnego kodowania/zdekodowania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int *bufor2;</w:t>
        <w:tab/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Wskaźnik na tablicę 1-j części znaków do zakodowania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int *bufor3;</w:t>
        <w:tab/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Wskaźnik na tablicę 2-j części znaków do zakodowania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int t4;</w:t>
        <w:tab/>
        <w:tab/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Ustawienie początkowe 1-go wirnika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int t5;</w:t>
        <w:tab/>
        <w:tab/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Ustawienie początkowe 2-go wirnika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int t6;</w:t>
        <w:tab/>
        <w:tab/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Ustawienie początkowe 3-go wirnika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u w:val="single"/>
          <w:rtl w:val="0"/>
        </w:rPr>
        <w:t xml:space="preserve">Intelx86: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edi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przechowuje wskaźnik na ciąg wejściowy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ecx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przechowuje wskaźnik na ciąg wejściowy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eax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przechowuje wskaźnik na strukturę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ebx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przechowuje wskażnik na bufory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[ebp + 8]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przechowuje pierwszy argument funkcji kodowanie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[ebp + 12]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przechowuje drugi argument funkcji kodowanie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[ebp + 16]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przechowuje trzeci argument funkcji kodowanie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[ebp - 4]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przechowuje pierwszy obrót wirnika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[ebp - 8]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przechowuje drugi obrót wirnika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[ebp - 12]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przechowuje trzeci obrót wirnika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[ebp - 16]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przechowuje miejsce w buforze dla zakodowania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[ebp - 20]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przechowuje znak zakodowany/zdekodowany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zmienna pomocnicza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zmienna pomocnicza, przechowująca numer znaku w buforze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kodowanie:</w:t>
      </w: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Służy do kodowania/zdekodowania znaków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przechodz:</w:t>
      </w: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Przechodzi po symbolom wejściowym i szyfruje/odszyfruje je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przepusc:</w:t>
      </w: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Przepuszcza znaki, które nie są dużymi literami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zapisz: </w:t>
      </w: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Zapisuje zakodowany/zdekodowany znak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koniec:</w:t>
      </w: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Zapisuje wszystkie wirniki obrócone do tej pory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rotate:</w:t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Obraca wirniki po zakodowanym/zdekodowanym znaku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countt4:</w:t>
      </w: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Obraca o jedną pozycję pierwszy wirnik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countt5:</w:t>
      </w: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Obraca o jedną pozycję drugi wirnik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countt6:</w:t>
      </w: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Obraca o jedną pozycję trzeci wirnik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3.Opis testów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Testy zostały prowadzony za pomocą wpisania do pliku plaintext.txt tekstu do zaszyfrowania, wynik został zapisany do pliku ciphertext.txt. Zatem do sprawdzenia zakodowanego tekstu umieszczam go w plik plaintext.txt, porównując wyniki, w pliku ciphertext.txt i tekstu jawnego, możemy decydować o poprawności zaszyfrowanych danych za pomocą programu.</w:t>
        <w:br w:type="textWrapping"/>
        <w:t xml:space="preserve">Poniższa tabela przedstawia wyniki testowania: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220"/>
        <w:gridCol w:w="2100"/>
        <w:gridCol w:w="780"/>
        <w:gridCol w:w="1829"/>
        <w:tblGridChange w:id="0">
          <w:tblGrid>
            <w:gridCol w:w="2100"/>
            <w:gridCol w:w="2220"/>
            <w:gridCol w:w="2100"/>
            <w:gridCol w:w="780"/>
            <w:gridCol w:w="18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Tekst do zaszyfrowania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Zaszyfrowany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tekst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Zdeszyfrowany tekst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Ustawienie wirników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Komentarz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UPGR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HNQ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QTXH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RBU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UPGR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HNQ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Jest dobrze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GHMOLSNUTG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BACYLPD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WQGFNZJYSER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XI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KYFUTQJOLK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CXBHTVE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RSKMJINHQDW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GHMOLSNUTG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BACYLPD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WQGFNZJYSER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XI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Jest dobrze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HDKTENCLOSJD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MQZ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ASW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GFDjd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NsK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XVUQJCNIYAEV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RTP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ZMO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BWV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HDKTENCLOSJD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MQZ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ASW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GFD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Jest dobrze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Pomijamy przy kodowaniu małe litery,bo nie wchodzą w obszar podany w wymaganiach(32dec, 95dec)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JSUEHFNSI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OPZQ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EFYJMSAFW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QRDO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JSUEHFNSI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OPZQ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Jest dobrze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ESLONVGFJDM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PDM4SC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YRN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OCXEUWFGAPT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DPT4CS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HBU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ESLONVGFJDM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PDM4SC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YRN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Jest dobrze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Dopuszczam przechodzenie znaku bez kodowania(32dec-65dec;90dec-95dec)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