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AccuBook — Playwright E2E Audit</w:t>
      </w:r>
    </w:p>
    <w:p>
      <w:pPr>
        <w:pStyle w:val="Subtitle"/>
      </w:pPr>
      <w:r>
        <w:t xml:space="preserve">End-to-end smoke audit run against production</w:t>
      </w:r>
    </w:p>
    <w:p>
      <w:pPr>
        <w:pStyle w:val="Date"/>
      </w:pPr>
      <w:r>
        <w:t xml:space="preserve">2026-05-08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summary"/>
    <w:p>
      <w:pPr>
        <w:pStyle w:val="Heading1"/>
      </w:pPr>
      <w:r>
        <w:t xml:space="preserve">1.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Target</w:t>
            </w:r>
          </w:p>
        </w:tc>
        <w:tc>
          <w:tcPr/>
          <w:p>
            <w:pPr>
              <w:pStyle w:val="Compact"/>
            </w:pPr>
            <w:r>
              <w:rPr>
                <w:rStyle w:val="VerbatimChar"/>
              </w:rPr>
              <w:t xml:space="preserve">https://accubook.tensparrows.com</w:t>
            </w:r>
            <w:r>
              <w:t xml:space="preserve"> </w:t>
            </w:r>
            <w:r>
              <w:t xml:space="preserve">(production)</w:t>
            </w:r>
          </w:p>
        </w:tc>
      </w:tr>
      <w:tr>
        <w:tc>
          <w:tcPr/>
          <w:p>
            <w:pPr>
              <w:pStyle w:val="Compact"/>
            </w:pPr>
            <w:r>
              <w:t xml:space="preserve">Browser</w:t>
            </w:r>
          </w:p>
        </w:tc>
        <w:tc>
          <w:tcPr/>
          <w:p>
            <w:pPr>
              <w:pStyle w:val="Compact"/>
            </w:pPr>
            <w:r>
              <w:t xml:space="preserve">Chromium (Playwright bundled)</w:t>
            </w:r>
          </w:p>
        </w:tc>
      </w:tr>
      <w:tr>
        <w:tc>
          <w:tcPr/>
          <w:p>
            <w:pPr>
              <w:pStyle w:val="Compact"/>
            </w:pPr>
            <w:r>
              <w:t xml:space="preserve">Total tests</w:t>
            </w:r>
          </w:p>
        </w:tc>
        <w:tc>
          <w:tcPr/>
          <w:p>
            <w:pPr>
              <w:pStyle w:val="Compact"/>
            </w:pPr>
            <w:r>
              <w:rPr>
                <w:b/>
                <w:bCs/>
              </w:rPr>
              <w:t xml:space="preserve">46</w:t>
            </w:r>
          </w:p>
        </w:tc>
      </w:tr>
      <w:tr>
        <w:tc>
          <w:tcPr/>
          <w:p>
            <w:pPr>
              <w:pStyle w:val="Compact"/>
            </w:pPr>
            <w:r>
              <w:t xml:space="preserve">Passed</w:t>
            </w:r>
          </w:p>
        </w:tc>
        <w:tc>
          <w:tcPr/>
          <w:p>
            <w:pPr>
              <w:pStyle w:val="Compact"/>
            </w:pPr>
            <w:r>
              <w:rPr>
                <w:b/>
                <w:bCs/>
              </w:rPr>
              <w:t xml:space="preserve">45</w:t>
            </w:r>
          </w:p>
        </w:tc>
      </w:tr>
      <w:tr>
        <w:tc>
          <w:tcPr/>
          <w:p>
            <w:pPr>
              <w:pStyle w:val="Compact"/>
            </w:pPr>
            <w:r>
              <w:t xml:space="preserve">Skipped (documented finding)</w:t>
            </w:r>
          </w:p>
        </w:tc>
        <w:tc>
          <w:tcPr/>
          <w:p>
            <w:pPr>
              <w:pStyle w:val="Compact"/>
            </w:pPr>
            <w:r>
              <w:rPr>
                <w:b/>
                <w:bCs/>
              </w:rPr>
              <w:t xml:space="preserve">1</w:t>
            </w:r>
          </w:p>
        </w:tc>
      </w:tr>
      <w:tr>
        <w:tc>
          <w:tcPr/>
          <w:p>
            <w:pPr>
              <w:pStyle w:val="Compact"/>
            </w:pPr>
            <w:r>
              <w:t xml:space="preserve">Failed</w:t>
            </w:r>
          </w:p>
        </w:tc>
        <w:tc>
          <w:tcPr/>
          <w:p>
            <w:pPr>
              <w:pStyle w:val="Compact"/>
            </w:pPr>
            <w:r>
              <w:rPr>
                <w:b/>
                <w:bCs/>
              </w:rPr>
              <w:t xml:space="preserve">0</w:t>
            </w:r>
          </w:p>
        </w:tc>
      </w:tr>
      <w:tr>
        <w:tc>
          <w:tcPr/>
          <w:p>
            <w:pPr>
              <w:pStyle w:val="Compact"/>
            </w:pPr>
            <w:r>
              <w:t xml:space="preserve">Duration</w:t>
            </w:r>
          </w:p>
        </w:tc>
        <w:tc>
          <w:tcPr/>
          <w:p>
            <w:pPr>
              <w:pStyle w:val="Compact"/>
            </w:pPr>
            <w:r>
              <w:t xml:space="preserve">~27 s</w:t>
            </w:r>
          </w:p>
        </w:tc>
      </w:tr>
      <w:tr>
        <w:tc>
          <w:tcPr/>
          <w:p>
            <w:pPr>
              <w:pStyle w:val="Compact"/>
            </w:pPr>
            <w:r>
              <w:t xml:space="preserve">Run from</w:t>
            </w:r>
          </w:p>
        </w:tc>
        <w:tc>
          <w:tcPr/>
          <w:p>
            <w:pPr>
              <w:pStyle w:val="Compact"/>
            </w:pPr>
            <w:r>
              <w:rPr>
                <w:rStyle w:val="VerbatimChar"/>
              </w:rPr>
              <w:t xml:space="preserve">tests/playwright/</w:t>
            </w:r>
          </w:p>
        </w:tc>
      </w:tr>
    </w:tbl>
    <w:p>
      <w:pPr>
        <w:pStyle w:val="BodyText"/>
      </w:pPr>
      <w:r>
        <w:rPr>
          <w:b/>
          <w:bCs/>
        </w:rPr>
        <w:t xml:space="preserve">Verdict:</w:t>
      </w:r>
      <w:r>
        <w:t xml:space="preserve"> </w:t>
      </w:r>
      <w:r>
        <w:t xml:space="preserve">the live deployment is healthy on every smoke flow. Login → dashboard works, all middleware redirects fire, every authenticated API endpoint returns 200, security headers are in place. Three real findings surfaced and were either fixed during the audit or filed below.</w:t>
      </w:r>
    </w:p>
    <w:bookmarkEnd w:id="9"/>
    <w:bookmarkStart w:id="10" w:name="how-to-run"/>
    <w:p>
      <w:pPr>
        <w:pStyle w:val="Heading1"/>
      </w:pPr>
      <w:r>
        <w:t xml:space="preserve">2. How to run</w:t>
      </w:r>
    </w:p>
    <w:p>
      <w:pPr>
        <w:pStyle w:val="SourceCode"/>
      </w:pPr>
      <w:r>
        <w:rPr>
          <w:rStyle w:val="CommentTok"/>
        </w:rPr>
        <w:t xml:space="preserve"># install once</w:t>
      </w:r>
      <w:r>
        <w:br/>
      </w:r>
      <w:r>
        <w:rPr>
          <w:rStyle w:val="ExtensionTok"/>
        </w:rPr>
        <w:t xml:space="preserve">npm</w:t>
      </w:r>
      <w:r>
        <w:rPr>
          <w:rStyle w:val="NormalTok"/>
        </w:rPr>
        <w:t xml:space="preserve"> install </w:t>
      </w:r>
      <w:r>
        <w:rPr>
          <w:rStyle w:val="AttributeTok"/>
        </w:rPr>
        <w:t xml:space="preserve">-D</w:t>
      </w:r>
      <w:r>
        <w:rPr>
          <w:rStyle w:val="NormalTok"/>
        </w:rPr>
        <w:t xml:space="preserve"> @playwright/test</w:t>
      </w:r>
      <w:r>
        <w:br/>
      </w:r>
      <w:r>
        <w:rPr>
          <w:rStyle w:val="ExtensionTok"/>
        </w:rPr>
        <w:t xml:space="preserve">npx</w:t>
      </w:r>
      <w:r>
        <w:rPr>
          <w:rStyle w:val="NormalTok"/>
        </w:rPr>
        <w:t xml:space="preserve"> playwright install chromium</w:t>
      </w:r>
      <w:r>
        <w:br/>
      </w:r>
      <w:r>
        <w:br/>
      </w:r>
      <w:r>
        <w:rPr>
          <w:rStyle w:val="CommentTok"/>
        </w:rPr>
        <w:t xml:space="preserve"># run against production (default)</w:t>
      </w:r>
      <w:r>
        <w:br/>
      </w:r>
      <w:r>
        <w:rPr>
          <w:rStyle w:val="ExtensionTok"/>
        </w:rPr>
        <w:t xml:space="preserve">npx</w:t>
      </w:r>
      <w:r>
        <w:rPr>
          <w:rStyle w:val="NormalTok"/>
        </w:rPr>
        <w:t xml:space="preserve"> playwright test</w:t>
      </w:r>
      <w:r>
        <w:br/>
      </w:r>
      <w:r>
        <w:br/>
      </w:r>
      <w:r>
        <w:rPr>
          <w:rStyle w:val="CommentTok"/>
        </w:rPr>
        <w:t xml:space="preserve"># run against local dev server</w:t>
      </w:r>
      <w:r>
        <w:br/>
      </w:r>
      <w:r>
        <w:rPr>
          <w:rStyle w:val="VariableTok"/>
        </w:rPr>
        <w:t xml:space="preserve">PLAYWRIGHT_BASE_URL</w:t>
      </w:r>
      <w:r>
        <w:rPr>
          <w:rStyle w:val="OperatorTok"/>
        </w:rPr>
        <w:t xml:space="preserve">=</w:t>
      </w:r>
      <w:r>
        <w:rPr>
          <w:rStyle w:val="NormalTok"/>
        </w:rPr>
        <w:t xml:space="preserve">http://localhost:3000 </w:t>
      </w:r>
      <w:r>
        <w:rPr>
          <w:rStyle w:val="ExtensionTok"/>
        </w:rPr>
        <w:t xml:space="preserve">npx</w:t>
      </w:r>
      <w:r>
        <w:rPr>
          <w:rStyle w:val="NormalTok"/>
        </w:rPr>
        <w:t xml:space="preserve"> playwright test</w:t>
      </w:r>
      <w:r>
        <w:br/>
      </w:r>
      <w:r>
        <w:br/>
      </w:r>
      <w:r>
        <w:rPr>
          <w:rStyle w:val="CommentTok"/>
        </w:rPr>
        <w:t xml:space="preserve"># open the HTML report after a run</w:t>
      </w:r>
      <w:r>
        <w:br/>
      </w:r>
      <w:r>
        <w:rPr>
          <w:rStyle w:val="ExtensionTok"/>
        </w:rPr>
        <w:t xml:space="preserve">npx</w:t>
      </w:r>
      <w:r>
        <w:rPr>
          <w:rStyle w:val="NormalTok"/>
        </w:rPr>
        <w:t xml:space="preserve"> playwright show-report tests/playwright/report</w:t>
      </w:r>
    </w:p>
    <w:p>
      <w:pPr>
        <w:pStyle w:val="FirstParagraph"/>
      </w:pPr>
      <w:r>
        <w:t xml:space="preserve">The runner config lives in</w:t>
      </w:r>
      <w:r>
        <w:t xml:space="preserve"> </w:t>
      </w:r>
      <w:r>
        <w:rPr>
          <w:rStyle w:val="VerbatimChar"/>
        </w:rPr>
        <w:t xml:space="preserve">playwright.config.ts</w:t>
      </w:r>
      <w:r>
        <w:t xml:space="preserve">. Default base URL is the prod alias</w:t>
      </w:r>
      <w:r>
        <w:t xml:space="preserve"> </w:t>
      </w:r>
      <w:r>
        <w:rPr>
          <w:rStyle w:val="VerbatimChar"/>
        </w:rPr>
        <w:t xml:space="preserve">https://accubook.tensparrows.com</w:t>
      </w:r>
      <w:r>
        <w:t xml:space="preserve">. Override with</w:t>
      </w:r>
      <w:r>
        <w:t xml:space="preserve"> </w:t>
      </w:r>
      <w:r>
        <w:rPr>
          <w:rStyle w:val="VerbatimChar"/>
        </w:rPr>
        <w:t xml:space="preserve">PLAYWRIGHT_BASE_URL</w:t>
      </w:r>
      <w:r>
        <w:t xml:space="preserve">.</w:t>
      </w:r>
    </w:p>
    <w:bookmarkEnd w:id="10"/>
    <w:bookmarkStart w:id="15" w:name="test-inventory"/>
    <w:p>
      <w:pPr>
        <w:pStyle w:val="Heading1"/>
      </w:pPr>
      <w:r>
        <w:t xml:space="preserve">3. Test inventory</w:t>
      </w:r>
    </w:p>
    <w:p>
      <w:pPr>
        <w:pStyle w:val="FirstParagraph"/>
      </w:pPr>
      <w:r>
        <w:t xml:space="preserve">The suite lives in</w:t>
      </w:r>
      <w:r>
        <w:t xml:space="preserve"> </w:t>
      </w:r>
      <w:r>
        <w:rPr>
          <w:rStyle w:val="VerbatimChar"/>
        </w:rPr>
        <w:t xml:space="preserve">tests/playwright/</w:t>
      </w:r>
      <w:r>
        <w:t xml:space="preserve"> </w:t>
      </w:r>
      <w:r>
        <w:t xml:space="preserve">and is split across four spec files:</w:t>
      </w:r>
    </w:p>
    <w:bookmarkStart w:id="11" w:name="public.spec.ts-7-tests-public-surface"/>
    <w:p>
      <w:pPr>
        <w:pStyle w:val="Heading2"/>
      </w:pPr>
      <w:r>
        <w:t xml:space="preserve">3.1</w:t>
      </w:r>
      <w:r>
        <w:t xml:space="preserve"> </w:t>
      </w:r>
      <w:r>
        <w:rPr>
          <w:rStyle w:val="VerbatimChar"/>
        </w:rPr>
        <w:t xml:space="preserve">01-public.spec.ts</w:t>
      </w:r>
      <w:r>
        <w:t xml:space="preserve"> </w:t>
      </w:r>
      <w:r>
        <w:t xml:space="preserve">— 7 tests, public surface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What it proves</w:t>
            </w:r>
          </w:p>
        </w:tc>
      </w:tr>
      <w:tr>
        <w:tc>
          <w:tcPr/>
          <w:p>
            <w:pPr>
              <w:pStyle w:val="Compact"/>
            </w:pPr>
            <w:r>
              <w:t xml:space="preserve">Landing page loads</w:t>
            </w:r>
          </w:p>
        </w:tc>
        <w:tc>
          <w:tcPr/>
          <w:p>
            <w:pPr>
              <w:pStyle w:val="Compact"/>
            </w:pPr>
            <w:r>
              <w:rPr>
                <w:rStyle w:val="VerbatimChar"/>
              </w:rPr>
              <w:t xml:space="preserve">/</w:t>
            </w:r>
            <w:r>
              <w:t xml:space="preserve"> </w:t>
            </w:r>
            <w:r>
              <w:t xml:space="preserve">returns 200 with</w:t>
            </w:r>
            <w:r>
              <w:t xml:space="preserve"> </w:t>
            </w:r>
            <w:r>
              <w:rPr>
                <w:rStyle w:val="VerbatimChar"/>
              </w:rPr>
              <w:t xml:space="preserve">&lt;title&gt;</w:t>
            </w:r>
            <w:r>
              <w:t xml:space="preserve"> </w:t>
            </w:r>
            <w:r>
              <w:t xml:space="preserve">containing</w:t>
            </w:r>
            <w:r>
              <w:t xml:space="preserve"> </w:t>
            </w:r>
            <w:r>
              <w:t xml:space="preserve">“AccuBook”</w:t>
            </w:r>
          </w:p>
        </w:tc>
      </w:tr>
      <w:tr>
        <w:tc>
          <w:tcPr/>
          <w:p>
            <w:pPr>
              <w:pStyle w:val="Compact"/>
            </w:pPr>
            <w:r>
              <w:t xml:space="preserve">Login page loads + demo creds visible on SSR</w:t>
            </w:r>
          </w:p>
        </w:tc>
        <w:tc>
          <w:tcPr/>
          <w:p>
            <w:pPr>
              <w:pStyle w:val="Compact"/>
            </w:pPr>
            <w:r>
              <w:rPr>
                <w:rStyle w:val="VerbatimChar"/>
              </w:rPr>
              <w:t xml:space="preserve">/login</w:t>
            </w:r>
            <w:r>
              <w:t xml:space="preserve"> </w:t>
            </w:r>
            <w:r>
              <w:t xml:space="preserve">SSR includes</w:t>
            </w:r>
            <w:r>
              <w:t xml:space="preserve"> </w:t>
            </w:r>
            <w:r>
              <w:t xml:space="preserve">“Demo Credentials”</w:t>
            </w:r>
            <w:r>
              <w:t xml:space="preserve">,</w:t>
            </w:r>
            <w:r>
              <w:t xml:space="preserve"> </w:t>
            </w:r>
            <w:r>
              <w:rPr>
                <w:rStyle w:val="VerbatimChar"/>
              </w:rPr>
              <w:t xml:space="preserve">admin@accubook.com</w:t>
            </w:r>
            <w:r>
              <w:t xml:space="preserve">,</w:t>
            </w:r>
            <w:r>
              <w:t xml:space="preserve"> </w:t>
            </w:r>
            <w:r>
              <w:rPr>
                <w:rStyle w:val="VerbatimChar"/>
              </w:rPr>
              <w:t xml:space="preserve">password123!</w:t>
            </w:r>
            <w:r>
              <w:t xml:space="preserve"> </w:t>
            </w:r>
            <w:r>
              <w:t xml:space="preserve">(i.e. the SSR fix from commit</w:t>
            </w:r>
            <w:r>
              <w:t xml:space="preserve"> </w:t>
            </w:r>
            <w:r>
              <w:rPr>
                <w:rStyle w:val="VerbatimChar"/>
              </w:rPr>
              <w:t xml:space="preserve">17695d7</w:t>
            </w:r>
            <w:r>
              <w:t xml:space="preserve"> </w:t>
            </w:r>
            <w:r>
              <w:t xml:space="preserve">is live)</w:t>
            </w:r>
          </w:p>
        </w:tc>
      </w:tr>
      <w:tr>
        <w:tc>
          <w:tcPr/>
          <w:p>
            <w:pPr>
              <w:pStyle w:val="Compact"/>
            </w:pPr>
            <w:r>
              <w:rPr>
                <w:rStyle w:val="VerbatimChar"/>
              </w:rPr>
              <w:t xml:space="preserve">/api/health</w:t>
            </w:r>
            <w:r>
              <w:t xml:space="preserve"> </w:t>
            </w:r>
            <w:r>
              <w:t xml:space="preserve">responds 200 with</w:t>
            </w:r>
            <w:r>
              <w:t xml:space="preserve"> </w:t>
            </w:r>
            <w:r>
              <w:rPr>
                <w:rStyle w:val="VerbatimChar"/>
              </w:rPr>
              <w:t xml:space="preserve">ok=true</w:t>
            </w:r>
          </w:p>
        </w:tc>
        <w:tc>
          <w:tcPr/>
          <w:p>
            <w:pPr>
              <w:pStyle w:val="Compact"/>
            </w:pPr>
            <w:r>
              <w:rPr>
                <w:rStyle w:val="VerbatimChar"/>
              </w:rPr>
              <w:t xml:space="preserve">db.ok = true</w:t>
            </w:r>
            <w:r>
              <w:t xml:space="preserve">,</w:t>
            </w:r>
            <w:r>
              <w:t xml:space="preserve"> </w:t>
            </w:r>
            <w:r>
              <w:rPr>
                <w:rStyle w:val="VerbatimChar"/>
              </w:rPr>
              <w:t xml:space="preserve">migrations.ok = true</w:t>
            </w:r>
            <w:r>
              <w:t xml:space="preserve">,</w:t>
            </w:r>
            <w:r>
              <w:t xml:space="preserve"> </w:t>
            </w:r>
            <w:r>
              <w:rPr>
                <w:rStyle w:val="VerbatimChar"/>
              </w:rPr>
              <w:t xml:space="preserve">migrations.drift = []</w:t>
            </w:r>
          </w:p>
        </w:tc>
      </w:tr>
      <w:tr>
        <w:tc>
          <w:tcPr/>
          <w:p>
            <w:pPr>
              <w:pStyle w:val="Compact"/>
            </w:pPr>
            <w:r>
              <w:rPr>
                <w:rStyle w:val="VerbatimChar"/>
              </w:rPr>
              <w:t xml:space="preserve">/api/hsn-search</w:t>
            </w:r>
            <w:r>
              <w:t xml:space="preserve"> </w:t>
            </w:r>
            <w:r>
              <w:t xml:space="preserve">is publicly accessible</w:t>
            </w:r>
          </w:p>
        </w:tc>
        <w:tc>
          <w:tcPr/>
          <w:p>
            <w:pPr>
              <w:pStyle w:val="Compact"/>
            </w:pPr>
            <w:r>
              <w:t xml:space="preserve">Returns 200 or 400, never 307 (proves middleware whitelist works)</w:t>
            </w:r>
          </w:p>
        </w:tc>
      </w:tr>
      <w:tr>
        <w:tc>
          <w:tcPr/>
          <w:p>
            <w:pPr>
              <w:pStyle w:val="Compact"/>
            </w:pPr>
            <w:r>
              <w:t xml:space="preserve">Middleware redirects unauthed</w:t>
            </w:r>
            <w:r>
              <w:t xml:space="preserve"> </w:t>
            </w:r>
            <w:r>
              <w:rPr>
                <w:rStyle w:val="VerbatimChar"/>
              </w:rPr>
              <w:t xml:space="preserve">/dashboard</w:t>
            </w:r>
            <w:r>
              <w:t xml:space="preserve"> </w:t>
            </w:r>
            <w:r>
              <w:t xml:space="preserve">to</w:t>
            </w:r>
            <w:r>
              <w:t xml:space="preserve"> </w:t>
            </w:r>
            <w:r>
              <w:rPr>
                <w:rStyle w:val="VerbatimChar"/>
              </w:rPr>
              <w:t xml:space="preserve">/login</w:t>
            </w:r>
          </w:p>
        </w:tc>
        <w:tc>
          <w:tcPr/>
          <w:p>
            <w:pPr>
              <w:pStyle w:val="Compact"/>
            </w:pPr>
            <w:r>
              <w:t xml:space="preserve">307 with</w:t>
            </w:r>
            <w:r>
              <w:t xml:space="preserve"> </w:t>
            </w:r>
            <w:r>
              <w:rPr>
                <w:rStyle w:val="VerbatimChar"/>
              </w:rPr>
              <w:t xml:space="preserve">Location: /login?callbackUrl=%2Fdashboard</w:t>
            </w:r>
          </w:p>
        </w:tc>
      </w:tr>
      <w:tr>
        <w:tc>
          <w:tcPr/>
          <w:p>
            <w:pPr>
              <w:pStyle w:val="Compact"/>
            </w:pPr>
            <w:r>
              <w:t xml:space="preserve">Middleware redirects unauthed deep route</w:t>
            </w:r>
          </w:p>
        </w:tc>
        <w:tc>
          <w:tcPr/>
          <w:p>
            <w:pPr>
              <w:pStyle w:val="Compact"/>
            </w:pPr>
            <w:r>
              <w:t xml:space="preserve">307 from</w:t>
            </w:r>
            <w:r>
              <w:t xml:space="preserve"> </w:t>
            </w:r>
            <w:r>
              <w:rPr>
                <w:rStyle w:val="VerbatimChar"/>
              </w:rPr>
              <w:t xml:space="preserve">/sales/invoices</w:t>
            </w:r>
            <w:r>
              <w:t xml:space="preserve"> </w:t>
            </w:r>
            <w:r>
              <w:t xml:space="preserve">→</w:t>
            </w:r>
            <w:r>
              <w:t xml:space="preserve"> </w:t>
            </w:r>
            <w:r>
              <w:rPr>
                <w:rStyle w:val="VerbatimChar"/>
              </w:rPr>
              <w:t xml:space="preserve">/login</w:t>
            </w:r>
          </w:p>
        </w:tc>
      </w:tr>
      <w:tr>
        <w:tc>
          <w:tcPr/>
          <w:p>
            <w:pPr>
              <w:pStyle w:val="Compact"/>
            </w:pPr>
            <w:r>
              <w:t xml:space="preserve">Security headers present</w:t>
            </w:r>
          </w:p>
        </w:tc>
        <w:tc>
          <w:tcPr/>
          <w:p>
            <w:pPr>
              <w:pStyle w:val="Compact"/>
            </w:pPr>
            <w:r>
              <w:t xml:space="preserve">HSTS, X-Content-Type-Options, X-Frame-Options=SAMEORIGIN, Referrer-Policy, Permissions-Policy</w:t>
            </w:r>
          </w:p>
        </w:tc>
      </w:tr>
    </w:tbl>
    <w:bookmarkEnd w:id="11"/>
    <w:bookmarkStart w:id="12" w:name="auth.spec.ts-3-tests-auth-flow"/>
    <w:p>
      <w:pPr>
        <w:pStyle w:val="Heading2"/>
      </w:pPr>
      <w:r>
        <w:t xml:space="preserve">3.2</w:t>
      </w:r>
      <w:r>
        <w:t xml:space="preserve"> </w:t>
      </w:r>
      <w:r>
        <w:rPr>
          <w:rStyle w:val="VerbatimChar"/>
        </w:rPr>
        <w:t xml:space="preserve">02-auth.spec.ts</w:t>
      </w:r>
      <w:r>
        <w:t xml:space="preserve"> </w:t>
      </w:r>
      <w:r>
        <w:t xml:space="preserve">— 3 tests, auth flow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What it proves</w:t>
            </w:r>
          </w:p>
        </w:tc>
      </w:tr>
      <w:tr>
        <w:tc>
          <w:tcPr/>
          <w:p>
            <w:pPr>
              <w:pStyle w:val="Compact"/>
            </w:pPr>
            <w:r>
              <w:t xml:space="preserve">Login with demo creds → lands on</w:t>
            </w:r>
            <w:r>
              <w:t xml:space="preserve"> </w:t>
            </w:r>
            <w:r>
              <w:rPr>
                <w:rStyle w:val="VerbatimChar"/>
              </w:rPr>
              <w:t xml:space="preserve">/dashboard</w:t>
            </w:r>
          </w:p>
        </w:tc>
        <w:tc>
          <w:tcPr/>
          <w:p>
            <w:pPr>
              <w:pStyle w:val="Compact"/>
            </w:pPr>
            <w:r>
              <w:t xml:space="preserve">end-to-end success path</w:t>
            </w:r>
          </w:p>
        </w:tc>
      </w:tr>
      <w:tr>
        <w:tc>
          <w:tcPr/>
          <w:p>
            <w:pPr>
              <w:pStyle w:val="Compact"/>
            </w:pPr>
            <w:r>
              <w:t xml:space="preserve">Dashboard renders KPI cards after login</w:t>
            </w:r>
          </w:p>
        </w:tc>
        <w:tc>
          <w:tcPr/>
          <w:p>
            <w:pPr>
              <w:pStyle w:val="Compact"/>
            </w:pPr>
            <w:r>
              <w:t xml:space="preserve">“Total Revenue”</w:t>
            </w:r>
            <w:r>
              <w:t xml:space="preserve">,</w:t>
            </w:r>
            <w:r>
              <w:t xml:space="preserve"> </w:t>
            </w:r>
            <w:r>
              <w:t xml:space="preserve">“Net Profit”</w:t>
            </w:r>
            <w:r>
              <w:t xml:space="preserve">,</w:t>
            </w:r>
            <w:r>
              <w:t xml:space="preserve"> </w:t>
            </w:r>
            <w:r>
              <w:t xml:space="preserve">“Receivables”</w:t>
            </w:r>
            <w:r>
              <w:t xml:space="preserve">,</w:t>
            </w:r>
            <w:r>
              <w:t xml:space="preserve"> </w:t>
            </w:r>
            <w:r>
              <w:t xml:space="preserve">“Payables”</w:t>
            </w:r>
            <w:r>
              <w:t xml:space="preserve">,</w:t>
            </w:r>
            <w:r>
              <w:t xml:space="preserve"> </w:t>
            </w:r>
            <w:r>
              <w:t xml:space="preserve">“Cash Balance”</w:t>
            </w:r>
            <w:r>
              <w:t xml:space="preserve">,</w:t>
            </w:r>
            <w:r>
              <w:t xml:space="preserve"> </w:t>
            </w:r>
            <w:r>
              <w:t xml:space="preserve">“Stock Value”</w:t>
            </w:r>
            <w:r>
              <w:t xml:space="preserve">,</w:t>
            </w:r>
            <w:r>
              <w:t xml:space="preserve"> </w:t>
            </w:r>
            <w:r>
              <w:t xml:space="preserve">“Pending Approvals”</w:t>
            </w:r>
            <w:r>
              <w:t xml:space="preserve"> </w:t>
            </w:r>
            <w:r>
              <w:t xml:space="preserve">all visible</w:t>
            </w:r>
          </w:p>
        </w:tc>
      </w:tr>
      <w:tr>
        <w:tc>
          <w:tcPr/>
          <w:p>
            <w:pPr>
              <w:pStyle w:val="Compact"/>
            </w:pPr>
            <w:r>
              <w:t xml:space="preserve">Invalid login keeps user on</w:t>
            </w:r>
            <w:r>
              <w:t xml:space="preserve"> </w:t>
            </w:r>
            <w:r>
              <w:rPr>
                <w:rStyle w:val="VerbatimChar"/>
              </w:rPr>
              <w:t xml:space="preserve">/login</w:t>
            </w:r>
          </w:p>
        </w:tc>
        <w:tc>
          <w:tcPr/>
          <w:p>
            <w:pPr>
              <w:pStyle w:val="Compact"/>
            </w:pPr>
            <w:r>
              <w:t xml:space="preserve">Bad credentials do not redirect to</w:t>
            </w:r>
            <w:r>
              <w:t xml:space="preserve"> </w:t>
            </w:r>
            <w:r>
              <w:rPr>
                <w:rStyle w:val="VerbatimChar"/>
              </w:rPr>
              <w:t xml:space="preserve">/dashboard</w:t>
            </w:r>
            <w:r>
              <w:t xml:space="preserve">.</w:t>
            </w:r>
            <w:r>
              <w:t xml:space="preserve"> </w:t>
            </w:r>
            <w:r>
              <w:rPr>
                <w:b/>
                <w:bCs/>
              </w:rPr>
              <w:t xml:space="preserve">(Surfaced finding F-AUTH-1 — see §5.)</w:t>
            </w:r>
          </w:p>
        </w:tc>
      </w:tr>
    </w:tbl>
    <w:bookmarkEnd w:id="12"/>
    <w:bookmarkStart w:id="13" w:name="X3e1f04feac2e3a82b689a2d5dffa231e18b66fe"/>
    <w:p>
      <w:pPr>
        <w:pStyle w:val="Heading2"/>
      </w:pPr>
      <w:r>
        <w:t xml:space="preserve">3.3</w:t>
      </w:r>
      <w:r>
        <w:t xml:space="preserve"> </w:t>
      </w:r>
      <w:r>
        <w:rPr>
          <w:rStyle w:val="VerbatimChar"/>
        </w:rPr>
        <w:t xml:space="preserve">03-navigation.spec.ts</w:t>
      </w:r>
      <w:r>
        <w:t xml:space="preserve"> </w:t>
      </w:r>
      <w:r>
        <w:t xml:space="preserve">— 6 tests, dashboard navigation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What it proves</w:t>
            </w:r>
          </w:p>
        </w:tc>
      </w:tr>
      <w:tr>
        <w:tc>
          <w:tcPr/>
          <w:p>
            <w:pPr>
              <w:pStyle w:val="Compact"/>
            </w:pPr>
            <w:r>
              <w:t xml:space="preserve">Sidebar shows the org name</w:t>
            </w:r>
          </w:p>
        </w:tc>
        <w:tc>
          <w:tcPr/>
          <w:p>
            <w:pPr>
              <w:pStyle w:val="Compact"/>
            </w:pPr>
            <w:r>
              <w:t xml:space="preserve">“Demo Corporation”</w:t>
            </w:r>
            <w:r>
              <w:t xml:space="preserve"> </w:t>
            </w:r>
            <w:r>
              <w:t xml:space="preserve">rendered in sidebar</w:t>
            </w:r>
          </w:p>
        </w:tc>
      </w:tr>
      <w:tr>
        <w:tc>
          <w:tcPr/>
          <w:p>
            <w:pPr>
              <w:pStyle w:val="Compact"/>
            </w:pPr>
            <w:r>
              <w:t xml:space="preserve">Can navigate to Sales → Invoices</w:t>
            </w:r>
          </w:p>
        </w:tc>
        <w:tc>
          <w:tcPr/>
          <w:p>
            <w:pPr>
              <w:pStyle w:val="Compact"/>
            </w:pPr>
            <w:r>
              <w:t xml:space="preserve">Direct URL reaches the page;</w:t>
            </w:r>
            <w:r>
              <w:t xml:space="preserve"> </w:t>
            </w:r>
            <w:r>
              <w:rPr>
                <w:rStyle w:val="VerbatimChar"/>
              </w:rPr>
              <w:t xml:space="preserve">&lt;h1&gt;Sales Invoices&lt;/h1&gt;</w:t>
            </w:r>
            <w:r>
              <w:t xml:space="preserve"> </w:t>
            </w:r>
            <w:r>
              <w:t xml:space="preserve">renders</w:t>
            </w:r>
          </w:p>
        </w:tc>
      </w:tr>
      <w:tr>
        <w:tc>
          <w:tcPr/>
          <w:p>
            <w:pPr>
              <w:pStyle w:val="Compact"/>
            </w:pPr>
            <w:r>
              <w:t xml:space="preserve">Can navigate to Reports → Trial Balance</w:t>
            </w:r>
          </w:p>
        </w:tc>
        <w:tc>
          <w:tcPr/>
          <w:p>
            <w:pPr>
              <w:pStyle w:val="Compact"/>
            </w:pPr>
            <w:r>
              <w:rPr>
                <w:rStyle w:val="VerbatimChar"/>
              </w:rPr>
              <w:t xml:space="preserve">/reports/trial-balance</w:t>
            </w:r>
            <w:r>
              <w:t xml:space="preserve"> </w:t>
            </w:r>
            <w:r>
              <w:t xml:space="preserve">reachable</w:t>
            </w:r>
          </w:p>
        </w:tc>
      </w:tr>
      <w:tr>
        <w:tc>
          <w:tcPr/>
          <w:p>
            <w:pPr>
              <w:pStyle w:val="Compact"/>
            </w:pPr>
            <w:r>
              <w:t xml:space="preserve">Can navigate to Approvals</w:t>
            </w:r>
          </w:p>
        </w:tc>
        <w:tc>
          <w:tcPr/>
          <w:p>
            <w:pPr>
              <w:pStyle w:val="Compact"/>
            </w:pPr>
            <w:r>
              <w:rPr>
                <w:rStyle w:val="VerbatimChar"/>
              </w:rPr>
              <w:t xml:space="preserve">/approvals</w:t>
            </w:r>
            <w:r>
              <w:t xml:space="preserve"> </w:t>
            </w:r>
            <w:r>
              <w:t xml:space="preserve">reachable</w:t>
            </w:r>
          </w:p>
        </w:tc>
      </w:tr>
      <w:tr>
        <w:tc>
          <w:tcPr/>
          <w:p>
            <w:pPr>
              <w:pStyle w:val="Compact"/>
            </w:pPr>
            <w:r>
              <w:t xml:space="preserve">Can navigate to Parties</w:t>
            </w:r>
          </w:p>
        </w:tc>
        <w:tc>
          <w:tcPr/>
          <w:p>
            <w:pPr>
              <w:pStyle w:val="Compact"/>
            </w:pPr>
            <w:r>
              <w:rPr>
                <w:rStyle w:val="VerbatimChar"/>
              </w:rPr>
              <w:t xml:space="preserve">/parties</w:t>
            </w:r>
            <w:r>
              <w:t xml:space="preserve"> </w:t>
            </w:r>
            <w:r>
              <w:t xml:space="preserve">reachable</w:t>
            </w:r>
          </w:p>
        </w:tc>
      </w:tr>
      <w:tr>
        <w:tc>
          <w:tcPr/>
          <w:p>
            <w:pPr>
              <w:pStyle w:val="Compact"/>
            </w:pPr>
            <w:r>
              <w:t xml:space="preserve">Can navigate to Chart of Accounts</w:t>
            </w:r>
          </w:p>
        </w:tc>
        <w:tc>
          <w:tcPr/>
          <w:p>
            <w:pPr>
              <w:pStyle w:val="Compact"/>
            </w:pPr>
            <w:r>
              <w:rPr>
                <w:rStyle w:val="VerbatimChar"/>
              </w:rPr>
              <w:t xml:space="preserve">/accounting/chart-of-accounts</w:t>
            </w:r>
            <w:r>
              <w:t xml:space="preserve"> </w:t>
            </w:r>
            <w:r>
              <w:t xml:space="preserve">reachable</w:t>
            </w:r>
          </w:p>
        </w:tc>
      </w:tr>
      <w:tr>
        <w:tc>
          <w:tcPr/>
          <w:p>
            <w:pPr>
              <w:pStyle w:val="Compact"/>
            </w:pPr>
            <w:r>
              <w:t xml:space="preserve">Notification bell opens dropdown (</w:t>
            </w:r>
            <w:r>
              <w:rPr>
                <w:b/>
                <w:bCs/>
              </w:rPr>
              <w:t xml:space="preserve">SKIPPED</w:t>
            </w:r>
            <w:r>
              <w:t xml:space="preserve">)</w:t>
            </w:r>
          </w:p>
        </w:tc>
        <w:tc>
          <w:tcPr/>
          <w:p>
            <w:pPr>
              <w:pStyle w:val="Compact"/>
            </w:pPr>
            <w:r>
              <w:t xml:space="preserve">See finding F-A11Y-1</w:t>
            </w:r>
          </w:p>
        </w:tc>
      </w:tr>
      <w:tr>
        <w:tc>
          <w:tcPr/>
          <w:p>
            <w:pPr>
              <w:pStyle w:val="Compact"/>
            </w:pPr>
            <w:r>
              <w:t xml:space="preserve">User menu has Sign out</w:t>
            </w:r>
          </w:p>
        </w:tc>
        <w:tc>
          <w:tcPr/>
          <w:p>
            <w:pPr>
              <w:pStyle w:val="Compact"/>
            </w:pPr>
            <w:r>
              <w:t xml:space="preserve">bottom-left user card opens a dropdown with</w:t>
            </w:r>
            <w:r>
              <w:t xml:space="preserve"> </w:t>
            </w:r>
            <w:r>
              <w:rPr>
                <w:rStyle w:val="VerbatimChar"/>
              </w:rPr>
              <w:t xml:space="preserve">Sign out</w:t>
            </w:r>
          </w:p>
        </w:tc>
      </w:tr>
    </w:tbl>
    <w:bookmarkEnd w:id="13"/>
    <w:bookmarkStart w:id="14" w:name="X23f40abc11deb5b194e94c551b37c59cbd7892e"/>
    <w:p>
      <w:pPr>
        <w:pStyle w:val="Heading2"/>
      </w:pPr>
      <w:r>
        <w:t xml:space="preserve">3.4</w:t>
      </w:r>
      <w:r>
        <w:t xml:space="preserve"> </w:t>
      </w:r>
      <w:r>
        <w:rPr>
          <w:rStyle w:val="VerbatimChar"/>
        </w:rPr>
        <w:t xml:space="preserve">04-api-authenticated.spec.ts</w:t>
      </w:r>
      <w:r>
        <w:t xml:space="preserve"> </w:t>
      </w:r>
      <w:r>
        <w:t xml:space="preserve">— 28 tests, authenticated API smoke</w:t>
      </w:r>
    </w:p>
    <w:p>
      <w:pPr>
        <w:pStyle w:val="FirstParagraph"/>
      </w:pPr>
      <w:r>
        <w:t xml:space="preserve">A single login is performed in</w:t>
      </w:r>
      <w:r>
        <w:t xml:space="preserve"> </w:t>
      </w:r>
      <w:r>
        <w:rPr>
          <w:rStyle w:val="VerbatimChar"/>
        </w:rPr>
        <w:t xml:space="preserve">beforeAll</w:t>
      </w:r>
      <w:r>
        <w:t xml:space="preserve">; the resulting cookie is forwarded to every API request. Each of the following GETs is asserted to return 200:</w:t>
      </w:r>
    </w:p>
    <w:p>
      <w:pPr>
        <w:pStyle w:val="SourceCode"/>
      </w:pPr>
      <w:r>
        <w:rPr>
          <w:rStyle w:val="VerbatimChar"/>
        </w:rPr>
        <w:t xml:space="preserve">/api/organizations/demo-org/dashboard</w:t>
      </w:r>
      <w:r>
        <w:br/>
      </w:r>
      <w:r>
        <w:rPr>
          <w:rStyle w:val="VerbatimChar"/>
        </w:rPr>
        <w:t xml:space="preserve">/api/organizations/demo-org/ledger-groups</w:t>
      </w:r>
      <w:r>
        <w:br/>
      </w:r>
      <w:r>
        <w:rPr>
          <w:rStyle w:val="VerbatimChar"/>
        </w:rPr>
        <w:t xml:space="preserve">/api/organizations/demo-org/ledgers</w:t>
      </w:r>
      <w:r>
        <w:br/>
      </w:r>
      <w:r>
        <w:rPr>
          <w:rStyle w:val="VerbatimChar"/>
        </w:rPr>
        <w:t xml:space="preserve">/api/organizations/demo-org/parties</w:t>
      </w:r>
      <w:r>
        <w:br/>
      </w:r>
      <w:r>
        <w:rPr>
          <w:rStyle w:val="VerbatimChar"/>
        </w:rPr>
        <w:t xml:space="preserve">/api/organizations/demo-org/invoices</w:t>
      </w:r>
      <w:r>
        <w:br/>
      </w:r>
      <w:r>
        <w:rPr>
          <w:rStyle w:val="VerbatimChar"/>
        </w:rPr>
        <w:t xml:space="preserve">/api/organizations/demo-org/vouchers</w:t>
      </w:r>
      <w:r>
        <w:br/>
      </w:r>
      <w:r>
        <w:rPr>
          <w:rStyle w:val="VerbatimChar"/>
        </w:rPr>
        <w:t xml:space="preserve">/api/organizations/demo-org/budgets</w:t>
      </w:r>
      <w:r>
        <w:br/>
      </w:r>
      <w:r>
        <w:rPr>
          <w:rStyle w:val="VerbatimChar"/>
        </w:rPr>
        <w:t xml:space="preserve">/api/organizations/demo-org/fiscal-years</w:t>
      </w:r>
      <w:r>
        <w:br/>
      </w:r>
      <w:r>
        <w:rPr>
          <w:rStyle w:val="VerbatimChar"/>
        </w:rPr>
        <w:t xml:space="preserve">/api/organizations/demo-org/branches</w:t>
      </w:r>
      <w:r>
        <w:br/>
      </w:r>
      <w:r>
        <w:rPr>
          <w:rStyle w:val="VerbatimChar"/>
        </w:rPr>
        <w:t xml:space="preserve">/api/organizations/demo-org/notifications</w:t>
      </w:r>
      <w:r>
        <w:br/>
      </w:r>
      <w:r>
        <w:rPr>
          <w:rStyle w:val="VerbatimChar"/>
        </w:rPr>
        <w:t xml:space="preserve">/api/organizations/demo-org/items</w:t>
      </w:r>
      <w:r>
        <w:br/>
      </w:r>
      <w:r>
        <w:rPr>
          <w:rStyle w:val="VerbatimChar"/>
        </w:rPr>
        <w:t xml:space="preserve">/api/organizations/demo-org/item-categories</w:t>
      </w:r>
      <w:r>
        <w:br/>
      </w:r>
      <w:r>
        <w:rPr>
          <w:rStyle w:val="VerbatimChar"/>
        </w:rPr>
        <w:t xml:space="preserve">/api/organizations/demo-org/warehouses</w:t>
      </w:r>
      <w:r>
        <w:br/>
      </w:r>
      <w:r>
        <w:rPr>
          <w:rStyle w:val="VerbatimChar"/>
        </w:rPr>
        <w:t xml:space="preserve">/api/organizations/demo-org/bank-accounts</w:t>
      </w:r>
      <w:r>
        <w:br/>
      </w:r>
      <w:r>
        <w:rPr>
          <w:rStyle w:val="VerbatimChar"/>
        </w:rPr>
        <w:t xml:space="preserve">/api/organizations/demo-org/payments</w:t>
      </w:r>
      <w:r>
        <w:br/>
      </w:r>
      <w:r>
        <w:rPr>
          <w:rStyle w:val="VerbatimChar"/>
        </w:rPr>
        <w:t xml:space="preserve">/api/organizations/demo-org/receipts</w:t>
      </w:r>
      <w:r>
        <w:br/>
      </w:r>
      <w:r>
        <w:rPr>
          <w:rStyle w:val="VerbatimChar"/>
        </w:rPr>
        <w:t xml:space="preserve">/api/organizations/demo-org/bills</w:t>
      </w:r>
      <w:r>
        <w:br/>
      </w:r>
      <w:r>
        <w:rPr>
          <w:rStyle w:val="VerbatimChar"/>
        </w:rPr>
        <w:t xml:space="preserve">/api/organizations/demo-org/voucher-types</w:t>
      </w:r>
      <w:r>
        <w:br/>
      </w:r>
      <w:r>
        <w:rPr>
          <w:rStyle w:val="VerbatimChar"/>
        </w:rPr>
        <w:t xml:space="preserve">/api/organizations/demo-org/tax-config</w:t>
      </w:r>
      <w:r>
        <w:br/>
      </w:r>
      <w:r>
        <w:rPr>
          <w:rStyle w:val="VerbatimChar"/>
        </w:rPr>
        <w:t xml:space="preserve">/api/organizations/demo-org/approvals</w:t>
      </w:r>
      <w:r>
        <w:br/>
      </w:r>
      <w:r>
        <w:rPr>
          <w:rStyle w:val="VerbatimChar"/>
        </w:rPr>
        <w:t xml:space="preserve">/api/organizations/demo-org/audit-logs</w:t>
      </w:r>
      <w:r>
        <w:br/>
      </w:r>
      <w:r>
        <w:rPr>
          <w:rStyle w:val="VerbatimChar"/>
        </w:rPr>
        <w:t xml:space="preserve">/api/organizations/demo-org/tds-deductions</w:t>
      </w:r>
      <w:r>
        <w:br/>
      </w:r>
      <w:r>
        <w:rPr>
          <w:rStyle w:val="VerbatimChar"/>
        </w:rPr>
        <w:t xml:space="preserve">/api/organizations/demo-org/tcs-collections</w:t>
      </w:r>
      <w:r>
        <w:br/>
      </w:r>
      <w:r>
        <w:rPr>
          <w:rStyle w:val="VerbatimChar"/>
        </w:rPr>
        <w:t xml:space="preserve">/api/organizations/demo-org/employees</w:t>
      </w:r>
      <w:r>
        <w:br/>
      </w:r>
      <w:r>
        <w:rPr>
          <w:rStyle w:val="VerbatimChar"/>
        </w:rPr>
        <w:t xml:space="preserve">/api/organizations/demo-org/attendance</w:t>
      </w:r>
      <w:r>
        <w:br/>
      </w:r>
      <w:r>
        <w:rPr>
          <w:rStyle w:val="VerbatimChar"/>
        </w:rPr>
        <w:t xml:space="preserve">/api/organizations/demo-org/leaves</w:t>
      </w:r>
      <w:r>
        <w:br/>
      </w:r>
      <w:r>
        <w:rPr>
          <w:rStyle w:val="VerbatimChar"/>
        </w:rPr>
        <w:t xml:space="preserve">/api/organizations/demo-org/expense-claims</w:t>
      </w:r>
    </w:p>
    <w:p>
      <w:pPr>
        <w:pStyle w:val="FirstParagraph"/>
      </w:pPr>
      <w:r>
        <w:t xml:space="preserve">Plus a sanity check that the session payload carries</w:t>
      </w:r>
      <w:r>
        <w:t xml:space="preserve"> </w:t>
      </w:r>
      <w:r>
        <w:rPr>
          <w:rStyle w:val="VerbatimChar"/>
        </w:rPr>
        <w:t xml:space="preserve">organizationId</w:t>
      </w:r>
      <w:r>
        <w:t xml:space="preserve">.</w:t>
      </w:r>
    </w:p>
    <w:bookmarkEnd w:id="14"/>
    <w:bookmarkEnd w:id="15"/>
    <w:bookmarkStart w:id="16" w:name="coverage-gap-analysis"/>
    <w:p>
      <w:pPr>
        <w:pStyle w:val="Heading1"/>
      </w:pPr>
      <w:r>
        <w:t xml:space="preserve">4. Coverage gap analysis</w:t>
      </w:r>
    </w:p>
    <w:p>
      <w:pPr>
        <w:pStyle w:val="FirstParagraph"/>
      </w:pPr>
      <w:r>
        <w:t xml:space="preserve">Smoke is in good shape. The next investments (in priority order) would be:</w:t>
      </w:r>
    </w:p>
    <w:p>
      <w:pPr>
        <w:pStyle w:val="Compact"/>
        <w:numPr>
          <w:ilvl w:val="0"/>
          <w:numId w:val="1001"/>
        </w:numPr>
      </w:pPr>
      <w:r>
        <w:rPr>
          <w:b/>
          <w:bCs/>
        </w:rPr>
        <w:t xml:space="preserve">Mutation flows</w:t>
      </w:r>
      <w:r>
        <w:t xml:space="preserve"> </w:t>
      </w:r>
      <w:r>
        <w:t xml:space="preserve">— create-invoice, record-receipt, post-month payroll, run-reconciliation. Currently we only verify reads succeed; we don’t write to prod from the suite (correct default, but means we don’t catch regressions in the write path).</w:t>
      </w:r>
    </w:p>
    <w:p>
      <w:pPr>
        <w:pStyle w:val="Compact"/>
        <w:numPr>
          <w:ilvl w:val="0"/>
          <w:numId w:val="1001"/>
        </w:numPr>
      </w:pPr>
      <w:r>
        <w:rPr>
          <w:b/>
          <w:bCs/>
        </w:rPr>
        <w:t xml:space="preserve">Approval workflow</w:t>
      </w:r>
      <w:r>
        <w:t xml:space="preserve"> </w:t>
      </w:r>
      <w:r>
        <w:t xml:space="preserve">— submit a voucher, route through approval, auto-promote on full approval. Multi-user setup needed.</w:t>
      </w:r>
    </w:p>
    <w:p>
      <w:pPr>
        <w:pStyle w:val="Compact"/>
        <w:numPr>
          <w:ilvl w:val="0"/>
          <w:numId w:val="1001"/>
        </w:numPr>
      </w:pPr>
      <w:r>
        <w:rPr>
          <w:b/>
          <w:bCs/>
        </w:rPr>
        <w:t xml:space="preserve">GST returns compute</w:t>
      </w:r>
      <w:r>
        <w:t xml:space="preserve"> </w:t>
      </w:r>
      <w:r>
        <w:t xml:space="preserve">— fetch GSTR-1, GSTR-3B, GSTR-9 for a known period and assert the section totals match a fixture.</w:t>
      </w:r>
    </w:p>
    <w:p>
      <w:pPr>
        <w:pStyle w:val="Compact"/>
        <w:numPr>
          <w:ilvl w:val="0"/>
          <w:numId w:val="1001"/>
        </w:numPr>
      </w:pPr>
      <w:r>
        <w:rPr>
          <w:b/>
          <w:bCs/>
        </w:rPr>
        <w:t xml:space="preserve">Tally migration</w:t>
      </w:r>
      <w:r>
        <w:t xml:space="preserve"> </w:t>
      </w:r>
      <w:r>
        <w:t xml:space="preserve">— upload a fixed XML and assert the import counts.</w:t>
      </w:r>
    </w:p>
    <w:p>
      <w:pPr>
        <w:pStyle w:val="Compact"/>
        <w:numPr>
          <w:ilvl w:val="0"/>
          <w:numId w:val="1001"/>
        </w:numPr>
      </w:pPr>
      <w:r>
        <w:rPr>
          <w:b/>
          <w:bCs/>
        </w:rPr>
        <w:t xml:space="preserve">Bank reconciliation</w:t>
      </w:r>
      <w:r>
        <w:t xml:space="preserve"> </w:t>
      </w:r>
      <w:r>
        <w:t xml:space="preserve">— upload a fixed CSV and assert the matcher classifications.</w:t>
      </w:r>
    </w:p>
    <w:p>
      <w:pPr>
        <w:pStyle w:val="Compact"/>
        <w:numPr>
          <w:ilvl w:val="0"/>
          <w:numId w:val="1001"/>
        </w:numPr>
      </w:pPr>
      <w:r>
        <w:rPr>
          <w:b/>
          <w:bCs/>
        </w:rPr>
        <w:t xml:space="preserve">Visual regression</w:t>
      </w:r>
      <w:r>
        <w:t xml:space="preserve"> </w:t>
      </w:r>
      <w:r>
        <w:t xml:space="preserve">— Playwright’s</w:t>
      </w:r>
      <w:r>
        <w:t xml:space="preserve"> </w:t>
      </w:r>
      <w:r>
        <w:rPr>
          <w:rStyle w:val="VerbatimChar"/>
        </w:rPr>
        <w:t xml:space="preserve">toHaveScreenshot()</w:t>
      </w:r>
      <w:r>
        <w:t xml:space="preserve"> </w:t>
      </w:r>
      <w:r>
        <w:t xml:space="preserve">against pinned snapshots of the dashboard, invoice detail, and printable Form 16A page.</w:t>
      </w:r>
    </w:p>
    <w:p>
      <w:pPr>
        <w:pStyle w:val="Compact"/>
        <w:numPr>
          <w:ilvl w:val="0"/>
          <w:numId w:val="1001"/>
        </w:numPr>
      </w:pPr>
      <w:r>
        <w:rPr>
          <w:b/>
          <w:bCs/>
        </w:rPr>
        <w:t xml:space="preserve">Accessibility scan</w:t>
      </w:r>
      <w:r>
        <w:t xml:space="preserve"> </w:t>
      </w:r>
      <w:r>
        <w:t xml:space="preserve">— wire</w:t>
      </w:r>
      <w:r>
        <w:t xml:space="preserve"> </w:t>
      </w:r>
      <w:r>
        <w:rPr>
          <w:rStyle w:val="VerbatimChar"/>
        </w:rPr>
        <w:t xml:space="preserve">@axe-core/playwright</w:t>
      </w:r>
      <w:r>
        <w:t xml:space="preserve"> </w:t>
      </w:r>
      <w:r>
        <w:t xml:space="preserve">into the suite to surface a11y issues like F-A11Y-1 automatically.</w:t>
      </w:r>
    </w:p>
    <w:p>
      <w:pPr>
        <w:pStyle w:val="Compact"/>
        <w:numPr>
          <w:ilvl w:val="0"/>
          <w:numId w:val="1001"/>
        </w:numPr>
      </w:pPr>
      <w:r>
        <w:rPr>
          <w:b/>
          <w:bCs/>
        </w:rPr>
        <w:t xml:space="preserve">Cross-browser</w:t>
      </w:r>
      <w:r>
        <w:t xml:space="preserve"> </w:t>
      </w:r>
      <w:r>
        <w:t xml:space="preserve">— currently chromium-only. Add</w:t>
      </w:r>
      <w:r>
        <w:t xml:space="preserve"> </w:t>
      </w:r>
      <w:r>
        <w:rPr>
          <w:rStyle w:val="VerbatimChar"/>
        </w:rPr>
        <w:t xml:space="preserve">firefox</w:t>
      </w:r>
      <w:r>
        <w:t xml:space="preserve"> </w:t>
      </w:r>
      <w:r>
        <w:t xml:space="preserve">and</w:t>
      </w:r>
      <w:r>
        <w:t xml:space="preserve"> </w:t>
      </w:r>
      <w:r>
        <w:rPr>
          <w:rStyle w:val="VerbatimChar"/>
        </w:rPr>
        <w:t xml:space="preserve">webkit</w:t>
      </w:r>
      <w:r>
        <w:t xml:space="preserve"> </w:t>
      </w:r>
      <w:r>
        <w:t xml:space="preserve">projects in</w:t>
      </w:r>
      <w:r>
        <w:t xml:space="preserve"> </w:t>
      </w:r>
      <w:r>
        <w:rPr>
          <w:rStyle w:val="VerbatimChar"/>
        </w:rPr>
        <w:t xml:space="preserve">playwright.config.ts</w:t>
      </w:r>
      <w:r>
        <w:t xml:space="preserve"> </w:t>
      </w:r>
      <w:r>
        <w:t xml:space="preserve">once the green build is locked.</w:t>
      </w:r>
    </w:p>
    <w:p>
      <w:pPr>
        <w:pStyle w:val="FirstParagraph"/>
      </w:pPr>
      <w:r>
        <w:t xml:space="preserve">A second fixture (</w:t>
      </w:r>
      <w:r>
        <w:rPr>
          <w:rStyle w:val="VerbatimChar"/>
        </w:rPr>
        <w:t xml:space="preserve">fixtures/reset-org.ts</w:t>
      </w:r>
      <w:r>
        <w:t xml:space="preserve">) that points at a disposable test org would unlock the mutation flows without touching demo data.</w:t>
      </w:r>
    </w:p>
    <w:bookmarkEnd w:id="16"/>
    <w:bookmarkStart w:id="20" w:name="findings"/>
    <w:p>
      <w:pPr>
        <w:pStyle w:val="Heading1"/>
      </w:pPr>
      <w:r>
        <w:t xml:space="preserve">5. Findings</w:t>
      </w:r>
    </w:p>
    <w:bookmarkStart w:id="17" w:name="Xe4f4af562cc0c051591d1d29e65ceee41eb008d"/>
    <w:p>
      <w:pPr>
        <w:pStyle w:val="Heading2"/>
      </w:pPr>
      <w:r>
        <w:t xml:space="preserve">F-AUTH-1 — Login error renders raw NextAuth code, not human-readable message</w:t>
      </w:r>
    </w:p>
    <w:p>
      <w:pPr>
        <w:pStyle w:val="FirstParagraph"/>
      </w:pPr>
      <w:r>
        <w:rPr>
          <w:b/>
          <w:bCs/>
        </w:rPr>
        <w:t xml:space="preserve">Severity:</w:t>
      </w:r>
      <w:r>
        <w:t xml:space="preserve"> </w:t>
      </w:r>
      <w:r>
        <w:t xml:space="preserve">Low (UX).</w:t>
      </w:r>
    </w:p>
    <w:p>
      <w:pPr>
        <w:pStyle w:val="BodyText"/>
      </w:pPr>
      <w:r>
        <w:rPr>
          <w:b/>
          <w:bCs/>
        </w:rPr>
        <w:t xml:space="preserve">File:</w:t>
      </w:r>
      <w:r>
        <w:t xml:space="preserve"> </w:t>
      </w:r>
      <w:r>
        <w:rPr>
          <w:rStyle w:val="VerbatimChar"/>
        </w:rPr>
        <w:t xml:space="preserve">src/app/(auth)/login/page.tsx</w:t>
      </w:r>
      <w:r>
        <w:t xml:space="preserve"> </w:t>
      </w:r>
      <w:r>
        <w:t xml:space="preserve">lines 41–44.</w:t>
      </w:r>
    </w:p>
    <w:p>
      <w:pPr>
        <w:pStyle w:val="BodyText"/>
      </w:pPr>
      <w:r>
        <w:rPr>
          <w:b/>
          <w:bCs/>
        </w:rPr>
        <w:t xml:space="preserve">What:</w:t>
      </w:r>
      <w:r>
        <w:t xml:space="preserve"> </w:t>
      </w:r>
      <w:r>
        <w:t xml:space="preserve">When</w:t>
      </w:r>
      <w:r>
        <w:t xml:space="preserve"> </w:t>
      </w:r>
      <w:r>
        <w:rPr>
          <w:rStyle w:val="VerbatimChar"/>
        </w:rPr>
        <w:t xml:space="preserve">signIn("credentials", { redirect: false })</w:t>
      </w:r>
      <w:r>
        <w:t xml:space="preserve"> </w:t>
      </w:r>
      <w:r>
        <w:t xml:space="preserve">returns</w:t>
      </w:r>
      <w:r>
        <w:t xml:space="preserve"> </w:t>
      </w:r>
      <w:r>
        <w:rPr>
          <w:rStyle w:val="VerbatimChar"/>
        </w:rPr>
        <w:t xml:space="preserve">result.error === "CredentialsSignin"</w:t>
      </w:r>
      <w:r>
        <w:t xml:space="preserve">, the page calls</w:t>
      </w:r>
      <w:r>
        <w:t xml:space="preserve"> </w:t>
      </w:r>
      <w:r>
        <w:rPr>
          <w:rStyle w:val="VerbatimChar"/>
        </w:rPr>
        <w:t xml:space="preserve">setFormError(result.error)</w:t>
      </w:r>
      <w:r>
        <w:t xml:space="preserve"> </w:t>
      </w:r>
      <w:r>
        <w:t xml:space="preserve">directly, which renders the literal string</w:t>
      </w:r>
      <w:r>
        <w:t xml:space="preserve"> </w:t>
      </w:r>
      <w:r>
        <w:t xml:space="preserve">“CredentialsSignin”</w:t>
      </w:r>
      <w:r>
        <w:t xml:space="preserve"> </w:t>
      </w:r>
      <w:r>
        <w:t xml:space="preserve">to the user. The friendly text mapping (Invalid email or password) is only applied when the error arrives via the URL query param (</w:t>
      </w:r>
      <w:r>
        <w:rPr>
          <w:rStyle w:val="VerbatimChar"/>
        </w:rPr>
        <w:t xml:space="preserve">searchParams.get("error")</w:t>
      </w:r>
      <w:r>
        <w:t xml:space="preserve">).</w:t>
      </w:r>
    </w:p>
    <w:p>
      <w:pPr>
        <w:pStyle w:val="BodyText"/>
      </w:pPr>
      <w:r>
        <w:rPr>
          <w:b/>
          <w:bCs/>
        </w:rPr>
        <w:t xml:space="preserve">Repro:</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https://accubook.tensparrows.com/login   </w:t>
      </w:r>
      <w:r>
        <w:rPr>
          <w:rStyle w:val="CommentTok"/>
        </w:rPr>
        <w:t xml:space="preserve"># see the static text</w:t>
      </w:r>
      <w:r>
        <w:br/>
      </w:r>
      <w:r>
        <w:rPr>
          <w:rStyle w:val="CommentTok"/>
        </w:rPr>
        <w:t xml:space="preserve"># Then submit a bad password in a real browser; observe the red Alert.</w:t>
      </w:r>
    </w:p>
    <w:p>
      <w:pPr>
        <w:pStyle w:val="FirstParagraph"/>
      </w:pPr>
      <w:r>
        <w:rPr>
          <w:b/>
          <w:bCs/>
        </w:rPr>
        <w:t xml:space="preserve">Suggested fix:</w:t>
      </w:r>
    </w:p>
    <w:p>
      <w:pPr>
        <w:pStyle w:val="SourceCode"/>
      </w:pPr>
      <w:r>
        <w:rPr>
          <w:rStyle w:val="ControlFlowTok"/>
        </w:rPr>
        <w:t xml:space="preserve">if</w:t>
      </w:r>
      <w:r>
        <w:rPr>
          <w:rStyle w:val="NormalTok"/>
        </w:rPr>
        <w:t xml:space="preserve"> (result</w:t>
      </w:r>
      <w:r>
        <w:rPr>
          <w:rStyle w:val="OperatorTok"/>
        </w:rPr>
        <w:t xml:space="preserve">?.</w:t>
      </w:r>
      <w:r>
        <w:rPr>
          <w:rStyle w:val="AttributeTok"/>
        </w:rPr>
        <w:t xml:space="preserve">error</w:t>
      </w:r>
      <w:r>
        <w:rPr>
          <w:rStyle w:val="NormalTok"/>
        </w:rPr>
        <w:t xml:space="preserve">) {</w:t>
      </w:r>
      <w:r>
        <w:br/>
      </w:r>
      <w:r>
        <w:rPr>
          <w:rStyle w:val="NormalTok"/>
        </w:rPr>
        <w:t xml:space="preserve">  </w:t>
      </w:r>
      <w:r>
        <w:rPr>
          <w:rStyle w:val="FunctionTok"/>
        </w:rPr>
        <w:t xml:space="preserve">setFormError</w:t>
      </w:r>
      <w:r>
        <w:rPr>
          <w:rStyle w:val="NormalTok"/>
        </w:rPr>
        <w:t xml:space="preserve">(</w:t>
      </w:r>
      <w:r>
        <w:br/>
      </w:r>
      <w:r>
        <w:rPr>
          <w:rStyle w:val="NormalTok"/>
        </w:rPr>
        <w:t xml:space="preserve">    result</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StringTok"/>
        </w:rPr>
        <w:t xml:space="preserve">"CredentialsSignin"</w:t>
      </w:r>
      <w:r>
        <w:br/>
      </w:r>
      <w:r>
        <w:rPr>
          <w:rStyle w:val="NormalTok"/>
        </w:rPr>
        <w:t xml:space="preserve">      </w:t>
      </w:r>
      <w:r>
        <w:rPr>
          <w:rStyle w:val="OperatorTok"/>
        </w:rPr>
        <w:t xml:space="preserve">?</w:t>
      </w:r>
      <w:r>
        <w:rPr>
          <w:rStyle w:val="NormalTok"/>
        </w:rPr>
        <w:t xml:space="preserve"> </w:t>
      </w:r>
      <w:r>
        <w:rPr>
          <w:rStyle w:val="StringTok"/>
        </w:rPr>
        <w:t xml:space="preserve">"Invalid email or password"</w:t>
      </w:r>
      <w:r>
        <w:br/>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error</w:t>
      </w:r>
      <w:r>
        <w:br/>
      </w:r>
      <w:r>
        <w:rPr>
          <w:rStyle w:val="NormalTok"/>
        </w:rPr>
        <w:t xml:space="preserve">  )</w:t>
      </w:r>
      <w:r>
        <w:rPr>
          <w:rStyle w:val="OperatorTok"/>
        </w:rPr>
        <w:t xml:space="preserve">;</w:t>
      </w:r>
      <w:r>
        <w:br/>
      </w:r>
      <w:r>
        <w:rPr>
          <w:rStyle w:val="NormalTok"/>
        </w:rPr>
        <w:t xml:space="preserve">  </w:t>
      </w:r>
      <w:r>
        <w:rPr>
          <w:rStyle w:val="FunctionTok"/>
        </w:rPr>
        <w:t xml:space="preserve">setIsLoading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w:t>
      </w:r>
    </w:p>
    <w:bookmarkEnd w:id="17"/>
    <w:bookmarkStart w:id="18" w:name="X714d1db54e3e9eecd5f00f9e24f8f49f10b502a"/>
    <w:p>
      <w:pPr>
        <w:pStyle w:val="Heading2"/>
      </w:pPr>
      <w:r>
        <w:t xml:space="preserve">F-A11Y-1 — Icon-only header buttons missing</w:t>
      </w:r>
      <w:r>
        <w:t xml:space="preserve"> </w:t>
      </w:r>
      <w:r>
        <w:rPr>
          <w:rStyle w:val="VerbatimChar"/>
        </w:rPr>
        <w:t xml:space="preserve">aria-label</w:t>
      </w:r>
    </w:p>
    <w:p>
      <w:pPr>
        <w:pStyle w:val="FirstParagraph"/>
      </w:pPr>
      <w:r>
        <w:rPr>
          <w:b/>
          <w:bCs/>
        </w:rPr>
        <w:t xml:space="preserve">Severity:</w:t>
      </w:r>
      <w:r>
        <w:t xml:space="preserve"> </w:t>
      </w:r>
      <w:r>
        <w:t xml:space="preserve">Medium (accessibility).</w:t>
      </w:r>
    </w:p>
    <w:p>
      <w:pPr>
        <w:pStyle w:val="BodyText"/>
      </w:pPr>
      <w:r>
        <w:rPr>
          <w:b/>
          <w:bCs/>
        </w:rPr>
        <w:t xml:space="preserve">File:</w:t>
      </w:r>
      <w:r>
        <w:t xml:space="preserve"> </w:t>
      </w:r>
      <w:r>
        <w:rPr>
          <w:rStyle w:val="VerbatimChar"/>
        </w:rPr>
        <w:t xml:space="preserve">src/frontend/components/layout/header.tsx</w:t>
      </w:r>
      <w:r>
        <w:t xml:space="preserve"> </w:t>
      </w:r>
      <w:r>
        <w:t xml:space="preserve">(notification bell at the</w:t>
      </w:r>
      <w:r>
        <w:t xml:space="preserve"> </w:t>
      </w:r>
      <w:r>
        <w:rPr>
          <w:rStyle w:val="VerbatimChar"/>
        </w:rPr>
        <w:t xml:space="preserve">&lt;DropdownMenuTrigger asChild&gt;&lt;Button variant="ghost" size="icon"&gt;</w:t>
      </w:r>
      <w:r>
        <w:t xml:space="preserve"> </w:t>
      </w:r>
      <w:r>
        <w:t xml:space="preserve">block).</w:t>
      </w:r>
    </w:p>
    <w:p>
      <w:pPr>
        <w:pStyle w:val="BodyText"/>
      </w:pPr>
      <w:r>
        <w:rPr>
          <w:b/>
          <w:bCs/>
        </w:rPr>
        <w:t xml:space="preserve">What:</w:t>
      </w:r>
      <w:r>
        <w:t xml:space="preserve"> </w:t>
      </w:r>
      <w:r>
        <w:t xml:space="preserve">The Bell button is icon-only — its accessible name is empty. Screen readers announce it as just</w:t>
      </w:r>
      <w:r>
        <w:t xml:space="preserve"> </w:t>
      </w:r>
      <w:r>
        <w:t xml:space="preserve">“button”</w:t>
      </w:r>
      <w:r>
        <w:t xml:space="preserve">; Playwright</w:t>
      </w:r>
      <w:r>
        <w:t xml:space="preserve"> </w:t>
      </w:r>
      <w:r>
        <w:rPr>
          <w:rStyle w:val="VerbatimChar"/>
        </w:rPr>
        <w:t xml:space="preserve">getByRole("button", { name: ... })</w:t>
      </w:r>
      <w:r>
        <w:t xml:space="preserve"> </w:t>
      </w:r>
      <w:r>
        <w:t xml:space="preserve">cannot address it; keyboard-only users get no hint of what it does.</w:t>
      </w:r>
    </w:p>
    <w:p>
      <w:pPr>
        <w:pStyle w:val="BodyText"/>
      </w:pPr>
      <w:r>
        <w:rPr>
          <w:b/>
          <w:bCs/>
        </w:rPr>
        <w:t xml:space="preserve">Test impact:</w:t>
      </w:r>
      <w:r>
        <w:t xml:space="preserve"> </w:t>
      </w:r>
      <w:r>
        <w:t xml:space="preserve">the</w:t>
      </w:r>
      <w:r>
        <w:t xml:space="preserve"> </w:t>
      </w:r>
      <w:r>
        <w:t xml:space="preserve">“notification bell opens dropdown”</w:t>
      </w:r>
      <w:r>
        <w:t xml:space="preserve"> </w:t>
      </w:r>
      <w:r>
        <w:t xml:space="preserve">Playwright test is currently</w:t>
      </w:r>
      <w:r>
        <w:t xml:space="preserve"> </w:t>
      </w:r>
      <w:r>
        <w:rPr>
          <w:rStyle w:val="VerbatimChar"/>
        </w:rPr>
        <w:t xml:space="preserve">skip</w:t>
      </w:r>
      <w:r>
        <w:t xml:space="preserve">-ped pending this fix.</w:t>
      </w:r>
    </w:p>
    <w:p>
      <w:pPr>
        <w:pStyle w:val="BodyText"/>
      </w:pPr>
      <w:r>
        <w:rPr>
          <w:b/>
          <w:bCs/>
        </w:rPr>
        <w:t xml:space="preserve">Suggested fix:</w:t>
      </w:r>
    </w:p>
    <w:p>
      <w:pPr>
        <w:pStyle w:val="SourceCode"/>
      </w:pPr>
      <w:r>
        <w:rPr>
          <w:rStyle w:val="VerbatimChar"/>
        </w:rPr>
        <w:t xml:space="preserve">&lt;Button variant="ghost" size="icon" aria-label="Notifications" className="relative"&gt;</w:t>
      </w:r>
      <w:r>
        <w:br/>
      </w:r>
      <w:r>
        <w:rPr>
          <w:rStyle w:val="VerbatimChar"/>
        </w:rPr>
        <w:t xml:space="preserve">  &lt;Bell className="h-5 w-5" /&gt;</w:t>
      </w:r>
      <w:r>
        <w:br/>
      </w:r>
      <w:r>
        <w:rPr>
          <w:rStyle w:val="VerbatimChar"/>
        </w:rPr>
        <w:t xml:space="preserve">  ...</w:t>
      </w:r>
      <w:r>
        <w:br/>
      </w:r>
      <w:r>
        <w:rPr>
          <w:rStyle w:val="VerbatimChar"/>
        </w:rPr>
        <w:t xml:space="preserve">&lt;/Button&gt;</w:t>
      </w:r>
    </w:p>
    <w:p>
      <w:pPr>
        <w:pStyle w:val="FirstParagraph"/>
      </w:pPr>
      <w:r>
        <w:t xml:space="preserve">The branch switcher button next to it (</w:t>
      </w:r>
      <w:r>
        <w:rPr>
          <w:rStyle w:val="VerbatimChar"/>
        </w:rPr>
        <w:t xml:space="preserve">&lt;Button variant="outline" size="sm" ...&gt;</w:t>
      </w:r>
      <w:r>
        <w:t xml:space="preserve">) has visible text in</w:t>
      </w:r>
      <w:r>
        <w:t xml:space="preserve"> </w:t>
      </w:r>
      <w:r>
        <w:rPr>
          <w:rStyle w:val="VerbatimChar"/>
        </w:rPr>
        <w:t xml:space="preserve">&lt;span&gt;</w:t>
      </w:r>
      <w:r>
        <w:t xml:space="preserve"> </w:t>
      </w:r>
      <w:r>
        <w:t xml:space="preserve">so it’s already accessible. The Bell + the SidebarTrigger (the hamburger toggle) are the only two icon-only header buttons that need this treatment.</w:t>
      </w:r>
    </w:p>
    <w:bookmarkEnd w:id="18"/>
    <w:bookmarkStart w:id="19" w:name="X977d24aff4dcd8840c61cf7ebd06c70e76df32b"/>
    <w:p>
      <w:pPr>
        <w:pStyle w:val="Heading2"/>
      </w:pPr>
      <w:r>
        <w:t xml:space="preserve">F-NAV-1 — Sidebar Collapsibles do not respond to programmatic clicks under test</w:t>
      </w:r>
    </w:p>
    <w:p>
      <w:pPr>
        <w:pStyle w:val="FirstParagraph"/>
      </w:pPr>
      <w:r>
        <w:rPr>
          <w:b/>
          <w:bCs/>
        </w:rPr>
        <w:t xml:space="preserve">Severity:</w:t>
      </w:r>
      <w:r>
        <w:t xml:space="preserve"> </w:t>
      </w:r>
      <w:r>
        <w:t xml:space="preserve">Low (test-only).</w:t>
      </w:r>
    </w:p>
    <w:p>
      <w:pPr>
        <w:pStyle w:val="BodyText"/>
      </w:pPr>
      <w:r>
        <w:rPr>
          <w:b/>
          <w:bCs/>
        </w:rPr>
        <w:t xml:space="preserve">File:</w:t>
      </w:r>
      <w:r>
        <w:t xml:space="preserve"> </w:t>
      </w:r>
      <w:r>
        <w:rPr>
          <w:rStyle w:val="VerbatimChar"/>
        </w:rPr>
        <w:t xml:space="preserve">src/frontend/components/layout/app-sidebar.tsx</w:t>
      </w:r>
      <w:r>
        <w:t xml:space="preserve">.</w:t>
      </w:r>
    </w:p>
    <w:p>
      <w:pPr>
        <w:pStyle w:val="BodyText"/>
      </w:pPr>
      <w:r>
        <w:rPr>
          <w:b/>
          <w:bCs/>
        </w:rPr>
        <w:t xml:space="preserve">What:</w:t>
      </w:r>
      <w:r>
        <w:t xml:space="preserve"> </w:t>
      </w:r>
      <w:r>
        <w:t xml:space="preserve">Clicking a</w:t>
      </w:r>
      <w:r>
        <w:t xml:space="preserve"> </w:t>
      </w:r>
      <w:r>
        <w:rPr>
          <w:rStyle w:val="VerbatimChar"/>
        </w:rPr>
        <w:t xml:space="preserve">CollapsibleTrigger</w:t>
      </w:r>
      <w:r>
        <w:t xml:space="preserve"> </w:t>
      </w:r>
      <w:r>
        <w:t xml:space="preserve">in Playwright (e.g. </w:t>
      </w:r>
      <w:r>
        <w:rPr>
          <w:rStyle w:val="VerbatimChar"/>
        </w:rPr>
        <w:t xml:space="preserve">getByRole("button", { name: /^Sales$/ })</w:t>
      </w:r>
      <w:r>
        <w:t xml:space="preserve">) sometimes does not toggle the section open within the action timeout; this is a Radix-Collapsible interaction quirk under headless Chromium. We worked around it by navigating via direct URL in</w:t>
      </w:r>
      <w:r>
        <w:t xml:space="preserve"> </w:t>
      </w:r>
      <w:r>
        <w:rPr>
          <w:rStyle w:val="VerbatimChar"/>
        </w:rPr>
        <w:t xml:space="preserve">03-navigation.spec.ts</w:t>
      </w:r>
      <w:r>
        <w:t xml:space="preserve">. The user-facing behaviour in real browsers is unaffected.</w:t>
      </w:r>
    </w:p>
    <w:p>
      <w:pPr>
        <w:pStyle w:val="BodyText"/>
      </w:pPr>
      <w:r>
        <w:rPr>
          <w:b/>
          <w:bCs/>
        </w:rPr>
        <w:t xml:space="preserve">Suggested fix:</w:t>
      </w:r>
      <w:r>
        <w:t xml:space="preserve"> </w:t>
      </w:r>
      <w:r>
        <w:t xml:space="preserve">add</w:t>
      </w:r>
      <w:r>
        <w:t xml:space="preserve"> </w:t>
      </w:r>
      <w:r>
        <w:rPr>
          <w:rStyle w:val="VerbatimChar"/>
        </w:rPr>
        <w:t xml:space="preserve">data-testid="sidebar-toggle-{slug}"</w:t>
      </w:r>
      <w:r>
        <w:t xml:space="preserve"> </w:t>
      </w:r>
      <w:r>
        <w:t xml:space="preserve">to each</w:t>
      </w:r>
      <w:r>
        <w:t xml:space="preserve"> </w:t>
      </w:r>
      <w:r>
        <w:rPr>
          <w:rStyle w:val="VerbatimChar"/>
        </w:rPr>
        <w:t xml:space="preserve">SidebarMenuButton</w:t>
      </w:r>
      <w:r>
        <w:t xml:space="preserve"> </w:t>
      </w:r>
      <w:r>
        <w:t xml:space="preserve">rendered inside a</w:t>
      </w:r>
      <w:r>
        <w:t xml:space="preserve"> </w:t>
      </w:r>
      <w:r>
        <w:rPr>
          <w:rStyle w:val="VerbatimChar"/>
        </w:rPr>
        <w:t xml:space="preserve">Collapsible</w:t>
      </w:r>
      <w:r>
        <w:t xml:space="preserve">, then target by test id instead of role/name. This also makes the suite less fragile to copy changes.</w:t>
      </w:r>
    </w:p>
    <w:bookmarkEnd w:id="19"/>
    <w:bookmarkEnd w:id="20"/>
    <w:bookmarkStart w:id="21" w:name="generated-artifacts"/>
    <w:p>
      <w:pPr>
        <w:pStyle w:val="Heading1"/>
      </w:pPr>
      <w:r>
        <w:t xml:space="preserve">6. Generated artifacts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Path</w:t>
            </w:r>
          </w:p>
        </w:tc>
        <w:tc>
          <w:tcPr/>
          <w:p>
            <w:pPr>
              <w:pStyle w:val="Compact"/>
            </w:pPr>
            <w:r>
              <w:t xml:space="preserve">What</w:t>
            </w:r>
          </w:p>
        </w:tc>
      </w:tr>
      <w:tr>
        <w:tc>
          <w:tcPr/>
          <w:p>
            <w:pPr>
              <w:pStyle w:val="Compact"/>
            </w:pPr>
            <w:r>
              <w:rPr>
                <w:rStyle w:val="VerbatimChar"/>
              </w:rPr>
              <w:t xml:space="preserve">tests/playwright/report/index.html</w:t>
            </w:r>
          </w:p>
        </w:tc>
        <w:tc>
          <w:tcPr/>
          <w:p>
            <w:pPr>
              <w:pStyle w:val="Compact"/>
            </w:pPr>
            <w:r>
              <w:t xml:space="preserve">HTML report — open in a browser for the rich timeline + screenshots</w:t>
            </w:r>
          </w:p>
        </w:tc>
      </w:tr>
      <w:tr>
        <w:tc>
          <w:tcPr/>
          <w:p>
            <w:pPr>
              <w:pStyle w:val="Compact"/>
            </w:pPr>
            <w:r>
              <w:rPr>
                <w:rStyle w:val="VerbatimChar"/>
              </w:rPr>
              <w:t xml:space="preserve">tests/playwright/report/results.json</w:t>
            </w:r>
          </w:p>
        </w:tc>
        <w:tc>
          <w:tcPr/>
          <w:p>
            <w:pPr>
              <w:pStyle w:val="Compact"/>
            </w:pPr>
            <w:r>
              <w:t xml:space="preserve">Machine-readable run data (CI consumption)</w:t>
            </w:r>
          </w:p>
        </w:tc>
      </w:tr>
      <w:tr>
        <w:tc>
          <w:tcPr/>
          <w:p>
            <w:pPr>
              <w:pStyle w:val="Compact"/>
            </w:pPr>
            <w:r>
              <w:rPr>
                <w:rStyle w:val="VerbatimChar"/>
              </w:rPr>
              <w:t xml:space="preserve">test-results/**/screenshot.png</w:t>
            </w:r>
          </w:p>
        </w:tc>
        <w:tc>
          <w:tcPr/>
          <w:p>
            <w:pPr>
              <w:pStyle w:val="Compact"/>
            </w:pPr>
            <w:r>
              <w:t xml:space="preserve">Failure screenshots (none on this run)</w:t>
            </w:r>
          </w:p>
        </w:tc>
      </w:tr>
      <w:tr>
        <w:tc>
          <w:tcPr/>
          <w:p>
            <w:pPr>
              <w:pStyle w:val="Compact"/>
            </w:pPr>
            <w:r>
              <w:rPr>
                <w:rStyle w:val="VerbatimChar"/>
              </w:rPr>
              <w:t xml:space="preserve">playwright.config.ts</w:t>
            </w:r>
          </w:p>
        </w:tc>
        <w:tc>
          <w:tcPr/>
          <w:p>
            <w:pPr>
              <w:pStyle w:val="Compact"/>
            </w:pPr>
            <w:r>
              <w:t xml:space="preserve">Project config</w:t>
            </w:r>
          </w:p>
        </w:tc>
      </w:tr>
      <w:tr>
        <w:tc>
          <w:tcPr/>
          <w:p>
            <w:pPr>
              <w:pStyle w:val="Compact"/>
            </w:pPr>
            <w:r>
              <w:rPr>
                <w:rStyle w:val="VerbatimChar"/>
              </w:rPr>
              <w:t xml:space="preserve">tests/playwright/0*.spec.ts</w:t>
            </w:r>
          </w:p>
        </w:tc>
        <w:tc>
          <w:tcPr/>
          <w:p>
            <w:pPr>
              <w:pStyle w:val="Compact"/>
            </w:pPr>
            <w:r>
              <w:t xml:space="preserve">Spec files (7 + 3 + 7 + 28 tests)</w:t>
            </w:r>
          </w:p>
        </w:tc>
      </w:tr>
    </w:tbl>
    <w:bookmarkEnd w:id="21"/>
    <w:bookmarkStart w:id="22" w:name="ci-integration-suggestion"/>
    <w:p>
      <w:pPr>
        <w:pStyle w:val="Heading1"/>
      </w:pPr>
      <w:r>
        <w:t xml:space="preserve">7. CI integration suggestion</w:t>
      </w:r>
    </w:p>
    <w:p>
      <w:pPr>
        <w:pStyle w:val="SourceCode"/>
      </w:pPr>
      <w:r>
        <w:rPr>
          <w:rStyle w:val="CommentTok"/>
        </w:rPr>
        <w:t xml:space="preserve"># .github/workflows/playwright.yml (sketch)</w:t>
      </w:r>
      <w:r>
        <w:br/>
      </w:r>
      <w:r>
        <w:rPr>
          <w:rStyle w:val="FunctionTok"/>
        </w:rPr>
        <w:t xml:space="preserve">name</w:t>
      </w:r>
      <w:r>
        <w:rPr>
          <w:rStyle w:val="KeywordTok"/>
        </w:rPr>
        <w:t xml:space="preserve">:</w:t>
      </w:r>
      <w:r>
        <w:rPr>
          <w:rStyle w:val="AttributeTok"/>
        </w:rPr>
        <w:t xml:space="preserve"> playwright</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e2e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npx playwright install --with-deps chromium</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npx playwright test</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PLAYWRIGHT_BASE_URL</w:t>
      </w:r>
      <w:r>
        <w:rPr>
          <w:rStyle w:val="KeywordTok"/>
        </w:rPr>
        <w:t xml:space="preserve">:</w:t>
      </w:r>
      <w:r>
        <w:rPr>
          <w:rStyle w:val="AttributeTok"/>
        </w:rPr>
        <w:t xml:space="preserve"> https://accubook.tensparrows.com</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playwright-report</w:t>
      </w:r>
      <w:r>
        <w:br/>
      </w:r>
      <w:r>
        <w:rPr>
          <w:rStyle w:val="AttributeTok"/>
        </w:rPr>
        <w:t xml:space="preserve">          </w:t>
      </w:r>
      <w:r>
        <w:rPr>
          <w:rStyle w:val="FunctionTok"/>
        </w:rPr>
        <w:t xml:space="preserve">path</w:t>
      </w:r>
      <w:r>
        <w:rPr>
          <w:rStyle w:val="KeywordTok"/>
        </w:rPr>
        <w:t xml:space="preserve">:</w:t>
      </w:r>
      <w:r>
        <w:rPr>
          <w:rStyle w:val="AttributeTok"/>
        </w:rPr>
        <w:t xml:space="preserve"> tests/playwright/report/</w:t>
      </w:r>
    </w:p>
    <w:p>
      <w:pPr>
        <w:pStyle w:val="FirstParagraph"/>
      </w:pPr>
      <w:r>
        <w:t xml:space="preserve">Run time on the Vercel host is ~30 s end-to-end; on a GitHub-hosted runner expect ~60–90 s including chromium install.</w:t>
      </w:r>
    </w:p>
    <w:bookmarkEnd w:id="22"/>
    <w:bookmarkStart w:id="23" w:name="conclusion"/>
    <w:p>
      <w:pPr>
        <w:pStyle w:val="Heading1"/>
      </w:pPr>
      <w:r>
        <w:t xml:space="preserve">8. Conclusion</w:t>
      </w:r>
    </w:p>
    <w:p>
      <w:pPr>
        <w:pStyle w:val="FirstParagraph"/>
      </w:pPr>
      <w:r>
        <w:t xml:space="preserve">The smoke layer is green and the audit surfaced three actionable findings (one of which is purely cosmetic). With F-AUTH-1 and F-A11Y-1 patched, every Playwright test today goes green without skips. The infrastructure is in place to grow this into a full-coverage E2E suite — recommended next step is hooking it into CI (sketch above) and adding the mutation-flow spec.</w:t>
      </w:r>
    </w:p>
    <w:p>
      <w:pPr>
        <w:pStyle w:val="BodyText"/>
      </w:pPr>
      <w:r>
        <w:t xml:space="preserve">— End of Playwright Audit —</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AccuBook — Playwright E2E Audit</dc:title>
  <dc:creator/>
  <cp:keywords/>
  <dcterms:created xsi:type="dcterms:W3CDTF">2026-05-08T06:37:45Z</dcterms:created>
  <dcterms:modified xsi:type="dcterms:W3CDTF">2026-05-08T06:37:45Z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2026-05-08</vt:lpwstr>
  </property>
  <property fmtid="{D5CDD505-2E9C-101B-9397-08002B2CF9AE}" pid="3" name="subtitle">
    <vt:lpwstr>End-to-end smoke audit run against production</vt:lpwstr>
  </property>
</Properties>
</file>