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AccuBook — Architecture Brief</w:t>
      </w:r>
    </w:p>
    <w:p>
      <w:pPr>
        <w:pStyle w:val="Subtitle"/>
      </w:pPr>
      <w:r>
        <w:t xml:space="preserve">The decision, the gaps, and the order of work (V1 → 100,000 tenants)</w:t>
      </w:r>
    </w:p>
    <w:p>
      <w:pPr>
        <w:pStyle w:val="Author"/>
      </w:pPr>
      <w:r>
        <w:t xml:space="preserve">Architecture review — prepared for Sudipto Mitra</w:t>
      </w:r>
    </w:p>
    <w:p>
      <w:pPr>
        <w:pStyle w:val="Date"/>
      </w:pPr>
      <w:r>
        <w:t xml:space="preserve">26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accubook-architecture-brief"/>
    <w:p>
      <w:pPr>
        <w:pStyle w:val="Heading1"/>
      </w:pPr>
      <w:r>
        <w:t xml:space="preserve">AccuBook — Architecture Brief</w:t>
      </w:r>
    </w:p>
    <w:p>
      <w:pPr>
        <w:pStyle w:val="FirstParagraph"/>
      </w:pPr>
      <w:r>
        <w:rPr>
          <w:b/>
          <w:bCs/>
        </w:rPr>
        <w:t xml:space="preserve">Read this one.</w:t>
      </w:r>
      <w:r>
        <w:t xml:space="preserve"> </w:t>
      </w:r>
      <w:r>
        <w:t xml:space="preserve">It is the working summary of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 which stays as the reference: 108 tables, 36 diagrams, 15 ADRs, section-by-section detail. Section numbers below (§n) point into it.</w:t>
      </w:r>
    </w:p>
    <w:p>
      <w:pPr>
        <w:pStyle w:val="BodyText"/>
      </w:pPr>
      <w:r>
        <w:rPr>
          <w:b/>
          <w:bCs/>
        </w:rPr>
        <w:t xml:space="preserve">Measured against</w:t>
      </w:r>
      <w:r>
        <w:t xml:space="preserve"> </w:t>
      </w:r>
      <w:r>
        <w:t xml:space="preserve">branch</w:t>
      </w:r>
      <w:r>
        <w:t xml:space="preserve"> </w:t>
      </w:r>
      <w:r>
        <w:rPr>
          <w:rStyle w:val="VerbatimChar"/>
        </w:rPr>
        <w:t xml:space="preserve">fix/hr-tenancy-batch-atomicity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f371d13</w:t>
      </w:r>
      <w:r>
        <w:t xml:space="preserve">, 26 August 2026.</w:t>
      </w:r>
      <w:r>
        <w:t xml:space="preserve"> </w:t>
      </w:r>
      <w:r>
        <w:rPr>
          <w:b/>
          <w:bCs/>
        </w:rPr>
        <w:t xml:space="preserve">No repository changes have been made.</w:t>
      </w:r>
    </w:p>
    <w:p>
      <w:pPr>
        <w:pStyle w:val="BodyText"/>
      </w:pPr>
      <w:r>
        <w:t xml:space="preserve">Claims are tagged</w:t>
      </w:r>
      <w:r>
        <w:t xml:space="preserve"> </w:t>
      </w:r>
      <w:r>
        <w:rPr>
          <w:b/>
          <w:bCs/>
        </w:rPr>
        <w:t xml:space="preserve">[VERIFIED-REPO]</w:t>
      </w:r>
      <w:r>
        <w:t xml:space="preserve"> </w:t>
      </w:r>
      <w:r>
        <w:t xml:space="preserve">(measured here),</w:t>
      </w:r>
      <w:r>
        <w:t xml:space="preserve"> </w:t>
      </w:r>
      <w:r>
        <w:rPr>
          <w:b/>
          <w:bCs/>
        </w:rPr>
        <w:t xml:space="preserve">[VERIFIED-TEST]</w:t>
      </w:r>
      <w:r>
        <w:t xml:space="preserve"> </w:t>
      </w:r>
      <w:r>
        <w:t xml:space="preserve">(observed by running the code),</w:t>
      </w:r>
      <w:r>
        <w:t xml:space="preserve"> </w:t>
      </w:r>
      <w:r>
        <w:rPr>
          <w:b/>
          <w:bCs/>
        </w:rPr>
        <w:t xml:space="preserve">[PATTERN]</w:t>
      </w:r>
      <w:r>
        <w:t xml:space="preserve"> </w:t>
      </w:r>
      <w:r>
        <w:t xml:space="preserve">(established industry practice),</w:t>
      </w:r>
      <w:r>
        <w:t xml:space="preserve"> </w:t>
      </w:r>
      <w:r>
        <w:rPr>
          <w:b/>
          <w:bCs/>
        </w:rPr>
        <w:t xml:space="preserve">[VENDOR-CHECK]</w:t>
      </w:r>
      <w:r>
        <w:t xml:space="preserve"> </w:t>
      </w:r>
      <w:r>
        <w:t xml:space="preserve">(a vendor fact, current to May 2026, re-verify before spending money),</w:t>
      </w:r>
      <w:r>
        <w:t xml:space="preserve"> </w:t>
      </w:r>
      <w:r>
        <w:rPr>
          <w:b/>
          <w:bCs/>
        </w:rPr>
        <w:t xml:space="preserve">[ASSUMPTION]</w:t>
      </w:r>
      <w:r>
        <w:t xml:space="preserve">, or</w:t>
      </w:r>
      <w:r>
        <w:t xml:space="preserve"> </w:t>
      </w:r>
      <w:r>
        <w:rPr>
          <w:b/>
          <w:bCs/>
        </w:rPr>
        <w:t xml:space="preserve">[JUDGEMENT]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the-decision"/>
    <w:p>
      <w:pPr>
        <w:pStyle w:val="Heading2"/>
      </w:pPr>
      <w:r>
        <w:t xml:space="preserve">1. The decision</w:t>
      </w:r>
    </w:p>
    <w:p>
      <w:pPr>
        <w:pStyle w:val="FirstParagraph"/>
      </w:pPr>
      <w:r>
        <w:rPr>
          <w:b/>
          <w:bCs/>
        </w:rPr>
        <w:t xml:space="preserve">Pooled, single-database, shared-schema multi-tenancy, with PostgreSQL Row-Level Security as the enforcement floor, a separate Platform (control-plane) database, and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tenant_placement</w:t>
      </w:r>
      <w:r>
        <w:rPr>
          <w:b/>
          <w:bCs/>
        </w:rPr>
        <w:t xml:space="preserve"> </w:t>
      </w:r>
      <w:r>
        <w:rPr>
          <w:b/>
          <w:bCs/>
        </w:rPr>
        <w:t xml:space="preserve">indirection layer built in V1 even though V1 will only ever have one placement.</w:t>
      </w:r>
    </w:p>
    <w:p>
      <w:pPr>
        <w:pStyle w:val="BodyText"/>
      </w:pPr>
      <w:r>
        <w:t xml:space="preserve">Stay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on Next.js. Split out exactly one process — a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— because background work has genuinely different runtime requirements from HTTP handling, not because</w:t>
      </w:r>
      <w:r>
        <w:t xml:space="preserve"> </w:t>
      </w:r>
      <w:r>
        <w:t xml:space="preserve">“services scale better”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Tenancy model</w:t>
            </w:r>
          </w:p>
        </w:tc>
        <w:tc>
          <w:tcPr/>
          <w:p>
            <w:pPr>
              <w:pStyle w:val="Compact"/>
            </w:pPr>
            <w:r>
              <w:t xml:space="preserve">POOL — shared DB, shared tables,</w:t>
            </w:r>
            <w:r>
              <w:t xml:space="preserve"> </w:t>
            </w:r>
            <w:r>
              <w:rPr>
                <w:rStyle w:val="VerbatimChar"/>
              </w:rP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100,000 databases is an operational cost no small team survives; 100,000 rows in a partitioned table is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App guard</w:t>
            </w:r>
            <w:r>
              <w:t xml:space="preserve"> </w:t>
            </w:r>
            <w:r>
              <w:rPr>
                <w:b/>
                <w:bCs/>
              </w:rPr>
              <w:t xml:space="preserve">+ PostgreSQL RLS</w:t>
            </w:r>
          </w:p>
        </w:tc>
        <w:tc>
          <w:tcPr/>
          <w:p>
            <w:pPr>
              <w:pStyle w:val="Compact"/>
            </w:pPr>
            <w:r>
              <w:t xml:space="preserve">The guard stops attackers; RLS stops</w:t>
            </w:r>
            <w:r>
              <w:t xml:space="preserve"> </w:t>
            </w:r>
            <w:r>
              <w:rPr>
                <w:i/>
                <w:iCs/>
              </w:rPr>
              <w:t xml:space="preserve">your own developers</w:t>
            </w:r>
            <w:r>
              <w:t xml:space="preserve">, which is the failure mode that actually leaks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Separate Platform DB</w:t>
            </w:r>
          </w:p>
        </w:tc>
        <w:tc>
          <w:tcPr/>
          <w:p>
            <w:pPr>
              <w:pStyle w:val="Compact"/>
            </w:pPr>
            <w:r>
              <w:t xml:space="preserve">Tenant lifecycle, billing and placement must not live in the books they govern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tenant_placement</w:t>
            </w:r>
            <w:r>
              <w:t xml:space="preserve">, all rows →</w:t>
            </w:r>
            <w:r>
              <w:t xml:space="preserve"> </w:t>
            </w:r>
            <w:r>
              <w:rPr>
                <w:rStyle w:val="VerbatimChar"/>
              </w:rPr>
              <w:t xml:space="preserve">POOL-01</w:t>
            </w:r>
          </w:p>
        </w:tc>
        <w:tc>
          <w:tcPr/>
          <w:p>
            <w:pPr>
              <w:pStyle w:val="Compact"/>
            </w:pPr>
            <w:r>
              <w:t xml:space="preserve">~2 days now; a rewrite in year 3 if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shape</w:t>
            </w:r>
          </w:p>
        </w:tc>
        <w:tc>
          <w:tcPr/>
          <w:p>
            <w:pPr>
              <w:pStyle w:val="Compact"/>
            </w:pPr>
            <w:r>
              <w:t xml:space="preserve">Modular monolith + one worker</w:t>
            </w:r>
          </w:p>
        </w:tc>
        <w:tc>
          <w:tcPr/>
          <w:p>
            <w:pPr>
              <w:pStyle w:val="Compact"/>
            </w:pPr>
            <w:r>
              <w:t xml:space="preserve">Two deployables a team of 2–5 can operate at 2 a.m.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One Postgres → vertical scale → read replicas → partition → shard</w:t>
            </w:r>
          </w:p>
        </w:tc>
        <w:tc>
          <w:tcPr/>
          <w:p>
            <w:pPr>
              <w:pStyle w:val="Compact"/>
            </w:pPr>
            <w:r>
              <w:t xml:space="preserve">Every step reversible, none requires an application 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Postgres queue (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), tenant context in the payload</w:t>
            </w:r>
          </w:p>
        </w:tc>
        <w:tc>
          <w:tcPr/>
          <w:p>
            <w:pPr>
              <w:pStyle w:val="Compact"/>
            </w:pPr>
            <w:r>
              <w:t xml:space="preserve">You already have the database; a queue is not a reason to add Redis, Kafka or SQS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for rate limits, tenant metadata, entitlements —</w:t>
            </w:r>
            <w:r>
              <w:t xml:space="preserve"> </w:t>
            </w:r>
            <w:r>
              <w:rPr>
                <w:b/>
                <w:bCs/>
              </w:rPr>
              <w:t xml:space="preserve">never accounting data</w:t>
            </w:r>
          </w:p>
        </w:tc>
        <w:tc>
          <w:tcPr/>
          <w:p>
            <w:pPr>
              <w:pStyle w:val="Compact"/>
            </w:pPr>
            <w:r>
              <w:t xml:space="preserve">A cached ledger balance is how you ship a wrong trial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+ Neon for V1, plus a container-hosted worker</w:t>
            </w:r>
          </w:p>
        </w:tc>
        <w:tc>
          <w:tcPr/>
          <w:p>
            <w:pPr>
              <w:pStyle w:val="Compact"/>
            </w:pPr>
            <w:r>
              <w:t xml:space="preserve">Small team, app is already there; migration triggers in §43.2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in V1</w:t>
            </w:r>
          </w:p>
        </w:tc>
        <w:tc>
          <w:tcPr/>
          <w:p>
            <w:pPr>
              <w:pStyle w:val="Compact"/>
            </w:pPr>
            <w:r>
              <w:t xml:space="preserve">Kubernetes, Kafka, Elasticsearch, microservices, multi-region active-active, CQRS, event sourcing</w:t>
            </w:r>
          </w:p>
        </w:tc>
        <w:tc>
          <w:tcPr/>
          <w:p>
            <w:pPr>
              <w:pStyle w:val="Compact"/>
            </w:pPr>
            <w:r>
              <w:t xml:space="preserve">Each has a named trigger condition in §62</w:t>
            </w:r>
          </w:p>
        </w:tc>
      </w:tr>
    </w:tbl>
    <w:bookmarkStart w:id="9" w:name="why-not-database-per-tenant"/>
    <w:p>
      <w:pPr>
        <w:pStyle w:val="Heading3"/>
      </w:pPr>
      <w:r>
        <w:t xml:space="preserve">Why not database-per-tenant</w:t>
      </w:r>
    </w:p>
    <w:p>
      <w:pPr>
        <w:pStyle w:val="FirstParagraph"/>
      </w:pPr>
      <w:r>
        <w:t xml:space="preserve">It is the model most first-time SaaS architects choose, and it is genuinely attractive: perfect blast radius, trivial single-tenant restore, no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can leak. At 100,000 tenants it also produces</w:t>
      </w:r>
      <w:r>
        <w:t xml:space="preserve"> </w:t>
      </w:r>
      <w:r>
        <w:rPr>
          <w:b/>
          <w:bCs/>
        </w:rPr>
        <w:t xml:space="preserve">100,000 migrations per release</w:t>
      </w:r>
      <w:r>
        <w:t xml:space="preserve"> </w:t>
      </w:r>
      <w:r>
        <w:t xml:space="preserve">(at an optimistic 2 s each with 50-way parallelism, ~67 minutes of orchestrated, resumable, partially-failing work — you would be operating a migration platform as a</w:t>
      </w:r>
      <w:r>
        <w:t xml:space="preserve"> </w:t>
      </w:r>
      <w:r>
        <w:rPr>
          <w:i/>
          <w:iCs/>
        </w:rPr>
        <w:t xml:space="preserve">product</w:t>
      </w:r>
      <w:r>
        <w:t xml:space="preserve">), a connection problem with no good answer (poolers multiplex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database, not across databases), 100,000 backup schedules and monitoring targets, and a per-tenant cost floor because managed Postgres bills per instance.</w:t>
      </w:r>
    </w:p>
    <w:p>
      <w:pPr>
        <w:pStyle w:val="BodyText"/>
      </w:pPr>
      <w:r>
        <w:t xml:space="preserve">The decisive argument is economic. AccuBook’s market — Indian SMEs on Tally, Zoho Books, Vyapar and Excel — is a ₹300–3,000/month market.</w:t>
      </w:r>
      <w:r>
        <w:t xml:space="preserve"> </w:t>
      </w:r>
      <w:r>
        <w:rPr>
          <w:b/>
          <w:bCs/>
        </w:rPr>
        <w:t xml:space="preserve">A per-tenant infrastructure floor above roughly ₹50/month destroys the business model.</w:t>
      </w:r>
      <w:r>
        <w:t xml:space="preserve"> </w:t>
      </w:r>
      <w:r>
        <w:t xml:space="preserve">[JUDGEMENT] Pooling amortises one well-run database across thousands of small tenants; silo tenancy amortises nothing. That is why mass-market SMB accounting SaaS is pooled and the silo model appears almost only in enterprise-priced products (§8).</w:t>
      </w:r>
    </w:p>
    <w:p>
      <w:pPr>
        <w:pStyle w:val="BodyText"/>
      </w:pPr>
      <w:r>
        <w:t xml:space="preserve">What silo gets right — blast radius, restore, noisy-neighbour immunity — we buy back selectively via placement, at the point where one tenant is large enough to pay for it.</w:t>
      </w:r>
      <w:r>
        <w:t xml:space="preserve"> </w:t>
      </w:r>
      <w:r>
        <w:rPr>
          <w:b/>
          <w:bCs/>
        </w:rPr>
        <w:t xml:space="preserve">That is the hybrid, and it is why the placement indirection must exist from day one while doing nothing.</w:t>
      </w:r>
    </w:p>
    <w:bookmarkEnd w:id="9"/>
    <w:bookmarkStart w:id="10" w:name="Xddc6b505c112df7c136e4e99b8f3c17150eac09"/>
    <w:p>
      <w:pPr>
        <w:pStyle w:val="Heading3"/>
      </w:pPr>
      <w:r>
        <w:t xml:space="preserve">Why RLS, when the code already filters by</w:t>
      </w:r>
      <w:r>
        <w:t xml:space="preserve"> </w:t>
      </w:r>
      <w:r>
        <w:rPr>
          <w:rStyle w:val="VerbatimChar"/>
        </w:rPr>
        <w:t xml:space="preserve">organizationId</w:t>
      </w:r>
    </w:p>
    <w:p>
      <w:pPr>
        <w:pStyle w:val="FirstParagraph"/>
      </w:pPr>
      <w:r>
        <w:t xml:space="preserve">The existing guard is good.</w:t>
      </w:r>
      <w:r>
        <w:t xml:space="preserve"> </w:t>
      </w:r>
      <w:r>
        <w:rPr>
          <w:b/>
          <w:bCs/>
        </w:rPr>
        <w:t xml:space="preserve">[VERIFIED-REPO]</w:t>
      </w:r>
      <w:r>
        <w:t xml:space="preserve"> </w:t>
      </w:r>
      <w:r>
        <w:t xml:space="preserve">All 110 org-scoped route files are wrapped in</w:t>
      </w:r>
      <w:r>
        <w:t xml:space="preserve"> </w:t>
      </w:r>
      <w:r>
        <w:rPr>
          <w:rStyle w:val="VerbatimChar"/>
        </w:rPr>
        <w:t xml:space="preserve">withOrgAuth</w:t>
      </w:r>
      <w:r>
        <w:t xml:space="preserve">; none opts out of the role check. It is still not sufficient, for one reason:</w:t>
      </w:r>
      <w:r>
        <w:t xml:space="preserve"> </w:t>
      </w:r>
      <w:r>
        <w:rPr>
          <w:rStyle w:val="VerbatimChar"/>
        </w:rPr>
        <w:t xml:space="preserve">withOrgAuth</w:t>
      </w:r>
      <w:r>
        <w:t xml:space="preserve"> </w:t>
      </w:r>
      <w:r>
        <w:t xml:space="preserve">proves who the caller is and which organisation they may act in — it cannot prove that the query the handler then writes stays inside that organisation.</w:t>
      </w:r>
    </w:p>
    <w:p>
      <w:pPr>
        <w:pStyle w:val="SourceCode"/>
      </w:pPr>
      <w:r>
        <w:rPr>
          <w:rStyle w:val="CommentTok"/>
        </w:rPr>
        <w:t xml:space="preserve">// Compiles. Passes withOrgAuth. Returns every tenant's invoices.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With RLS that query returns</w:t>
      </w:r>
      <w:r>
        <w:t xml:space="preserve"> </w:t>
      </w:r>
      <w:r>
        <w:rPr>
          <w:b/>
          <w:bCs/>
        </w:rPr>
        <w:t xml:space="preserve">zero rows</w:t>
      </w:r>
      <w:r>
        <w:t xml:space="preserve">. The mistake becomes a visible bug in the developer’s own tenant instead of an invisible breach in someone else’s. The repo already contains</w:t>
      </w:r>
      <w:r>
        <w:t xml:space="preserve"> </w:t>
      </w:r>
      <w:r>
        <w:rPr>
          <w:rStyle w:val="VerbatimChar"/>
        </w:rPr>
        <w:t xml:space="preserve">findForeignReferences</w:t>
      </w:r>
      <w:r>
        <w:t xml:space="preserve"> </w:t>
      </w:r>
      <w:r>
        <w:rPr>
          <w:b/>
          <w:bCs/>
        </w:rPr>
        <w:t xml:space="preserve">[VERIFIED-REPO]</w:t>
      </w:r>
      <w:r>
        <w:t xml:space="preserve">, written because someone recognised this bug class for client-supplied foreign keys — the right instinct, applied at one layer. RLS applies it at every layer: raw SQL, reports, background jobs, and the code not yet written.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where-the-code-actually-stands"/>
    <w:p>
      <w:pPr>
        <w:pStyle w:val="Heading2"/>
      </w:pPr>
      <w:r>
        <w:t xml:space="preserve">2. Where the code actually stands</w:t>
      </w:r>
    </w:p>
    <w:p>
      <w:pPr>
        <w:pStyle w:val="FirstParagraph"/>
      </w:pPr>
      <w:r>
        <w:rPr>
          <w:b/>
          <w:bCs/>
        </w:rPr>
        <w:t xml:space="preserve">[VERIFIED-REPO]</w:t>
      </w:r>
      <w:r>
        <w:t xml:space="preserve"> </w:t>
      </w:r>
      <w:r>
        <w:t xml:space="preserve">The brief’s figures were close but stale: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Brief said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models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</w:t>
            </w:r>
            <w:r>
              <w:t xml:space="preserve"> </w:t>
            </w:r>
            <w:r>
              <w:t xml:space="preserve">— and</w:t>
            </w:r>
            <w:r>
              <w:t xml:space="preserve"> </w:t>
            </w:r>
            <w:r>
              <w:rPr>
                <w:b/>
                <w:bCs/>
              </w:rPr>
              <w:t xml:space="preserve">0 enums</w:t>
            </w:r>
            <w:r>
              <w:t xml:space="preserve">; every status is 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routes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</w:t>
            </w:r>
            <w:r>
              <w:t xml:space="preserve"> </w:t>
            </w:r>
            <w:r>
              <w:t xml:space="preserve">(110 org-scoped, all wrapped,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skipRoleCheck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0_init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17_hr_masters_per_tenant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  <w:r>
              <w:t xml:space="preserve"> </w:t>
            </w:r>
            <w:r>
              <w:t xml:space="preserve">— 640/640 unit tests pass in 2.4 s</w:t>
            </w:r>
            <w:r>
              <w:t xml:space="preserve"> </w:t>
            </w:r>
            <w:r>
              <w:rPr>
                <w:b/>
                <w:bCs/>
              </w:rPr>
              <w:t xml:space="preserve">[VERIFIED-TEST]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</w:t>
            </w:r>
            <w:r>
              <w:t xml:space="preserve"> </w:t>
            </w: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t xml:space="preserve">columns: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— correct for money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Soft-delete columns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Read the divergence as a positive signal: the codebase is ~25% larger and has roughly twice the test coverage assumed.</w:t>
      </w:r>
      <w:r>
        <w:t xml:space="preserve"> </w:t>
      </w:r>
      <w:r>
        <w:rPr>
          <w:b/>
          <w:bCs/>
        </w:rPr>
        <w:t xml:space="preserve">That materially strengthens the case for evolving it rather than rewriting it.</w:t>
      </w:r>
    </w:p>
    <w:bookmarkStart w:id="12" w:name="X2da5ec38f565fa9d8de9bb1b7fd6f09c26212a9"/>
    <w:p>
      <w:pPr>
        <w:pStyle w:val="Heading3"/>
      </w:pPr>
      <w:r>
        <w:t xml:space="preserve">What is already right, and must be preserved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single fail-closed authorisation guard.</w:t>
      </w:r>
      <w:r>
        <w:t xml:space="preserve"> </w:t>
      </w:r>
      <w:r>
        <w:rPr>
          <w:rStyle w:val="VerbatimChar"/>
        </w:rPr>
        <w:t xml:space="preserve">withOrgAuth</w:t>
      </w:r>
      <w:r>
        <w:t xml:space="preserve"> </w:t>
      </w:r>
      <w:r>
        <w:t xml:space="preserve">does session-or-API-key auth, membership lookup,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 same-origin CSRF on mutating requests, and a role-permission check derived from</w:t>
      </w:r>
      <w:r>
        <w:t xml:space="preserve"> </w:t>
      </w:r>
      <w:r>
        <w:rPr>
          <w:rStyle w:val="VerbatimChar"/>
        </w:rPr>
        <w:t xml:space="preserve">(pathname, method)</w:t>
      </w:r>
      <w:r>
        <w:t xml:space="preserve"> </w:t>
      </w:r>
      <w:r>
        <w:t xml:space="preserve">— in one place, for all 110 routes.</w:t>
      </w:r>
      <w:r>
        <w:t xml:space="preserve"> </w:t>
      </w:r>
      <w:r>
        <w:rPr>
          <w:b/>
          <w:bCs/>
        </w:rPr>
        <w:t xml:space="preserve">An unregistered path returns 403, not 200.</w:t>
      </w:r>
      <w:r>
        <w:t xml:space="preserve"> </w:t>
      </w:r>
      <w:r>
        <w:t xml:space="preserve">Fail-closed by construction is rare.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keys cannot exceed their creator’s role</w:t>
      </w:r>
      <w:r>
        <w:t xml:space="preserve"> </w:t>
      </w:r>
      <w:r>
        <w:t xml:space="preserve">— scopes are intersected with the issuing user’s permissions, closing the standard privilege-escalation-by-key-minting hole.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Foreign-key tenant validation exists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findForeignReferences</w:t>
      </w:r>
      <w:r>
        <w:t xml:space="preserve"> </w:t>
      </w:r>
      <w:r>
        <w:t xml:space="preserve">returns the same answer for</w:t>
      </w:r>
      <w:r>
        <w:t xml:space="preserve"> </w:t>
      </w:r>
      <w:r>
        <w:t xml:space="preserve">“belongs to another tenant”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exist”</w:t>
      </w:r>
      <w:r>
        <w:t xml:space="preserve">. No existence oracle.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Money is correct</w:t>
      </w:r>
      <w:r>
        <w:t xml:space="preserve"> </w:t>
      </w:r>
      <w:r>
        <w:t xml:space="preserve">— 169</w:t>
      </w:r>
      <w:r>
        <w:t xml:space="preserve"> </w:t>
      </w:r>
      <w:r>
        <w:rPr>
          <w:rStyle w:val="VerbatimChar"/>
        </w:rPr>
        <w:t xml:space="preserve">Decimal(18,4)</w:t>
      </w:r>
      <w:r>
        <w:t xml:space="preserve">, zero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concurrency handling, with the reasoning recorded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posting.ts</w:t>
      </w:r>
      <w:r>
        <w:t xml:space="preserve"> </w:t>
      </w:r>
      <w:r>
        <w:t xml:space="preserve">uses raw</w:t>
      </w:r>
      <w:r>
        <w:t xml:space="preserve"> </w:t>
      </w:r>
      <w:r>
        <w:rPr>
          <w:rStyle w:val="VerbatimChar"/>
        </w:rPr>
        <w:t xml:space="preserve">INSERT … ON CONFLICT … RETURNING</w:t>
      </w:r>
      <w:r>
        <w:t xml:space="preserve"> </w:t>
      </w:r>
      <w:r>
        <w:t xml:space="preserve">with a comment explaining that Prisma’s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under the driver adapter degrades to select-then-insert and loses the race, plus an integration test that proves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migration guard born from a real incident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migrate-on-deploy.mjs</w:t>
      </w:r>
      <w:r>
        <w:t xml:space="preserve"> </w:t>
      </w:r>
      <w:r>
        <w:t xml:space="preserve">restricts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VERCEL_ENV=production</w:t>
      </w:r>
      <w:r>
        <w:t xml:space="preserve"> </w:t>
      </w:r>
      <w:r>
        <w:t xml:space="preserve">after preview builds migrated production. Keep this behaviour through any deployment change.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the-four-findings-that-matter"/>
    <w:p>
      <w:pPr>
        <w:pStyle w:val="Heading2"/>
      </w:pPr>
      <w:r>
        <w:t xml:space="preserve">3. The four findings that matter</w:t>
      </w:r>
    </w:p>
    <w:bookmarkStart w:id="14" w:name="Xadadf79fd10d6f95b19b039a8c51e227e1f9ff5"/>
    <w:p>
      <w:pPr>
        <w:pStyle w:val="Heading3"/>
      </w:pPr>
      <w:r>
        <w:t xml:space="preserve">3.1 33 of 74 models have no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— 22 of them are tenant-owned</w:t>
      </w:r>
    </w:p>
    <w:p>
      <w:pPr>
        <w:pStyle w:val="FirstParagraph"/>
      </w:pPr>
      <w:r>
        <w:t xml:space="preserve">RLS cannot express</w:t>
      </w:r>
      <w:r>
        <w:t xml:space="preserve"> </w:t>
      </w:r>
      <w:r>
        <w:t xml:space="preserve">“this row belongs to tenant X”</w:t>
      </w:r>
      <w:r>
        <w:t xml:space="preserve"> </w:t>
      </w:r>
      <w:r>
        <w:t xml:space="preserve">for a table that does not say which tenant it belongs to. The 33 split three ways, and conflating them is a mistake: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/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Move to the Platform DB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Genuinely global reference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ExchangeRate</w:t>
            </w:r>
          </w:p>
        </w:tc>
        <w:tc>
          <w:tcPr/>
          <w:p>
            <w:pPr>
              <w:pStyle w:val="Compact"/>
            </w:pPr>
            <w:r>
              <w:t xml:space="preserve">Keep global, read-only to tenants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Tenant-owned, scoped only through a 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InvoiceTax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BillTax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StockMovement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SalesOrderItem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QuotationItem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PurchaseOrderItem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BomItem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BankTransaction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BankReconciliation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Payslip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ApprovalWorkflowStep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FiscalPeriod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Backfill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organizationId</w:t>
            </w:r>
            <w:r>
              <w:t xml:space="preserve"> </w:t>
            </w:r>
            <w:r>
              <w:t xml:space="preserve">(§20.5)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VoucherEntry</w:t>
      </w:r>
      <w:r>
        <w:rPr>
          <w:b/>
          <w:bCs/>
        </w:rPr>
        <w:t xml:space="preserve"> </w:t>
      </w:r>
      <w:r>
        <w:rPr>
          <w:b/>
          <w:bCs/>
        </w:rPr>
        <w:t xml:space="preserve">is the general-ledger detail table</w:t>
      </w:r>
      <w:r>
        <w:t xml:space="preserve"> </w:t>
      </w:r>
      <w:r>
        <w:t xml:space="preserve">— the most sensitive table in an accounting system — and it carries no tenant column at all.</w:t>
      </w:r>
    </w:p>
    <w:p>
      <w:pPr>
        <w:pStyle w:val="BodyText"/>
      </w:pPr>
      <w:r>
        <w:t xml:space="preserve">The work is mechanical and safe (an expand/contract backfill plus a denormalised column) but it is</w:t>
      </w:r>
      <w:r>
        <w:t xml:space="preserve"> </w:t>
      </w:r>
      <w:r>
        <w:rPr>
          <w:b/>
          <w:bCs/>
        </w:rPr>
        <w:t xml:space="preserve">prerequisite</w:t>
      </w:r>
      <w:r>
        <w:t xml:space="preserve">, it touches large tables, and it must land before RLS means anything. This is the concrete answer to</w:t>
      </w:r>
      <w:r>
        <w:t xml:space="preserve"> </w:t>
      </w:r>
      <w:r>
        <w:t xml:space="preserve">“what do we do first”</w:t>
      </w:r>
      <w:r>
        <w:t xml:space="preserve">.</w:t>
      </w:r>
    </w:p>
    <w:bookmarkEnd w:id="14"/>
    <w:bookmarkStart w:id="15" w:name="Xab45d7afa0089bf217505831b5b4772027a052b"/>
    <w:p>
      <w:pPr>
        <w:pStyle w:val="Heading3"/>
      </w:pPr>
      <w:r>
        <w:t xml:space="preserve">3.2 A live cross-tenant defect: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UnitOfMeasure</w:t>
      </w:r>
    </w:p>
    <w:p>
      <w:pPr>
        <w:pStyle w:val="FirstParagraph"/>
      </w:pPr>
      <w:r>
        <w:t xml:space="preserve">These three are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tables that behave as if tenant-owned (§2.6):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Role</w:t>
      </w:r>
      <w:r>
        <w:t xml:space="preserve"> </w:t>
      </w:r>
      <w:r>
        <w:t xml:space="preserve">— a custom role created by one tenant is assignable by all, and editing it silently changes their permissions.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VoucherType.code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UnitOfMeasure.name</w:t>
      </w:r>
      <w:r>
        <w:t xml:space="preserve"> </w:t>
      </w:r>
      <w:r>
        <w:t xml:space="preserve">are globally unique — the first tenant to create code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blocks every other tenant from ever creating it.</w:t>
      </w:r>
    </w:p>
    <w:p>
      <w:pPr>
        <w:pStyle w:val="FirstParagraph"/>
      </w:pPr>
      <w:r>
        <w:t xml:space="preserve">This is present today, not a future risk. Migration</w:t>
      </w:r>
      <w:r>
        <w:t xml:space="preserve"> </w:t>
      </w:r>
      <w:r>
        <w:rPr>
          <w:rStyle w:val="VerbatimChar"/>
        </w:rPr>
        <w:t xml:space="preserve">17_hr_masters_per_tenant</w:t>
      </w:r>
      <w:r>
        <w:t xml:space="preserve"> </w:t>
      </w:r>
      <w:r>
        <w:t xml:space="preserve">already applied the correct system-vs-tenant split to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; the same pattern just needs completing here.</w:t>
      </w:r>
    </w:p>
    <w:bookmarkEnd w:id="15"/>
    <w:bookmarkStart w:id="16" w:name="X36e53b44b376896df96b689a8ce71eb2cfcc979"/>
    <w:p>
      <w:pPr>
        <w:pStyle w:val="Heading3"/>
      </w:pPr>
      <w:r>
        <w:t xml:space="preserve">3.3 Preview deployments read and write the production database</w:t>
      </w:r>
    </w:p>
    <w:p>
      <w:pPr>
        <w:pStyle w:val="FirstParagraph"/>
      </w:pPr>
      <w:r>
        <w:rPr>
          <w:rStyle w:val="VerbatimChar"/>
        </w:rPr>
        <w:t xml:space="preserve">migrate-on-deploy.mjs</w:t>
      </w:r>
      <w:r>
        <w:t xml:space="preserve"> </w:t>
      </w:r>
      <w:r>
        <w:t xml:space="preserve">correctly stopped previews</w:t>
      </w:r>
      <w:r>
        <w:t xml:space="preserve"> </w:t>
      </w:r>
      <w:r>
        <w:rPr>
          <w:i/>
          <w:iCs/>
        </w:rPr>
        <w:t xml:space="preserve">migrating</w:t>
      </w:r>
      <w:r>
        <w:t xml:space="preserve"> </w:t>
      </w:r>
      <w:r>
        <w:t xml:space="preserve">production after that incident. But preview code on an unmerged branch still reads and writes live books (§45.3). Per-PR database branches fix it in about a day.</w:t>
      </w:r>
    </w:p>
    <w:bookmarkEnd w:id="16"/>
    <w:bookmarkStart w:id="17" w:name="there-is-no-way-to-charge-anyone"/>
    <w:p>
      <w:pPr>
        <w:pStyle w:val="Heading3"/>
      </w:pPr>
      <w:r>
        <w:t xml:space="preserve">3.4 There is no way to charge anyone</w:t>
      </w:r>
    </w:p>
    <w:p>
      <w:pPr>
        <w:pStyle w:val="FirstParagraph"/>
      </w:pPr>
      <w:r>
        <w:rPr>
          <w:b/>
          <w:bCs/>
        </w:rPr>
        <w:t xml:space="preserve">[VERIFIED-REPO]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Entitlement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model in the schema. This is a commercial blocker, not a scaling one, and</w:t>
      </w:r>
      <w:r>
        <w:t xml:space="preserve"> </w:t>
      </w:r>
      <w:r>
        <w:rPr>
          <w:b/>
          <w:bCs/>
        </w:rPr>
        <w:t xml:space="preserve">it arrives before any scaling problem does</w:t>
      </w:r>
      <w:r>
        <w:t xml:space="preserve"> </w:t>
      </w:r>
      <w:r>
        <w:t xml:space="preserve">(§23–24).</w:t>
      </w:r>
    </w:p>
    <w:bookmarkEnd w:id="17"/>
    <w:bookmarkStart w:id="18" w:name="what-breaks-first-in-order-judgement"/>
    <w:p>
      <w:pPr>
        <w:pStyle w:val="Heading3"/>
      </w:pPr>
      <w:r>
        <w:t xml:space="preserve">What breaks first, in order [JUDGEMENT]</w:t>
      </w:r>
    </w:p>
    <w:p>
      <w:pPr>
        <w:pStyle w:val="Compact"/>
        <w:numPr>
          <w:ilvl w:val="0"/>
          <w:numId w:val="1003"/>
        </w:numPr>
      </w:pPr>
      <w:r>
        <w:t xml:space="preserve">Cross-tenant leak via a hand-written query or report — nothing structural prevents it today (§35).</w:t>
      </w:r>
    </w:p>
    <w:p>
      <w:pPr>
        <w:pStyle w:val="Compact"/>
        <w:numPr>
          <w:ilvl w:val="0"/>
          <w:numId w:val="1003"/>
        </w:numPr>
      </w:pPr>
      <w:r>
        <w:t xml:space="preserve">Connection exhaustion under serverless fan-out — the pool cap of 3 per instance is a thoughtful choice, but concurrency × 3 is unbounded above by design (§17).</w:t>
      </w:r>
    </w:p>
    <w:p>
      <w:pPr>
        <w:pStyle w:val="Compact"/>
        <w:numPr>
          <w:ilvl w:val="0"/>
          <w:numId w:val="1003"/>
        </w:numPr>
      </w:pPr>
      <w:r>
        <w:t xml:space="preserve">Synchronous reports timing out — Trial Balance / P&amp;L / GSTR-1 over a busy tenant’s year will exceed the function limit well before 1,000 tenants (§29).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 </w:t>
      </w:r>
      <w:r>
        <w:t xml:space="preserve">growth — append-only and unbounded; unpartitioned, they degrade first (§18).</w:t>
      </w:r>
    </w:p>
    <w:p>
      <w:pPr>
        <w:pStyle w:val="Compact"/>
        <w:numPr>
          <w:ilvl w:val="0"/>
          <w:numId w:val="1003"/>
        </w:numPr>
      </w:pPr>
      <w:r>
        <w:t xml:space="preserve">No subscription or entitlement model (§23–24).</w:t>
      </w:r>
    </w:p>
    <w:p>
      <w:pPr>
        <w:pStyle w:val="Compact"/>
        <w:numPr>
          <w:ilvl w:val="0"/>
          <w:numId w:val="1003"/>
        </w:numPr>
      </w:pPr>
      <w:r>
        <w:t xml:space="preserve">Migration/deploy coupling — acceptable now, untenable once migrations take minutes (§20).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he-v1-architecture"/>
    <w:p>
      <w:pPr>
        <w:pStyle w:val="Heading2"/>
      </w:pPr>
      <w:r>
        <w:t xml:space="preserve">4. The V1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U["Users — browsers · accountants · CAs"] --&gt; CDN["CDN + WAF"]</w:t>
      </w:r>
      <w:r>
        <w:br/>
      </w:r>
      <w:r>
        <w:rPr>
          <w:rStyle w:val="VerbatimChar"/>
        </w:rPr>
        <w:t xml:space="preserve">    CDN --&gt; APP</w:t>
      </w:r>
      <w:r>
        <w:br/>
      </w:r>
      <w:r>
        <w:br/>
      </w:r>
      <w:r>
        <w:rPr>
          <w:rStyle w:val="VerbatimChar"/>
        </w:rPr>
        <w:t xml:space="preserve">    subgraph APPTIER["Next.js 16 modular monolith"]</w:t>
      </w:r>
      <w:r>
        <w:br/>
      </w:r>
      <w:r>
        <w:rPr>
          <w:rStyle w:val="VerbatimChar"/>
        </w:rPr>
        <w:t xml:space="preserve">        APP["Route handlers · Server components"]</w:t>
      </w:r>
      <w:r>
        <w:br/>
      </w:r>
      <w:r>
        <w:rPr>
          <w:rStyle w:val="VerbatimChar"/>
        </w:rPr>
        <w:t xml:space="preserve">        G["1 Auth → 2 Tenant context → 3 Authorization&lt;br/&gt;→ 4 Entitlement → 5 Placement"]</w:t>
      </w:r>
      <w:r>
        <w:br/>
      </w:r>
      <w:r>
        <w:rPr>
          <w:rStyle w:val="VerbatimChar"/>
        </w:rPr>
        <w:t xml:space="preserve">        APP --&gt; G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 --&gt; DL["Tenant-scoped Prisma client&lt;br/&gt;set_config('app.current_org', …, true)"]</w:t>
      </w:r>
      <w:r>
        <w:br/>
      </w:r>
      <w:r>
        <w:rPr>
          <w:rStyle w:val="VerbatimChar"/>
        </w:rPr>
        <w:t xml:space="preserve">    DL --&gt; POOLER["Connection pooler — transaction mode"]</w:t>
      </w:r>
      <w:r>
        <w:br/>
      </w:r>
      <w:r>
        <w:rPr>
          <w:rStyle w:val="VerbatimChar"/>
        </w:rPr>
        <w:t xml:space="preserve">    POOLER --&gt; TDB[("PostgreSQL · POOL-01&lt;br/&gt;tenant data · RLS FORCED&lt;br/&gt;+ jobs table")]</w:t>
      </w:r>
      <w:r>
        <w:br/>
      </w:r>
      <w:r>
        <w:br/>
      </w:r>
      <w:r>
        <w:rPr>
          <w:rStyle w:val="VerbatimChar"/>
        </w:rPr>
        <w:t xml:space="preserve">    G -.-&gt;|identity · membership · entitlements · placement| PDB</w:t>
      </w:r>
      <w:r>
        <w:br/>
      </w:r>
      <w:r>
        <w:rPr>
          <w:rStyle w:val="VerbatimChar"/>
        </w:rPr>
        <w:t xml:space="preserve">    PDB[("PostgreSQL · accubook_platform — CONTROL PLANE&lt;br/&gt;Tenant · Membership · Plan · Subscription&lt;br/&gt;Entitlement · Usage · Placement · PlatformAudit")]</w:t>
      </w:r>
      <w:r>
        <w:br/>
      </w:r>
      <w:r>
        <w:br/>
      </w:r>
      <w:r>
        <w:rPr>
          <w:rStyle w:val="VerbatimChar"/>
        </w:rPr>
        <w:t xml:space="preserve">    APP --&gt; RDS[("Redis — rate limits + control-plane cache only")]</w:t>
      </w:r>
      <w:r>
        <w:br/>
      </w:r>
      <w:r>
        <w:rPr>
          <w:rStyle w:val="VerbatimChar"/>
        </w:rPr>
        <w:t xml:space="preserve">    APP --&gt; OBJ["Object storage — documents/{orgId}/… · reports/{orgId}/…"]</w:t>
      </w:r>
      <w:r>
        <w:br/>
      </w:r>
      <w:r>
        <w:rPr>
          <w:rStyle w:val="VerbatimChar"/>
        </w:rPr>
        <w:t xml:space="preserve">    APP --&gt;|"enqueue in the SAME transaction&lt;br/&gt;as the business write"| TDB</w:t>
      </w:r>
      <w:r>
        <w:br/>
      </w:r>
      <w:r>
        <w:br/>
      </w:r>
      <w:r>
        <w:rPr>
          <w:rStyle w:val="VerbatimChar"/>
        </w:rPr>
        <w:t xml:space="preserve">    TDB --&gt;|"SKIP LOCKED"| WRK["Worker container — same codebase&lt;br/&gt;queues: critical · default · reports · imports · ocr"]</w:t>
      </w:r>
      <w:r>
        <w:br/>
      </w:r>
      <w:r>
        <w:rPr>
          <w:rStyle w:val="VerbatimChar"/>
        </w:rPr>
        <w:t xml:space="preserve">    WRK --&gt; TDB</w:t>
      </w:r>
      <w:r>
        <w:br/>
      </w:r>
      <w:r>
        <w:rPr>
          <w:rStyle w:val="VerbatimChar"/>
        </w:rPr>
        <w:t xml:space="preserve">    WRK --&gt; OBJ</w:t>
      </w:r>
      <w:r>
        <w:br/>
      </w:r>
      <w:r>
        <w:rPr>
          <w:rStyle w:val="VerbatimChar"/>
        </w:rPr>
        <w:t xml:space="preserve">    WRK --&gt; EXT["External — Razorpay · Resend · Anthropic OCR · GST IRP"]</w:t>
      </w:r>
      <w:r>
        <w:br/>
      </w:r>
      <w:r>
        <w:rPr>
          <w:rStyle w:val="VerbatimChar"/>
        </w:rPr>
        <w:t xml:space="preserve">    APP --&gt; EXT</w:t>
      </w:r>
      <w:r>
        <w:br/>
      </w:r>
      <w:r>
        <w:rPr>
          <w:rStyle w:val="VerbatimChar"/>
        </w:rPr>
        <w:t xml:space="preserve">    APP --&gt; OBS["Observability — Pino (requestId + tenantId per line)&lt;br/&gt;metrics with NO tenantId label · Sentry · /api/health"]</w:t>
      </w:r>
      <w:r>
        <w:br/>
      </w:r>
      <w:r>
        <w:rPr>
          <w:rStyle w:val="VerbatimChar"/>
        </w:rPr>
        <w:t xml:space="preserve">    WRK --&gt; OBS</w:t>
      </w:r>
    </w:p>
    <w:p>
      <w:pPr>
        <w:pStyle w:val="FirstParagraph"/>
      </w:pPr>
      <w:r>
        <w:t xml:space="preserve">Five gates run in fixed order on every request:</w:t>
      </w:r>
      <w:r>
        <w:t xml:space="preserve"> </w:t>
      </w:r>
      <w:r>
        <w:rPr>
          <w:b/>
          <w:bCs/>
        </w:rPr>
        <w:t xml:space="preserve">authentication → tenant context → authorization → entitlement → placement</w:t>
      </w:r>
      <w:r>
        <w:t xml:space="preserve">. Tenant identity is resolved server-side from the authenticated session’s membership 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from a request parameter. Context reaches the database as a transaction-local</w:t>
      </w:r>
      <w:r>
        <w:t xml:space="preserve"> </w:t>
      </w:r>
      <w:r>
        <w:rPr>
          <w:rStyle w:val="VerbatimChar"/>
        </w:rPr>
        <w:t xml:space="preserve">set_config</w:t>
      </w:r>
      <w:r>
        <w:t xml:space="preserve">, which is what makes it compatible with a transaction-mode pooler.</w:t>
      </w:r>
    </w:p>
    <w:p>
      <w:r>
        <w:pict>
          <v:rect style="width:0;height:1.5pt" o:hralign="center" o:hrstd="t" o:hr="t"/>
        </w:pict>
      </w:r>
    </w:p>
    <w:bookmarkEnd w:id="20"/>
    <w:bookmarkStart w:id="21" w:name="the-fifteen-decisions-one-line-each"/>
    <w:p>
      <w:pPr>
        <w:pStyle w:val="Heading2"/>
      </w:pPr>
      <w:r>
        <w:t xml:space="preserve">5. The fifteen decisions, one line each</w:t>
      </w:r>
    </w:p>
    <w:p>
      <w:pPr>
        <w:pStyle w:val="FirstParagraph"/>
      </w:pPr>
      <w:r>
        <w:t xml:space="preserve">Full context, options, trade-offs and reconsider-triggers are in §60.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Reconsider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 Tenancy model</w:t>
            </w:r>
          </w:p>
        </w:tc>
        <w:tc>
          <w:tcPr/>
          <w:p>
            <w:pPr>
              <w:pStyle w:val="Compact"/>
            </w:pPr>
            <w:r>
              <w:t xml:space="preserve">Pooled + RLS now; hybrid (POOL/BRIDGE/SILO) as the designed target</w:t>
            </w:r>
          </w:p>
        </w:tc>
        <w:tc>
          <w:tcPr/>
          <w:p>
            <w:pPr>
              <w:pStyle w:val="Compact"/>
            </w:pPr>
            <w:r>
              <w:t xml:space="preserve">An enterprise segment pays &gt;₹40k/mo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demands isolation, or a regulator mandates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 Engine &amp; layout</w:t>
            </w:r>
          </w:p>
        </w:tc>
        <w:tc>
          <w:tcPr/>
          <w:p>
            <w:pPr>
              <w:pStyle w:val="Compact"/>
            </w:pPr>
            <w:r>
              <w:t xml:space="preserve">PostgreSQL; two databases (</w:t>
            </w:r>
            <w:r>
              <w:rPr>
                <w:rStyle w:val="VerbatimChar"/>
              </w:rPr>
              <w:t xml:space="preserve">accubook_platform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accubook</w:t>
            </w:r>
            <w:r>
              <w:t xml:space="preserve">), same cluster in V1</w:t>
            </w:r>
          </w:p>
        </w:tc>
        <w:tc>
          <w:tcPr/>
          <w:p>
            <w:pPr>
              <w:pStyle w:val="Compact"/>
            </w:pPr>
            <w:r>
              <w:t xml:space="preserve">§19.2 sharding triggers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 Isolation</w:t>
            </w:r>
          </w:p>
        </w:tc>
        <w:tc>
          <w:tcPr/>
          <w:p>
            <w:pPr>
              <w:pStyle w:val="Compact"/>
            </w:pPr>
            <w:r>
              <w:t xml:space="preserve">Defence in depth:</w:t>
            </w:r>
            <w:r>
              <w:t xml:space="preserve"> </w:t>
            </w:r>
            <w:r>
              <w:rPr>
                <w:rStyle w:val="VerbatimChar"/>
              </w:rPr>
              <w:t xml:space="preserve">withOrgAuth</w:t>
            </w:r>
            <w:r>
              <w:t xml:space="preserve"> </w:t>
            </w:r>
            <w:r>
              <w:t xml:space="preserve">+ filters + RLS forced against a non-owner role + composite FKs + CI tests</w:t>
            </w:r>
          </w:p>
        </w:tc>
        <w:tc>
          <w:tcPr/>
          <w:p>
            <w:pPr>
              <w:pStyle w:val="Compact"/>
            </w:pPr>
            <w:r>
              <w:t xml:space="preserve">Measured overhead exceeds 5 ms p95 — then narrow scope table-by-table, in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 Control plane</w:t>
            </w:r>
          </w:p>
        </w:tc>
        <w:tc>
          <w:tcPr/>
          <w:p>
            <w:pPr>
              <w:pStyle w:val="Compact"/>
            </w:pPr>
            <w:r>
              <w:t xml:space="preserve">Separate Platform DB for tenants, identity, plans, entitlements, usage, placement</w:t>
            </w:r>
          </w:p>
        </w:tc>
        <w:tc>
          <w:tcPr/>
          <w:p>
            <w:pPr>
              <w:pStyle w:val="Compact"/>
            </w:pPr>
            <w:r>
              <w:t xml:space="preserve">Foundational — do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 Tenant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AsyncLocalStorage</w:t>
            </w:r>
            <w:r>
              <w:t xml:space="preserve">, derived from membership, propagated via transaction-local</w:t>
            </w:r>
            <w:r>
              <w:t xml:space="preserve"> </w:t>
            </w:r>
            <w:r>
              <w:rPr>
                <w:rStyle w:val="VerbatimChar"/>
              </w:rPr>
              <w:t xml:space="preserve">set_config</w:t>
            </w:r>
            <w:r>
              <w:t xml:space="preserve">; jobs carry a NOT-NULL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ALS proves lossy — fall back to explicit context objects, RLS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 Prisma</w:t>
            </w:r>
          </w:p>
        </w:tc>
        <w:tc>
          <w:tcPr/>
          <w:p>
            <w:pPr>
              <w:pStyle w:val="Compact"/>
            </w:pPr>
            <w:r>
              <w:t xml:space="preserve">Keep it. One client</w:t>
            </w:r>
            <w:r>
              <w:t xml:space="preserve"> </w:t>
            </w:r>
            <w:r>
              <w:rPr>
                <w:b/>
                <w:bCs/>
              </w:rPr>
              <w:t xml:space="preserve">per placement</w:t>
            </w:r>
            <w:r>
              <w:t xml:space="preserve">, from a registry, wrapped in a</w:t>
            </w:r>
            <w:r>
              <w:t xml:space="preserve"> </w:t>
            </w:r>
            <w:r>
              <w:rPr>
                <w:rStyle w:val="VerbatimChar"/>
              </w:rPr>
              <w:t xml:space="preserve">$extends</w:t>
            </w:r>
            <w:r>
              <w:t xml:space="preserve"> </w:t>
            </w:r>
            <w:r>
              <w:t xml:space="preserve">scoping extension. Raw client not exported</w:t>
            </w:r>
          </w:p>
        </w:tc>
        <w:tc>
          <w:tcPr/>
          <w:p>
            <w:pPr>
              <w:pStyle w:val="Compact"/>
            </w:pPr>
            <w:r>
              <w:t xml:space="preserve">Prisma p99 overhead becomes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 Pooling</w:t>
            </w:r>
          </w:p>
        </w:tc>
        <w:tc>
          <w:tcPr/>
          <w:p>
            <w:pPr>
              <w:pStyle w:val="Compact"/>
            </w:pPr>
            <w:r>
              <w:t xml:space="preserve">Transaction-mode pooler; small app pool (3 serverless, 10–20 worker)</w:t>
            </w:r>
          </w:p>
        </w:tc>
        <w:tc>
          <w:tcPr/>
          <w:p>
            <w:pPr>
              <w:pStyle w:val="Compact"/>
            </w:pPr>
            <w:r>
              <w:t xml:space="preserve">Moving off serverless — but keep the transaction-local mechanism regardless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 Jobs</w:t>
            </w:r>
          </w:p>
        </w:tc>
        <w:tc>
          <w:tcPr/>
          <w:p>
            <w:pPr>
              <w:pStyle w:val="Compact"/>
            </w:pPr>
            <w:r>
              <w:t xml:space="preserve">Postgres queue with</w:t>
            </w:r>
            <w:r>
              <w:t xml:space="preserve"> </w:t>
            </w:r>
            <w:r>
              <w:rPr>
                <w:rStyle w:val="VerbatimChar"/>
              </w:rPr>
              <w:t xml:space="preserve">SKIP LOCKED</w:t>
            </w:r>
            <w:r>
              <w:t xml:space="preserve">, worked by a container.</w:t>
            </w:r>
            <w:r>
              <w:t xml:space="preserve"> </w:t>
            </w:r>
            <w:r>
              <w:rPr>
                <w:b/>
                <w:bCs/>
              </w:rPr>
              <w:t xml:space="preserve">Transactional enqueue removes the need for an outbox</w:t>
            </w:r>
          </w:p>
        </w:tc>
        <w:tc>
          <w:tcPr/>
          <w:p>
            <w:pPr>
              <w:pStyle w:val="Compact"/>
            </w:pPr>
            <w:r>
              <w:t xml:space="preserve">Sustained load &gt;~5,000 jobs/s, or queue IO measurably harms OLTP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 Caching</w:t>
            </w:r>
          </w:p>
        </w:tc>
        <w:tc>
          <w:tcPr/>
          <w:p>
            <w:pPr>
              <w:pStyle w:val="Compact"/>
            </w:pPr>
            <w:r>
              <w:t xml:space="preserve">Redis for rate limits and control-plane metadata only.</w:t>
            </w:r>
            <w:r>
              <w:t xml:space="preserve"> </w:t>
            </w:r>
            <w:r>
              <w:rPr>
                <w:b/>
                <w:bCs/>
              </w:rPr>
              <w:t xml:space="preserve">No financial data, ever</w:t>
            </w:r>
          </w:p>
        </w:tc>
        <w:tc>
          <w:tcPr/>
          <w:p>
            <w:pPr>
              <w:pStyle w:val="Compact"/>
            </w:pPr>
            <w:r>
              <w:t xml:space="preserve">Do not, for financial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 Object storage</w:t>
            </w:r>
          </w:p>
        </w:tc>
        <w:tc>
          <w:tcPr/>
          <w:p>
            <w:pPr>
              <w:pStyle w:val="Compact"/>
            </w:pPr>
            <w:r>
              <w:t xml:space="preserve">Tenant-prefixed keys, access only via org-scoped routes after a row read under RLS, short-lived signed URLs</w:t>
            </w:r>
          </w:p>
        </w:tc>
        <w:tc>
          <w:tcPr/>
          <w:p>
            <w:pPr>
              <w:pStyle w:val="Compact"/>
            </w:pPr>
            <w:r>
              <w:t xml:space="preserve">Storage exceeds ~1 TB — evaluate R2/S3 for egress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 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t xml:space="preserve">on every log line;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as a metric label (use</w:t>
            </w:r>
            <w:r>
              <w:t xml:space="preserve"> </w:t>
            </w:r>
            <w:r>
              <w:rPr>
                <w:rStyle w:val="VerbatimChar"/>
              </w:rPr>
              <w:t xml:space="preserve">tenant_tier</w:t>
            </w:r>
            <w:r>
              <w:t xml:space="preserve">); per-tenant aggregates as rows in Postgres</w:t>
            </w:r>
          </w:p>
        </w:tc>
        <w:tc>
          <w:tcPr/>
          <w:p>
            <w:pPr>
              <w:pStyle w:val="Compact"/>
            </w:pPr>
            <w:r>
              <w:t xml:space="preserve">A contractual SLA needs real-time per-tenant metrics — allow-list those 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 Deployment</w:t>
            </w:r>
          </w:p>
        </w:tc>
        <w:tc>
          <w:tcPr/>
          <w:p>
            <w:pPr>
              <w:pStyle w:val="Compact"/>
            </w:pPr>
            <w:r>
              <w:t xml:space="preserve">Vercel + Neon + one worker container. No Kubernetes</w:t>
            </w:r>
          </w:p>
        </w:tc>
        <w:tc>
          <w:tcPr/>
          <w:p>
            <w:pPr>
              <w:pStyle w:val="Compact"/>
            </w:pPr>
            <w:r>
              <w:t xml:space="preserve">Two or more §43.2 triggers fire — most likely India data residency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 Disaster recovery</w:t>
            </w:r>
          </w:p>
        </w:tc>
        <w:tc>
          <w:tcPr/>
          <w:p>
            <w:pPr>
              <w:pStyle w:val="Compact"/>
            </w:pPr>
            <w:r>
              <w:t xml:space="preserve">RPO ≤ 5 min via PITR; RTO ≤ 4 h;</w:t>
            </w:r>
            <w:r>
              <w:t xml:space="preserve"> </w:t>
            </w:r>
            <w:r>
              <w:rPr>
                <w:b/>
                <w:bCs/>
              </w:rPr>
              <w:t xml:space="preserve">single-tenant restore as a written, rehearsed script</w:t>
            </w:r>
            <w:r>
              <w:t xml:space="preserve">; quarterly rehearsals</w:t>
            </w:r>
          </w:p>
        </w:tc>
        <w:tc>
          <w:tcPr/>
          <w:p>
            <w:pPr>
              <w:pStyle w:val="Compact"/>
            </w:pPr>
            <w:r>
              <w:t xml:space="preserve">Enterprise contracts demand tighter RTO — that is a SILO conversation, and it should be priced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 Subscriptions</w:t>
            </w:r>
          </w:p>
        </w:tc>
        <w:tc>
          <w:tcPr/>
          <w:p>
            <w:pPr>
              <w:pStyle w:val="Compact"/>
            </w:pPr>
            <w:r>
              <w:t xml:space="preserve">Plan → Feature/Limit →</w:t>
            </w:r>
            <w:r>
              <w:t xml:space="preserve"> </w:t>
            </w:r>
            <w:r>
              <w:rPr>
                <w:b/>
                <w:bCs/>
              </w:rPr>
              <w:t xml:space="preserve">materialised Entitlement</w:t>
            </w:r>
            <w:r>
              <w:t xml:space="preserve">, with overrides, trials and metered usage.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if (plan === 'PRO')</w:t>
            </w:r>
          </w:p>
        </w:tc>
        <w:tc>
          <w:tcPr/>
          <w:p>
            <w:pPr>
              <w:pStyle w:val="Compact"/>
            </w:pPr>
            <w:r>
              <w:t xml:space="preserve">Foundational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 Monolith vs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Modular monolith + one worker.</w:t>
            </w:r>
            <w:r>
              <w:t xml:space="preserve"> </w:t>
            </w:r>
            <w:r>
              <w:t xml:space="preserve">Enforced in-process boundaries, no extraction in V1</w:t>
            </w:r>
          </w:p>
        </w:tc>
        <w:tc>
          <w:tcPr/>
          <w:p>
            <w:pPr>
              <w:pStyle w:val="Compact"/>
            </w:pPr>
            <w:r>
              <w:t xml:space="preserve">One module has a genuinely different scaling profile (OCR is likeliest), or the team exceeds ~15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ADR-015:</w:t>
      </w:r>
      <w:r>
        <w:t xml:space="preserve"> </w:t>
      </w:r>
      <w:r>
        <w:t xml:space="preserve">posting an invoice touches invoices, GL, stock, tax and audit</w:t>
      </w:r>
      <w:r>
        <w:t xml:space="preserve"> </w:t>
      </w:r>
      <w:r>
        <w:rPr>
          <w:b/>
          <w:bCs/>
        </w:rPr>
        <w:t xml:space="preserve">in one transaction</w:t>
      </w:r>
      <w:r>
        <w:t xml:space="preserve">. Splitting that across services replaces a database transaction with a distributed saga — eventual consistency where strong consistency is required. A team of 2–5 cannot operate a distributed system and ship an ERP.</w:t>
      </w:r>
    </w:p>
    <w:p>
      <w:r>
        <w:pict>
          <v:rect style="width:0;height:1.5pt" o:hralign="center" o:hrstd="t" o:hr="t"/>
        </w:pict>
      </w:r>
    </w:p>
    <w:bookmarkEnd w:id="21"/>
    <w:bookmarkStart w:id="22" w:name="top-risks"/>
    <w:p>
      <w:pPr>
        <w:pStyle w:val="Heading2"/>
      </w:pPr>
      <w:r>
        <w:t xml:space="preserve">6. Top risks</w:t>
      </w:r>
    </w:p>
    <w:p>
      <w:pPr>
        <w:pStyle w:val="FirstParagraph"/>
      </w:pPr>
      <w:r>
        <w:t xml:space="preserve">Ranked by severity × likelihood on the current trajectory. Full list of 20 in §61.1; 30 architectural red flags in §61.2.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Cross-tenant data leak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 without RLS</w:t>
            </w:r>
          </w:p>
        </w:tc>
        <w:tc>
          <w:tcPr/>
          <w:p>
            <w:pPr>
              <w:pStyle w:val="Compact"/>
            </w:pPr>
            <w:r>
              <w:t xml:space="preserve">RLS + composite FKs + isolation matrix + CI schema test + 404-not-403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Restore fails when needed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 —</w:t>
            </w:r>
            <w:r>
              <w:t xml:space="preserve"> </w:t>
            </w:r>
            <w:r>
              <w:rPr>
                <w:b/>
                <w:bCs/>
              </w:rPr>
              <w:t xml:space="preserve">never tested</w:t>
            </w:r>
          </w:p>
        </w:tc>
        <w:tc>
          <w:tcPr/>
          <w:p>
            <w:pPr>
              <w:pStyle w:val="Compact"/>
            </w:pPr>
            <w:r>
              <w:t xml:space="preserve">Automated restore verification + quarterly rehearsal + immutable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 migration destroys data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Expand/contract enforced in CI + pre-migration snapshot + production-only guard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inconsistency</w:t>
            </w:r>
            <w:r>
              <w:t xml:space="preserve"> </w:t>
            </w:r>
            <w:r>
              <w:t xml:space="preserve">— unbalanced books, duplicate posting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Balance constraints + immutability trigger + idempotency + nightly reconciliation 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job runs in the wrong tenant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tenant_scope_required</w:t>
            </w:r>
            <w:r>
              <w:t xml:space="preserve"> </w:t>
            </w:r>
            <w:r>
              <w:t xml:space="preserve">CHECK + assertion + isolation matrix row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Platform DB is a SPOF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Stale-while-error cache + degraded mode + HA at Stage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Connection exhaustion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without a pooler</w:t>
            </w:r>
          </w:p>
        </w:tc>
        <w:tc>
          <w:tcPr/>
          <w:p>
            <w:pPr>
              <w:pStyle w:val="Compact"/>
            </w:pPr>
            <w:r>
              <w:t xml:space="preserve">Transaction pooler + small pools + workers off serverless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Noisy neighbour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Rate limits + queue isolation + in-flight caps + timeouts + 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Cannot charge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Certain today</w:t>
            </w:r>
          </w:p>
        </w:tc>
        <w:tc>
          <w:tcPr/>
          <w:p>
            <w:pPr>
              <w:pStyle w:val="Compact"/>
            </w:pPr>
            <w:r>
              <w:t xml:space="preserve">Subscription + entitlements before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Reports time out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Tiering + async jobs + summary tables + replica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/</w:t>
            </w:r>
            <w:r>
              <w:rPr>
                <w:rStyle w:val="VerbatimChar"/>
              </w:rPr>
              <w:t xml:space="preserve">VoucherType</w:t>
            </w:r>
            <w:r>
              <w:t xml:space="preserve">/</w:t>
            </w:r>
            <w:r>
              <w:rPr>
                <w:rStyle w:val="VerbatimChar"/>
              </w:rPr>
              <w:t xml:space="preserve">UnitOfMeasure</w:t>
            </w:r>
            <w:r>
              <w:t xml:space="preserve"> </w:t>
            </w:r>
            <w:r>
              <w:t xml:space="preserve">collision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Certain — present today</w:t>
            </w:r>
          </w:p>
        </w:tc>
        <w:tc>
          <w:tcPr/>
          <w:p>
            <w:pPr>
              <w:pStyle w:val="Compact"/>
            </w:pPr>
            <w:r>
              <w:t xml:space="preserve">System-vs-tenant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Previews share production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Certain — present today</w:t>
            </w:r>
          </w:p>
        </w:tc>
        <w:tc>
          <w:tcPr/>
          <w:p>
            <w:pPr>
              <w:pStyle w:val="Compact"/>
            </w:pPr>
            <w:r>
              <w:t xml:space="preserve">Per-PR database branches</w:t>
            </w:r>
          </w:p>
        </w:tc>
      </w:tr>
    </w:tbl>
    <w:p>
      <w:pPr>
        <w:pStyle w:val="BodyText"/>
      </w:pPr>
      <w:r>
        <w:t xml:space="preserve">A representative few of the red flags, with today’s status: money as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rPr>
          <w:i/>
          <w:iCs/>
        </w:rPr>
        <w:t xml:space="preserve">(absent ✅)</w:t>
      </w:r>
      <w:r>
        <w:t xml:space="preserve">;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taken from a request parameter</w:t>
      </w:r>
      <w:r>
        <w:t xml:space="preserve"> </w:t>
      </w:r>
      <w:r>
        <w:rPr>
          <w:i/>
          <w:iCs/>
        </w:rPr>
        <w:t xml:space="preserve">(absent ✅)</w:t>
      </w:r>
      <w:r>
        <w:t xml:space="preserve">;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cached in a JWT and trusted</w:t>
      </w:r>
      <w:r>
        <w:t xml:space="preserve"> </w:t>
      </w:r>
      <w:r>
        <w:rPr>
          <w:i/>
          <w:iCs/>
        </w:rPr>
        <w:t xml:space="preserve">(absent ✅)</w:t>
      </w:r>
      <w:r>
        <w:t xml:space="preserve">; a global table tenants can write to</w:t>
      </w:r>
      <w:r>
        <w:t xml:space="preserve"> </w:t>
      </w:r>
      <w:r>
        <w:rPr>
          <w:b/>
          <w:bCs/>
        </w:rPr>
        <w:t xml:space="preserve">(present — §2.6)</w:t>
      </w:r>
      <w:r>
        <w:t xml:space="preserve">; a child table with no tenant column</w:t>
      </w:r>
      <w:r>
        <w:t xml:space="preserve"> </w:t>
      </w:r>
      <w:r>
        <w:rPr>
          <w:b/>
          <w:bCs/>
        </w:rPr>
        <w:t xml:space="preserve">(present — 22 tables)</w:t>
      </w:r>
      <w:r>
        <w:t xml:space="preserve">; a financial write endpoint with no idempotency key</w:t>
      </w:r>
      <w:r>
        <w:t xml:space="preserve"> </w:t>
      </w:r>
      <w:r>
        <w:rPr>
          <w:b/>
          <w:bCs/>
        </w:rPr>
        <w:t xml:space="preserve">(present — all of them)</w:t>
      </w:r>
      <w:r>
        <w:t xml:space="preserve">; a status column with no enum and no check constraint</w:t>
      </w:r>
      <w:r>
        <w:t xml:space="preserve"> </w:t>
      </w:r>
      <w:r>
        <w:rPr>
          <w:b/>
          <w:bCs/>
        </w:rPr>
        <w:t xml:space="preserve">(present — 0 enums)</w:t>
      </w:r>
      <w:r>
        <w:t xml:space="preserve">; a backup never restored</w:t>
      </w:r>
      <w:r>
        <w:t xml:space="preserve"> </w:t>
      </w:r>
      <w:r>
        <w:rPr>
          <w:b/>
          <w:bCs/>
        </w:rPr>
        <w:t xml:space="preserve">(present)</w:t>
      </w:r>
      <w:r>
        <w:t xml:space="preserve">; a preview environment pointed at the production database</w:t>
      </w:r>
      <w:r>
        <w:t xml:space="preserve"> </w:t>
      </w:r>
      <w:r>
        <w:rPr>
          <w:b/>
          <w:bCs/>
        </w:rPr>
        <w:t xml:space="preserve">(present)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the-order-of-work"/>
    <w:p>
      <w:pPr>
        <w:pStyle w:val="Heading2"/>
      </w:pPr>
      <w:r>
        <w:t xml:space="preserve">7. The order of work</w:t>
      </w:r>
    </w:p>
    <w:p>
      <w:pPr>
        <w:pStyle w:val="FirstParagraph"/>
      </w:pPr>
      <w:r>
        <w:rPr>
          <w:b/>
          <w:bCs/>
        </w:rPr>
        <w:t xml:space="preserve">[ASSUMPTION]</w:t>
      </w:r>
      <w:r>
        <w:t xml:space="preserve"> </w:t>
      </w:r>
      <w:r>
        <w:t xml:space="preserve">2–3 engineers. Nothing starts before this is reviewed and approved. Phase detail — deliverables, dependencies, rollback, gates — is in §64.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What it delivers</w:t>
            </w:r>
          </w:p>
        </w:tc>
        <w:tc>
          <w:tcPr/>
          <w:p>
            <w:pPr>
              <w:pStyle w:val="Compact"/>
            </w:pPr>
            <w:r>
              <w:t xml:space="preserve">Blocks launch?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Foundation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Approved ADRs; structural CI tests;</w:t>
            </w:r>
            <w:r>
              <w:t xml:space="preserve"> </w:t>
            </w:r>
            <w:r>
              <w:rPr>
                <w:rStyle w:val="VerbatimChar"/>
              </w:rPr>
              <w:t xml:space="preserve">statement_timeout</w:t>
            </w:r>
            <w:r>
              <w:t xml:space="preserve">/</w:t>
            </w:r>
            <w:r>
              <w:rPr>
                <w:rStyle w:val="VerbatimChar"/>
              </w:rPr>
              <w:t xml:space="preserve">lock_timeout</w:t>
            </w:r>
            <w:r>
              <w:t xml:space="preserve">/</w:t>
            </w:r>
            <w:r>
              <w:rPr>
                <w:rStyle w:val="VerbatimChar"/>
              </w:rPr>
              <w:t xml:space="preserve">idle_in_transaction_session_timeout</w:t>
            </w:r>
            <w:r>
              <w:t xml:space="preserve">; wraparound alert; secret scanning;</w:t>
            </w:r>
            <w:r>
              <w:t xml:space="preserve"> </w:t>
            </w:r>
            <w:r>
              <w:rPr>
                <w:b/>
                <w:bCs/>
              </w:rPr>
              <w:t xml:space="preserve">per-PR preview databases (fixes risk 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Tenant data completeness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organizationId</w:t>
            </w:r>
            <w:r>
              <w:t xml:space="preserve"> </w:t>
            </w:r>
            <w:r>
              <w:t xml:space="preserve">backfilled on 22 tables via expand/contract; composite FKs</w:t>
            </w:r>
            <w:r>
              <w:t xml:space="preserve"> </w:t>
            </w:r>
            <w:r>
              <w:rPr>
                <w:rStyle w:val="VerbatimChar"/>
              </w:rPr>
              <w:t xml:space="preserve">(organizationId, parentId)</w:t>
            </w:r>
            <w:r>
              <w:t xml:space="preserve">; org-leading indexes;</w:t>
            </w:r>
            <w:r>
              <w:t xml:space="preserve"> </w:t>
            </w:r>
            <w:r>
              <w:rPr>
                <w:b/>
                <w:bCs/>
              </w:rPr>
              <w:t xml:space="preserve">system-vs-tenant split (fixes risk 11)</w:t>
            </w:r>
            <w:r>
              <w:t xml:space="preserve">; schema conformance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Control plane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accubook_platform</w:t>
            </w:r>
            <w:r>
              <w:t xml:space="preserve"> </w:t>
            </w:r>
            <w:r>
              <w:t xml:space="preserve">DB; Tenant/Membership/Placement/MigrationState/SupportGrant; identity migrated out;</w:t>
            </w:r>
            <w:r>
              <w:t xml:space="preserve"> </w:t>
            </w:r>
            <w:r>
              <w:rPr>
                <w:rStyle w:val="VerbatimChar"/>
              </w:rPr>
              <w:t xml:space="preserve">tenant_placement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POOL-01</w:t>
            </w:r>
            <w:r>
              <w:t xml:space="preserve">; client registry; stale-while-error cache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Authorization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Tenant status gate; branch scope; 404-not-403 uniformly; permission-map completeness test; break-glass flow; admin plane separated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RLS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app_tenant</w:t>
            </w:r>
            <w:r>
              <w:t xml:space="preserve">/</w:t>
            </w:r>
            <w:r>
              <w:rPr>
                <w:rStyle w:val="VerbatimChar"/>
              </w:rPr>
              <w:t xml:space="preserve">app_platform</w:t>
            </w:r>
            <w:r>
              <w:t xml:space="preserve">/</w:t>
            </w:r>
            <w:r>
              <w:rPr>
                <w:rStyle w:val="VerbatimChar"/>
              </w:rPr>
              <w:t xml:space="preserve">app_report</w:t>
            </w:r>
            <w:r>
              <w:t xml:space="preserve">/</w:t>
            </w:r>
            <w:r>
              <w:rPr>
                <w:rStyle w:val="VerbatimChar"/>
              </w:rPr>
              <w:t xml:space="preserve">app_admin_support</w:t>
            </w:r>
            <w:r>
              <w:t xml:space="preserve"> </w:t>
            </w:r>
            <w:r>
              <w:t xml:space="preserve">roles; Prisma scoping extension; RLS rolled out per table behind flags;</w:t>
            </w:r>
            <w:r>
              <w:t xml:space="preserve"> </w:t>
            </w:r>
            <w:r>
              <w:rPr>
                <w:b/>
                <w:bCs/>
              </w:rPr>
              <w:t xml:space="preserve">the 28-row isolation matrix</w:t>
            </w:r>
            <w:r>
              <w:t xml:space="preserve">; overhead measured against the ≤5 ms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Jobs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table with</w:t>
            </w:r>
            <w:r>
              <w:t xml:space="preserve"> </w:t>
            </w:r>
            <w:r>
              <w:rPr>
                <w:rStyle w:val="VerbatimChar"/>
              </w:rPr>
              <w:t xml:space="preserve">tenant_scope_required</w:t>
            </w:r>
            <w:r>
              <w:t xml:space="preserve">; worker container; queue separation; per-tenant in-flight cap; retries, backoff, DLQ; crons converted to per-tenant enqueue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Commercial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Plan/Feature/Limit/Subscription/Entitlement/Usage/Billing; entitlement gate in</w:t>
            </w:r>
            <w:r>
              <w:t xml:space="preserve"> </w:t>
            </w:r>
            <w:r>
              <w:rPr>
                <w:rStyle w:val="VerbatimChar"/>
              </w:rPr>
              <w:t xml:space="preserve">withOrgAuth</w:t>
            </w:r>
            <w:r>
              <w:t xml:space="preserve">; usage metered transactionally;</w:t>
            </w:r>
            <w:r>
              <w:t xml:space="preserve"> </w:t>
            </w:r>
            <w:r>
              <w:rPr>
                <w:b/>
                <w:bCs/>
              </w:rPr>
              <w:t xml:space="preserve">hard OCR and storage caps</w:t>
            </w:r>
            <w:r>
              <w:t xml:space="preserve">; Razorpay with verified deduplicated webhooks; trial/upgrade/downgrade/dunning</w:t>
            </w:r>
            <w:r>
              <w:t xml:space="preserve"> </w:t>
            </w:r>
            <w:r>
              <w:rPr>
                <w:b/>
                <w:bCs/>
              </w:rPr>
              <w:t xml:space="preserve">(fixes risk 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Reporting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T1/T2/T3 tiering; async reports → object storage → signed URL; summary tables maintained in the posting transaction + nightly reconciliation alarm; async exports and imports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Observability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</w:t>
            </w:r>
            <w:r>
              <w:t xml:space="preserve">/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t xml:space="preserve">on every line and span; alert set with runbooks; per-tenant aggregate metrics; tenant health score; on-call rotation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Backup/restore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PITR verified on both DBs; immutable separately-credentialed backup storage; weekly automated restore verification;</w:t>
            </w:r>
            <w:r>
              <w:t xml:space="preserve"> </w:t>
            </w:r>
            <w:r>
              <w:rPr>
                <w:b/>
                <w:bCs/>
              </w:rPr>
              <w:t xml:space="preserve">the single-tenant restore script</w:t>
            </w:r>
            <w:r>
              <w:t xml:space="preserve">; rehearsed full-restore runbook</w:t>
            </w:r>
            <w:r>
              <w:t xml:space="preserve"> </w:t>
            </w:r>
            <w:r>
              <w:rPr>
                <w:b/>
                <w:bCs/>
              </w:rPr>
              <w:t xml:space="preserve">(fixes risk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Disaster recovery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DR playbook; degraded mode implemented and tested; four manual chaos experiments; incident response with named owners; status page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Load testing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k6 suite; production-shaped staging data;</w:t>
            </w:r>
            <w:r>
              <w:t xml:space="preserve"> </w:t>
            </w:r>
            <w:r>
              <w:rPr>
                <w:b/>
                <w:bCs/>
              </w:rPr>
              <w:t xml:space="preserve">the noisy-neighbour test</w:t>
            </w:r>
            <w:r>
              <w:t xml:space="preserve">; documented breaking points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Hardening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CSP enforced; malware scanning; magic-byte validation; pen test scoped to include multi-tenant isolation; data classification register; DPDP legal review; DPA and sub-processor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~22–28 weeks</w:t>
            </w:r>
          </w:p>
        </w:tc>
        <w:tc>
          <w:tcPr/>
          <w:p>
            <w:pPr>
              <w:pStyle w:val="Compact"/>
            </w:pPr>
            <w:r>
              <w:t xml:space="preserve">with some parallelism (6 runs alongside 3–5; 7 alongside 8; 9 alongside 10)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[JUDGEMENT]</w:t>
      </w:r>
      <w:r>
        <w:t xml:space="preserve"> </w:t>
      </w:r>
      <w:r>
        <w:t xml:space="preserve">Five to seven months to a defensible V1 for a small team, on top of a codebase that is already substantially complete. Phase 4 carries the highest execution risk in the programme — a mistake returns zero rows, or far worse, the wrong rows; matrix rows 19–21 must be green before any high-traffic table is enabled.</w:t>
      </w:r>
      <w:r>
        <w:t xml:space="preserve"> </w:t>
      </w:r>
      <w:r>
        <w:rPr>
          <w:b/>
          <w:bCs/>
        </w:rPr>
        <w:t xml:space="preserve">Do not launch without Phase 9.</w:t>
      </w:r>
    </w:p>
    <w:p>
      <w:pPr>
        <w:pStyle w:val="BodyText"/>
      </w:pPr>
      <w:r>
        <w:t xml:space="preserve">If the schedule must be compressed, cut in this order: Phase 11 (do it after launch, at low volume), then Phase 10 (write the playbook, defer the automation), then parts of Phase 8.</w:t>
      </w:r>
      <w:r>
        <w:t xml:space="preserve"> </w:t>
      </w:r>
      <w:r>
        <w:rPr>
          <w:b/>
          <w:bCs/>
        </w:rPr>
        <w:t xml:space="preserve">Phases 1, 4 and 9 cannot be cut</w:t>
      </w:r>
      <w:r>
        <w:t xml:space="preserve"> </w:t>
      </w:r>
      <w:r>
        <w:t xml:space="preserve">— they are isolation, isolation, and the ability to recover from your own mistakes.</w:t>
      </w:r>
    </w:p>
    <w:p>
      <w:r>
        <w:pict>
          <v:rect style="width:0;height:1.5pt" o:hralign="center" o:hrstd="t" o:hr="t"/>
        </w:pict>
      </w:r>
    </w:p>
    <w:bookmarkEnd w:id="23"/>
    <w:bookmarkStart w:id="24" w:name="start-here-the-first-fortnight"/>
    <w:p>
      <w:pPr>
        <w:pStyle w:val="Heading2"/>
      </w:pPr>
      <w:r>
        <w:t xml:space="preserve">8. Start here — the first fortnight</w:t>
      </w:r>
    </w:p>
    <w:p>
      <w:pPr>
        <w:pStyle w:val="FirstParagraph"/>
      </w:pPr>
      <w:r>
        <w:t xml:space="preserve">Highest value per unit of effort. None of it depends on approving the rest of the architecture.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statement_timeout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lock_timeout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idle_in_transaction_session_timeout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Give preview deployments their own database branch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Extend rate limiting to sign-in and password reset (only register is limited today)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 test: every org route is wrapped in</w:t>
            </w:r>
            <w:r>
              <w:t xml:space="preserve"> </w:t>
            </w:r>
            <w:r>
              <w:rPr>
                <w:rStyle w:val="VerbatimChar"/>
              </w:rPr>
              <w:t xml:space="preserve">withOrgAuth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Transaction-ID wraparound + backup-age alerts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Secret scanning in CI and pre-commit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organizationId</w:t>
            </w:r>
            <w:r>
              <w:t xml:space="preserve"> </w:t>
            </w:r>
            <w:r>
              <w:t xml:space="preserve">indexes on the three tables missing them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Write — do not yet run — the single-tenant extraction script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Immutability trigger on posted vouchers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Nightly trial-balance reconciliation alarm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[JUDGEMENT]</w:t>
      </w:r>
      <w:r>
        <w:t xml:space="preserve"> </w:t>
      </w:r>
      <w:r>
        <w:t xml:space="preserve">Items 1, 2, 3 and 10 together are under a week and remove four of the twenty risks.</w:t>
      </w:r>
    </w:p>
    <w:p>
      <w:r>
        <w:pict>
          <v:rect style="width:0;height:1.5pt" o:hralign="center" o:hrstd="t" o:hr="t"/>
        </w:pict>
      </w:r>
    </w:p>
    <w:bookmarkEnd w:id="24"/>
    <w:bookmarkStart w:id="25" w:name="what-i-need-from-you"/>
    <w:p>
      <w:pPr>
        <w:pStyle w:val="Heading2"/>
      </w:pPr>
      <w:r>
        <w:t xml:space="preserve">9. What I need from you</w:t>
      </w:r>
    </w:p>
    <w:p>
      <w:pPr>
        <w:pStyle w:val="FirstParagraph"/>
      </w:pPr>
      <w:r>
        <w:t xml:space="preserve">These change the answers above, and several are on the critical path.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 tiers and prices?</w:t>
      </w:r>
      <w:r>
        <w:t xml:space="preserve"> </w:t>
      </w:r>
      <w:r>
        <w:t xml:space="preserve">§23.3 is my assumption and it drives the whole entitlement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Realistic 12-month tenant target?</w:t>
      </w:r>
      <w:r>
        <w:t xml:space="preserve"> </w:t>
      </w:r>
      <w:r>
        <w:t xml:space="preserve">If it is 500 rather than 5,000, Phases 7, 8 and 11 can be deferred.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 mix — many micro-businesses, or fewer larger ones?</w:t>
      </w:r>
      <w:r>
        <w:t xml:space="preserve"> </w:t>
      </w:r>
      <w:r>
        <w:t xml:space="preserve">This changes capacity planning more than tenant count does.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Any named enterprise prospect requiring data isolation?</w:t>
      </w:r>
      <w:r>
        <w:t xml:space="preserve"> </w:t>
      </w:r>
      <w:r>
        <w:t xml:space="preserve">If so, BRIDGE moves up the roadmap.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Has any customer asked for data-in-India?</w:t>
      </w:r>
      <w:r>
        <w:t xml:space="preserve"> </w:t>
      </w:r>
      <w:r>
        <w:t xml:space="preserve">The most likely trigger for moving off the current platform.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many engineers over the next 12 months?</w:t>
      </w:r>
      <w:r>
        <w:t xml:space="preserve"> </w:t>
      </w:r>
      <w:r>
        <w:t xml:space="preserve">The roadmap assumes 2–3.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 owns which modules?</w:t>
      </w:r>
      <w:r>
        <w:t xml:space="preserve"> </w:t>
      </w:r>
      <w:r>
        <w:t xml:space="preserve">Module boundaries work best when they match ownership.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 Indian counsel engaged for DPDP and the retention/erasure conflict?</w:t>
      </w:r>
      <w:r>
        <w:t xml:space="preserve"> </w:t>
      </w:r>
      <w:r>
        <w:t xml:space="preserve">On the critical path for launch.</w:t>
      </w:r>
    </w:p>
    <w:p>
      <w:r>
        <w:pict>
          <v:rect style="width:0;height:1.5pt" o:hralign="center" o:hrstd="t" o:hr="t"/>
        </w:pict>
      </w:r>
    </w:p>
    <w:bookmarkEnd w:id="25"/>
    <w:bookmarkStart w:id="26" w:name="notes-on-this-document"/>
    <w:p>
      <w:pPr>
        <w:pStyle w:val="Heading2"/>
      </w:pPr>
      <w:r>
        <w:t xml:space="preserve">Notes on this document</w:t>
      </w:r>
    </w:p>
    <w:p>
      <w:pPr>
        <w:pStyle w:val="FirstParagraph"/>
      </w:pPr>
      <w:r>
        <w:t xml:space="preserve">Diagrams are Mermaid: they render natively in the Markdown edition (GitHub, GitLab, VS Code, Obsidian, Typora). In the Word edition they appear as source text — run</w:t>
      </w:r>
      <w:r>
        <w:t xml:space="preserve"> </w:t>
      </w:r>
      <w:r>
        <w:rPr>
          <w:rStyle w:val="VerbatimChar"/>
        </w:rPr>
        <w:t xml:space="preserve">npx mmdc -i docs/Architecture-Brief.md -o out.md</w:t>
      </w:r>
      <w:r>
        <w:t xml:space="preserve"> </w:t>
      </w:r>
      <w:r>
        <w:t xml:space="preserve">for images.</w:t>
      </w:r>
    </w:p>
    <w:p>
      <w:pPr>
        <w:pStyle w:val="BodyText"/>
      </w:pPr>
      <w:r>
        <w:rPr>
          <w:b/>
          <w:bCs/>
        </w:rPr>
        <w:t xml:space="preserve">Legal notice.</w:t>
      </w:r>
      <w:r>
        <w:t xml:space="preserve"> </w:t>
      </w:r>
      <w:r>
        <w:t xml:space="preserve">Regulatory content here describes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, not law. Nothing is legal advice. Every compliance obligation named must be confirmed with Indian counsel and, for GST/TDS specifics, with a practising CA.</w:t>
      </w:r>
    </w:p>
    <w:p>
      <w:pPr>
        <w:pStyle w:val="BodyText"/>
      </w:pPr>
      <w:r>
        <w:t xml:space="preserve">Every</w:t>
      </w:r>
      <w:r>
        <w:t xml:space="preserve"> </w:t>
      </w:r>
      <w:r>
        <w:rPr>
          <w:b/>
          <w:bCs/>
        </w:rPr>
        <w:t xml:space="preserve">[VENDOR-CHECK]</w:t>
      </w:r>
      <w:r>
        <w:t xml:space="preserve"> </w:t>
      </w:r>
      <w:r>
        <w:t xml:space="preserve">fact — Neon compute and connection limits, Vercel function and cron limits, Upstash limits, Razorpay behaviour, AWS</w:t>
      </w:r>
      <w:r>
        <w:t xml:space="preserve"> </w:t>
      </w:r>
      <w:r>
        <w:rPr>
          <w:rStyle w:val="VerbatimChar"/>
        </w:rPr>
        <w:t xml:space="preserve">ap-south-1</w:t>
      </w:r>
      <w:r>
        <w:t xml:space="preserve"> </w:t>
      </w:r>
      <w:r>
        <w:t xml:space="preserve">availability, GST and TDS schemas — is stated from knowledge current to</w:t>
      </w:r>
      <w:r>
        <w:t xml:space="preserve"> </w:t>
      </w:r>
      <w:r>
        <w:rPr>
          <w:b/>
          <w:bCs/>
        </w:rPr>
        <w:t xml:space="preserve">May 2026</w:t>
      </w:r>
      <w:r>
        <w:t xml:space="preserve"> </w:t>
      </w:r>
      <w:r>
        <w:t xml:space="preserve">and must be re-verified against the official sources listed in §0.3 before it becomes a purchase order or a capacity plan.</w:t>
      </w:r>
    </w:p>
    <w:p>
      <w:pPr>
        <w:pStyle w:val="BodyText"/>
      </w:pPr>
      <w:r>
        <w:rPr>
          <w:i/>
          <w:iCs/>
        </w:rPr>
        <w:t xml:space="preserve">Prepared 26 August 2026 against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f371d13</w:t>
      </w:r>
      <w:r>
        <w:rPr>
          <w:i/>
          <w:iCs/>
        </w:rPr>
        <w:t xml:space="preserve">. Repository measurements are reproducible with the commands in §2.1. No repository changes have been made.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AccuBook — Architecture Brief</dc:title>
  <dc:creator>Architecture review — prepared for Sudipto Mitra</dc:creator>
  <cp:keywords/>
  <dcterms:created xsi:type="dcterms:W3CDTF">2026-08-26T09:02:15Z</dcterms:created>
  <dcterms:modified xsi:type="dcterms:W3CDTF">2026-08-26T09:02:15Z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August 2026</vt:lpwstr>
  </property>
  <property fmtid="{D5CDD505-2E9C-101B-9397-08002B2CF9AE}" pid="3" name="subtitle">
    <vt:lpwstr>The decision, the gaps, and the order of work (V1 → 100,000 tenants)</vt:lpwstr>
  </property>
</Properties>
</file>