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Override PartName="/word/media/rId38.png" ContentType="image/png"/>
  <Override PartName="/word/media/rId42.png" ContentType="image/png"/>
  <Override PartName="/word/media/rId48.png" ContentType="image/png"/>
  <Override PartName="/word/media/rId53.png" ContentType="image/png"/>
  <Override PartName="/word/media/rId59.png" ContentType="image/png"/>
  <Override PartName="/word/media/rId63.png" ContentType="image/png"/>
  <Override PartName="/word/media/rId68.png" ContentType="image/png"/>
  <Override PartName="/word/media/rId76.png" ContentType="image/png"/>
  <Override PartName="/word/media/rId81.png" ContentType="image/png"/>
  <Override PartName="/word/media/rId85.png" ContentType="image/png"/>
  <Override PartName="/word/media/rId89.png" ContentType="image/png"/>
  <Override PartName="/word/media/rId101.png" ContentType="image/png"/>
  <Override PartName="/word/media/rId105.png" ContentType="image/png"/>
  <Override PartName="/word/media/rId109.png" ContentType="image/png"/>
  <Override PartName="/word/media/rId114.png" ContentType="image/png"/>
  <Override PartName="/word/media/rId118.png" ContentType="image/png"/>
  <Override PartName="/word/media/rId123.png" ContentType="image/png"/>
  <Override PartName="/word/media/rId127.png" ContentType="image/png"/>
  <Override PartName="/word/media/rId134.png" ContentType="image/png"/>
  <Override PartName="/word/media/rId140.png" ContentType="image/png"/>
  <Override PartName="/word/media/rId148.png" ContentType="image/png"/>
  <Override PartName="/word/media/rId154.png" ContentType="image/png"/>
  <Override PartName="/word/media/rId160.png" ContentType="image/png"/>
  <Override PartName="/word/media/rId167.png" ContentType="image/png"/>
  <Override PartName="/word/media/rId172.png" ContentType="image/png"/>
  <Override PartName="/word/media/rId180.png" ContentType="image/png"/>
  <Override PartName="/word/media/rId189.png" ContentType="image/png"/>
  <Override PartName="/word/media/rId194.png" ContentType="image/png"/>
  <Override PartName="/word/media/rId200.png" ContentType="image/png"/>
  <Override PartName="/word/media/rId210.png" ContentType="image/png"/>
  <Override PartName="/word/media/rId219.png" ContentType="image/png"/>
  <Override PartName="/word/media/rId226.png" ContentType="image/png"/>
  <Override PartName="/word/media/rId229.png" ContentType="image/png"/>
  <Override PartName="/word/media/rId233.png" ContentType="image/png"/>
  <Override PartName="/word/media/rId237.png" ContentType="image/png"/>
  <Override PartName="/word/media/rId241.png" ContentType="image/png"/>
  <Override PartName="/word/media/rId245.png" ContentType="image/png"/>
  <Override PartName="/word/media/rId255.png" ContentType="image/png"/>
  <Override PartName="/word/media/rId262.png" ContentType="image/png"/>
  <Override PartName="/word/media/rId2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AccuBook — Multi-Tenant Architecture Design</w:t>
      </w:r>
    </w:p>
    <w:p>
      <w:pPr>
        <w:pStyle w:val="Subtitle"/>
      </w:pPr>
      <w:r>
        <w:t xml:space="preserve">The complete technical architecture for scaling 0 → 100,000 tenants</w:t>
      </w:r>
    </w:p>
    <w:p>
      <w:pPr>
        <w:pStyle w:val="Author"/>
      </w:pPr>
      <w:r>
        <w:t xml:space="preserve">Architecture Design — prepared for Sudipto Mitra</w:t>
      </w:r>
    </w:p>
    <w:p>
      <w:pPr>
        <w:pStyle w:val="Date"/>
      </w:pPr>
      <w:r>
        <w:t xml:space="preserve">26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 w:name="X9388a928a2e9f64d9f2e0b436678f8a05c61423"/>
    <w:p>
      <w:pPr>
        <w:pStyle w:val="Heading1"/>
      </w:pPr>
      <w:r>
        <w:t xml:space="preserve">AccuBook — Multi-Tenant Architecture Design</w:t>
      </w:r>
    </w:p>
    <w:bookmarkStart w:id="9" w:name="Xc55dc8726f4c5cb23951651dcbc14bcafca5fe2"/>
    <w:p>
      <w:pPr>
        <w:pStyle w:val="Heading2"/>
      </w:pPr>
      <w:r>
        <w:t xml:space="preserve">Scaling 0 → 100,000 tenants without a rewrite</w:t>
      </w:r>
    </w:p>
    <w:p>
      <w:pPr>
        <w:pStyle w:val="FirstParagraph"/>
      </w:pPr>
      <w:r>
        <w:rPr>
          <w:b/>
          <w:bCs/>
        </w:rPr>
        <w:t xml:space="preserve">Document type:</w:t>
      </w:r>
      <w:r>
        <w:t xml:space="preserve"> </w:t>
      </w:r>
      <w:r>
        <w:t xml:space="preserve">Architecture design. This is the</w:t>
      </w:r>
      <w:r>
        <w:t xml:space="preserve"> </w:t>
      </w:r>
      <w:r>
        <w:rPr>
          <w:i/>
          <w:iCs/>
        </w:rPr>
        <w:t xml:space="preserve">target design</w:t>
      </w:r>
      <w:r>
        <w:t xml:space="preserve"> </w:t>
      </w:r>
      <w:r>
        <w:t xml:space="preserve">— what to build and why. It is a companion to</w:t>
      </w:r>
      <w:r>
        <w:t xml:space="preserve"> </w:t>
      </w:r>
      <w:r>
        <w:rPr>
          <w:rStyle w:val="VerbatimChar"/>
        </w:rPr>
        <w:t xml:space="preserve">docs/Architecture.md</w:t>
      </w:r>
      <w:r>
        <w:t xml:space="preserve"> </w:t>
      </w:r>
      <w:r>
        <w:t xml:space="preserve">(the assessment: what exists today, what is wrong with it, in what order to fix it) and</w:t>
      </w:r>
      <w:r>
        <w:t xml:space="preserve"> </w:t>
      </w:r>
      <w:r>
        <w:rPr>
          <w:rStyle w:val="VerbatimChar"/>
        </w:rPr>
        <w:t xml:space="preserve">docs/Architecture-Brief.md</w:t>
      </w:r>
      <w:r>
        <w:t xml:space="preserve"> </w:t>
      </w:r>
      <w:r>
        <w:t xml:space="preserve">(the 12-page summary of that assessment). Where this document needs a finding from the assessment it cites it as</w:t>
      </w:r>
      <w:r>
        <w:t xml:space="preserve"> </w:t>
      </w:r>
      <w:r>
        <w:rPr>
          <w:b/>
          <w:bCs/>
        </w:rPr>
        <w:t xml:space="preserve">[A §n]</w:t>
      </w:r>
      <w:r>
        <w:t xml:space="preserve">.</w:t>
      </w:r>
    </w:p>
    <w:p>
      <w:pPr>
        <w:pStyle w:val="BodyText"/>
      </w:pPr>
      <w:r>
        <w:rPr>
          <w:b/>
          <w:bCs/>
        </w:rPr>
        <w:t xml:space="preserve">Reference systems studied:</w:t>
      </w:r>
      <w:r>
        <w:t xml:space="preserve"> </w:t>
      </w:r>
      <w:r>
        <w:t xml:space="preserve">Salesforce (Force.com/Lightning Platform), Zoho Books, TallyPrime on cloud. §2 states precisely what is taken from each and what is deliberately rejected.</w:t>
      </w:r>
    </w:p>
    <w:p>
      <w:pPr>
        <w:pStyle w:val="BodyText"/>
      </w:pPr>
      <w:r>
        <w:rPr>
          <w:b/>
          <w:bCs/>
        </w:rPr>
        <w:t xml:space="preserve">Measured against</w:t>
      </w:r>
      <w:r>
        <w:t xml:space="preserve"> </w:t>
      </w:r>
      <w:r>
        <w:t xml:space="preserve">commit</w:t>
      </w:r>
      <w:r>
        <w:t xml:space="preserve"> </w:t>
      </w:r>
      <w:r>
        <w:rPr>
          <w:rStyle w:val="VerbatimChar"/>
        </w:rPr>
        <w:t xml:space="preserve">f371d13</w:t>
      </w:r>
      <w:r>
        <w:t xml:space="preserve">, branch</w:t>
      </w:r>
      <w:r>
        <w:t xml:space="preserve"> </w:t>
      </w:r>
      <w:r>
        <w:rPr>
          <w:rStyle w:val="VerbatimChar"/>
        </w:rPr>
        <w:t xml:space="preserve">fix/hr-tenancy-batch-atomicity</w:t>
      </w:r>
      <w:r>
        <w:t xml:space="preserve">, 26 August 2026.</w:t>
      </w:r>
      <w:r>
        <w:t xml:space="preserve"> </w:t>
      </w:r>
      <w:r>
        <w:rPr>
          <w:b/>
          <w:bCs/>
        </w:rPr>
        <w:t xml:space="preserve">No repository changes have been made by this document.</w:t>
      </w:r>
    </w:p>
    <w:p>
      <w:r>
        <w:pict>
          <v:rect style="width:0;height:1.5pt" o:hralign="center" o:hrstd="t" o:hr="t"/>
        </w:pict>
      </w:r>
    </w:p>
    <w:bookmarkEnd w:id="9"/>
    <w:bookmarkStart w:id="14" w:name="how-to-read-this-document"/>
    <w:p>
      <w:pPr>
        <w:pStyle w:val="Heading2"/>
      </w:pPr>
      <w:r>
        <w:t xml:space="preserve">0. How to read this document</w:t>
      </w:r>
    </w:p>
    <w:bookmarkStart w:id="10" w:name="evidence-classes"/>
    <w:p>
      <w:pPr>
        <w:pStyle w:val="Heading3"/>
      </w:pPr>
      <w:r>
        <w:t xml:space="preserve">0.1 Evidence classes</w:t>
      </w:r>
    </w:p>
    <w:p>
      <w:pPr>
        <w:pStyle w:val="FirstParagraph"/>
      </w:pPr>
      <w:r>
        <w:t xml:space="preserve">Every factual claim carries a tag. This is not decoration — it tells you which claims you may act on directly and which you must re-verify before spending money.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Meaning</w:t>
            </w:r>
          </w:p>
        </w:tc>
      </w:tr>
      <w:tr>
        <w:tc>
          <w:tcPr/>
          <w:p>
            <w:pPr>
              <w:pStyle w:val="Compact"/>
            </w:pPr>
            <w:r>
              <w:rPr>
                <w:b/>
                <w:bCs/>
              </w:rPr>
              <w:t xml:space="preserve">[VERIFIED-REPO]</w:t>
            </w:r>
          </w:p>
        </w:tc>
        <w:tc>
          <w:tcPr/>
          <w:p>
            <w:pPr>
              <w:pStyle w:val="Compact"/>
            </w:pPr>
            <w:r>
              <w:t xml:space="preserve">Measured directly from this repository on 26 Aug 2026. The command is shown so you can re-run it.</w:t>
            </w:r>
          </w:p>
        </w:tc>
      </w:tr>
      <w:tr>
        <w:tc>
          <w:tcPr/>
          <w:p>
            <w:pPr>
              <w:pStyle w:val="Compact"/>
            </w:pPr>
            <w:r>
              <w:rPr>
                <w:b/>
                <w:bCs/>
              </w:rPr>
              <w:t xml:space="preserve">[VERIFIED-TEST]</w:t>
            </w:r>
          </w:p>
        </w:tc>
        <w:tc>
          <w:tcPr/>
          <w:p>
            <w:pPr>
              <w:pStyle w:val="Compact"/>
            </w:pPr>
            <w:r>
              <w:t xml:space="preserve">Observed by executing the code.</w:t>
            </w:r>
          </w:p>
        </w:tc>
      </w:tr>
      <w:tr>
        <w:tc>
          <w:tcPr/>
          <w:p>
            <w:pPr>
              <w:pStyle w:val="Compact"/>
            </w:pPr>
            <w:r>
              <w:rPr>
                <w:b/>
                <w:bCs/>
              </w:rPr>
              <w:t xml:space="preserve">[PATTERN]</w:t>
            </w:r>
          </w:p>
        </w:tc>
        <w:tc>
          <w:tcPr/>
          <w:p>
            <w:pPr>
              <w:pStyle w:val="Compact"/>
            </w:pPr>
            <w:r>
              <w:t xml:space="preserve">An established industry pattern, documented in multiple authoritative sources. Not vendor-specific.</w:t>
            </w:r>
          </w:p>
        </w:tc>
      </w:tr>
      <w:tr>
        <w:tc>
          <w:tcPr/>
          <w:p>
            <w:pPr>
              <w:pStyle w:val="Compact"/>
            </w:pPr>
            <w:r>
              <w:rPr>
                <w:b/>
                <w:bCs/>
              </w:rPr>
              <w:t xml:space="preserve">[VENDOR-CHECK]</w:t>
            </w:r>
          </w:p>
        </w:tc>
        <w:tc>
          <w:tcPr/>
          <w:p>
            <w:pPr>
              <w:pStyle w:val="Compact"/>
            </w:pPr>
            <w:r>
              <w:t xml:space="preserve">A vendor fact — a limit, a region, a price, a published architecture. Stated from knowledge current to</w:t>
            </w:r>
            <w:r>
              <w:t xml:space="preserve"> </w:t>
            </w:r>
            <w:r>
              <w:rPr>
                <w:b/>
                <w:bCs/>
              </w:rPr>
              <w:t xml:space="preserve">May 2026</w:t>
            </w:r>
            <w:r>
              <w:t xml:space="preserve"> </w:t>
            </w:r>
            <w:r>
              <w:t xml:space="preserve">and</w:t>
            </w:r>
            <w:r>
              <w:t xml:space="preserve"> </w:t>
            </w:r>
            <w:r>
              <w:rPr>
                <w:b/>
                <w:bCs/>
              </w:rPr>
              <w:t xml:space="preserve">must be re-verified</w:t>
            </w:r>
            <w:r>
              <w:t xml:space="preserve"> </w:t>
            </w:r>
            <w:r>
              <w:t xml:space="preserve">against the vendor’s own documentation before it becomes a commitment.</w:t>
            </w:r>
          </w:p>
        </w:tc>
      </w:tr>
      <w:tr>
        <w:tc>
          <w:tcPr/>
          <w:p>
            <w:pPr>
              <w:pStyle w:val="Compact"/>
            </w:pPr>
            <w:r>
              <w:rPr>
                <w:b/>
                <w:bCs/>
              </w:rPr>
              <w:t xml:space="preserve">[ASSUMPTION]</w:t>
            </w:r>
          </w:p>
        </w:tc>
        <w:tc>
          <w:tcPr/>
          <w:p>
            <w:pPr>
              <w:pStyle w:val="Compact"/>
            </w:pPr>
            <w:r>
              <w:t xml:space="preserve">An input I chose because it was not supplied. The value used is always stated. Change it and the conclusion may change.</w:t>
            </w:r>
          </w:p>
        </w:tc>
      </w:tr>
      <w:tr>
        <w:tc>
          <w:tcPr/>
          <w:p>
            <w:pPr>
              <w:pStyle w:val="Compact"/>
            </w:pPr>
            <w:r>
              <w:rPr>
                <w:b/>
                <w:bCs/>
              </w:rPr>
              <w:t xml:space="preserve">[JUDGEMENT]</w:t>
            </w:r>
          </w:p>
        </w:tc>
        <w:tc>
          <w:tcPr/>
          <w:p>
            <w:pPr>
              <w:pStyle w:val="Compact"/>
            </w:pPr>
            <w:r>
              <w:t xml:space="preserve">My recommendation. Reasoning is always given. You may disagree; the reasoning is there so that you can disagree productively.</w:t>
            </w:r>
          </w:p>
        </w:tc>
      </w:tr>
    </w:tbl>
    <w:p>
      <w:pPr>
        <w:pStyle w:val="BodyText"/>
      </w:pPr>
      <w:r>
        <w:t xml:space="preserve">Estimates are given as</w:t>
      </w:r>
      <w:r>
        <w:t xml:space="preserve"> </w:t>
      </w:r>
      <w:r>
        <w:rPr>
          <w:b/>
          <w:bCs/>
        </w:rPr>
        <w:t xml:space="preserve">ranges</w:t>
      </w:r>
      <w:r>
        <w:t xml:space="preserve">. There are no invented precise figures in this document.</w:t>
      </w:r>
    </w:p>
    <w:bookmarkEnd w:id="10"/>
    <w:bookmarkStart w:id="11" w:name="diagram-conventions"/>
    <w:p>
      <w:pPr>
        <w:pStyle w:val="Heading3"/>
      </w:pPr>
      <w:r>
        <w:t xml:space="preserve">0.2 Diagram conventions</w:t>
      </w:r>
    </w:p>
    <w:p>
      <w:pPr>
        <w:pStyle w:val="FirstParagraph"/>
      </w:pPr>
      <w:r>
        <w:t xml:space="preserve">All diagrams are Mermaid. In the Markdown edition they render natively in GitHub, GitLab, VS Code, Obsidian and Typora. In the Word edition Mermaid has no renderer and the diagram appears as source text — every diagram is therefore also written so that its source reads as an indented outline. To generate images:</w:t>
      </w:r>
    </w:p>
    <w:p>
      <w:pPr>
        <w:pStyle w:val="SourceCode"/>
      </w:pPr>
      <w:r>
        <w:rPr>
          <w:rStyle w:val="ExtensionTok"/>
        </w:rPr>
        <w:t xml:space="preserve">npm</w:t>
      </w:r>
      <w:r>
        <w:rPr>
          <w:rStyle w:val="NormalTok"/>
        </w:rPr>
        <w:t xml:space="preserve"> i </w:t>
      </w:r>
      <w:r>
        <w:rPr>
          <w:rStyle w:val="AttributeTok"/>
        </w:rPr>
        <w:t xml:space="preserve">-D</w:t>
      </w:r>
      <w:r>
        <w:rPr>
          <w:rStyle w:val="NormalTok"/>
        </w:rPr>
        <w:t xml:space="preserve"> @mermaid-js/mermaid-cli</w:t>
      </w:r>
      <w:r>
        <w:br/>
      </w:r>
      <w:r>
        <w:rPr>
          <w:rStyle w:val="ExtensionTok"/>
        </w:rPr>
        <w:t xml:space="preserve">npx</w:t>
      </w:r>
      <w:r>
        <w:rPr>
          <w:rStyle w:val="NormalTok"/>
        </w:rPr>
        <w:t xml:space="preserve"> mmdc </w:t>
      </w:r>
      <w:r>
        <w:rPr>
          <w:rStyle w:val="AttributeTok"/>
        </w:rPr>
        <w:t xml:space="preserve">-i</w:t>
      </w:r>
      <w:r>
        <w:rPr>
          <w:rStyle w:val="NormalTok"/>
        </w:rPr>
        <w:t xml:space="preserve"> docs/Architecture-Design.md </w:t>
      </w:r>
      <w:r>
        <w:rPr>
          <w:rStyle w:val="AttributeTok"/>
        </w:rPr>
        <w:t xml:space="preserve">-o</w:t>
      </w:r>
      <w:r>
        <w:rPr>
          <w:rStyle w:val="NormalTok"/>
        </w:rPr>
        <w:t xml:space="preserve"> docs/Architecture-Design-rendered.md</w:t>
      </w:r>
    </w:p>
    <w:p>
      <w:pPr>
        <w:pStyle w:val="FirstParagraph"/>
      </w:pPr>
      <w:r>
        <w:t xml:space="preserve">Diagram grammar used throughout: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Shape / style</w:t>
            </w:r>
          </w:p>
        </w:tc>
        <w:tc>
          <w:tcPr/>
          <w:p>
            <w:pPr>
              <w:pStyle w:val="Compact"/>
            </w:pPr>
            <w:r>
              <w:t xml:space="preserve">Means</w:t>
            </w:r>
          </w:p>
        </w:tc>
      </w:tr>
      <w:tr>
        <w:tc>
          <w:tcPr/>
          <w:p>
            <w:pPr>
              <w:pStyle w:val="Compact"/>
            </w:pPr>
            <w:r>
              <w:rPr>
                <w:rStyle w:val="VerbatimChar"/>
              </w:rPr>
              <w:t xml:space="preserve">[( … )]</w:t>
            </w:r>
            <w:r>
              <w:t xml:space="preserve"> </w:t>
            </w:r>
            <w:r>
              <w:t xml:space="preserve">cylinder</w:t>
            </w:r>
          </w:p>
        </w:tc>
        <w:tc>
          <w:tcPr/>
          <w:p>
            <w:pPr>
              <w:pStyle w:val="Compact"/>
            </w:pPr>
            <w:r>
              <w:t xml:space="preserve">A datastore</w:t>
            </w:r>
          </w:p>
        </w:tc>
      </w:tr>
      <w:tr>
        <w:tc>
          <w:tcPr/>
          <w:p>
            <w:pPr>
              <w:pStyle w:val="Compact"/>
            </w:pPr>
            <w:r>
              <w:rPr>
                <w:rStyle w:val="VerbatimChar"/>
              </w:rPr>
              <w:t xml:space="preserve">[ … ]</w:t>
            </w:r>
            <w:r>
              <w:t xml:space="preserve"> </w:t>
            </w:r>
            <w:r>
              <w:t xml:space="preserve">rectangle</w:t>
            </w:r>
          </w:p>
        </w:tc>
        <w:tc>
          <w:tcPr/>
          <w:p>
            <w:pPr>
              <w:pStyle w:val="Compact"/>
            </w:pPr>
            <w:r>
              <w:t xml:space="preserve">A process, service or module</w:t>
            </w:r>
          </w:p>
        </w:tc>
      </w:tr>
      <w:tr>
        <w:tc>
          <w:tcPr/>
          <w:p>
            <w:pPr>
              <w:pStyle w:val="Compact"/>
            </w:pPr>
            <w:r>
              <w:rPr>
                <w:rStyle w:val="VerbatimChar"/>
              </w:rPr>
              <w:t xml:space="preserve">subgraph</w:t>
            </w:r>
          </w:p>
        </w:tc>
        <w:tc>
          <w:tcPr/>
          <w:p>
            <w:pPr>
              <w:pStyle w:val="Compact"/>
            </w:pPr>
            <w:r>
              <w:t xml:space="preserve">A deployment boundary — one thing that starts, stops and fails together</w:t>
            </w:r>
          </w:p>
        </w:tc>
      </w:tr>
      <w:tr>
        <w:tc>
          <w:tcPr/>
          <w:p>
            <w:pPr>
              <w:pStyle w:val="Compact"/>
            </w:pPr>
            <w:r>
              <w:t xml:space="preserve">Solid arrow</w:t>
            </w:r>
            <w:r>
              <w:t xml:space="preserve"> </w:t>
            </w:r>
            <w:r>
              <w:rPr>
                <w:rStyle w:val="VerbatimChar"/>
              </w:rPr>
              <w:t xml:space="preserve">--&gt;</w:t>
            </w:r>
          </w:p>
        </w:tc>
        <w:tc>
          <w:tcPr/>
          <w:p>
            <w:pPr>
              <w:pStyle w:val="Compact"/>
            </w:pPr>
            <w:r>
              <w:t xml:space="preserve">A synchronous call on the request path</w:t>
            </w:r>
          </w:p>
        </w:tc>
      </w:tr>
      <w:tr>
        <w:tc>
          <w:tcPr/>
          <w:p>
            <w:pPr>
              <w:pStyle w:val="Compact"/>
            </w:pPr>
            <w:r>
              <w:t xml:space="preserve">Dotted arrow</w:t>
            </w:r>
            <w:r>
              <w:t xml:space="preserve"> </w:t>
            </w:r>
            <w:r>
              <w:rPr>
                <w:rStyle w:val="VerbatimChar"/>
              </w:rPr>
              <w:t xml:space="preserve">-.-&gt;</w:t>
            </w:r>
          </w:p>
        </w:tc>
        <w:tc>
          <w:tcPr/>
          <w:p>
            <w:pPr>
              <w:pStyle w:val="Compact"/>
            </w:pPr>
            <w:r>
              <w:t xml:space="preserve">An asynchronous, cached, or out-of-band path</w:t>
            </w:r>
          </w:p>
        </w:tc>
      </w:tr>
      <w:tr>
        <w:tc>
          <w:tcPr/>
          <w:p>
            <w:pPr>
              <w:pStyle w:val="Compact"/>
            </w:pPr>
            <w:r>
              <w:t xml:space="preserve">Thick arrow</w:t>
            </w:r>
            <w:r>
              <w:t xml:space="preserve"> </w:t>
            </w:r>
            <w:r>
              <w:rPr>
                <w:rStyle w:val="VerbatimChar"/>
              </w:rPr>
              <w:t xml:space="preserve">==&gt;</w:t>
            </w:r>
          </w:p>
        </w:tc>
        <w:tc>
          <w:tcPr/>
          <w:p>
            <w:pPr>
              <w:pStyle w:val="Compact"/>
            </w:pPr>
            <w:r>
              <w:t xml:space="preserve">A path that carries tenant data and is therefore isolation-critical</w:t>
            </w:r>
          </w:p>
        </w:tc>
      </w:tr>
    </w:tbl>
    <w:bookmarkEnd w:id="11"/>
    <w:bookmarkStart w:id="12" w:name="structure"/>
    <w:p>
      <w:pPr>
        <w:pStyle w:val="Heading3"/>
      </w:pPr>
      <w:r>
        <w:t xml:space="preserve">0.3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Sections</w:t>
            </w:r>
          </w:p>
        </w:tc>
        <w:tc>
          <w:tcPr/>
          <w:p>
            <w:pPr>
              <w:pStyle w:val="Compact"/>
            </w:pPr>
            <w:r>
              <w:t xml:space="preserve">Answers</w:t>
            </w:r>
          </w:p>
        </w:tc>
      </w:tr>
      <w:tr>
        <w:tc>
          <w:tcPr/>
          <w:p>
            <w:pPr>
              <w:pStyle w:val="Compact"/>
            </w:pPr>
            <w:r>
              <w:rPr>
                <w:b/>
                <w:bCs/>
              </w:rPr>
              <w:t xml:space="preserve">I — Foundations</w:t>
            </w:r>
          </w:p>
        </w:tc>
        <w:tc>
          <w:tcPr/>
          <w:p>
            <w:pPr>
              <w:pStyle w:val="Compact"/>
            </w:pPr>
            <w:r>
              <w:t xml:space="preserve">1–3</w:t>
            </w:r>
          </w:p>
        </w:tc>
        <w:tc>
          <w:tcPr/>
          <w:p>
            <w:pPr>
              <w:pStyle w:val="Compact"/>
            </w:pPr>
            <w:r>
              <w:t xml:space="preserve">What</w:t>
            </w:r>
            <w:r>
              <w:t xml:space="preserve"> </w:t>
            </w:r>
            <w:r>
              <w:t xml:space="preserve">“0 → 100,000”</w:t>
            </w:r>
            <w:r>
              <w:t xml:space="preserve"> </w:t>
            </w:r>
            <w:r>
              <w:t xml:space="preserve">actually demands; what Salesforce, Zoho and Tally each got right; which tenancy model follows</w:t>
            </w:r>
          </w:p>
        </w:tc>
      </w:tr>
      <w:tr>
        <w:tc>
          <w:tcPr/>
          <w:p>
            <w:pPr>
              <w:pStyle w:val="Compact"/>
            </w:pPr>
            <w:r>
              <w:rPr>
                <w:b/>
                <w:bCs/>
              </w:rPr>
              <w:t xml:space="preserve">II — The architecture</w:t>
            </w:r>
          </w:p>
        </w:tc>
        <w:tc>
          <w:tcPr/>
          <w:p>
            <w:pPr>
              <w:pStyle w:val="Compact"/>
            </w:pPr>
            <w:r>
              <w:t xml:space="preserve">4–28</w:t>
            </w:r>
          </w:p>
        </w:tc>
        <w:tc>
          <w:tcPr/>
          <w:p>
            <w:pPr>
              <w:pStyle w:val="Compact"/>
            </w:pPr>
            <w:r>
              <w:t xml:space="preserve">The design itself, layer by layer, with diagrams and schema</w:t>
            </w:r>
          </w:p>
        </w:tc>
      </w:tr>
      <w:tr>
        <w:tc>
          <w:tcPr/>
          <w:p>
            <w:pPr>
              <w:pStyle w:val="Compact"/>
            </w:pPr>
            <w:r>
              <w:rPr>
                <w:b/>
                <w:bCs/>
              </w:rPr>
              <w:t xml:space="preserve">III — Scaling</w:t>
            </w:r>
          </w:p>
        </w:tc>
        <w:tc>
          <w:tcPr/>
          <w:p>
            <w:pPr>
              <w:pStyle w:val="Compact"/>
            </w:pPr>
            <w:r>
              <w:t xml:space="preserve">29–34</w:t>
            </w:r>
          </w:p>
        </w:tc>
        <w:tc>
          <w:tcPr/>
          <w:p>
            <w:pPr>
              <w:pStyle w:val="Compact"/>
            </w:pPr>
            <w:r>
              <w:t xml:space="preserve">The five deployment stages, their triggers, their costs, and what breaks at each</w:t>
            </w:r>
          </w:p>
        </w:tc>
      </w:tr>
      <w:tr>
        <w:tc>
          <w:tcPr/>
          <w:p>
            <w:pPr>
              <w:pStyle w:val="Compact"/>
            </w:pPr>
            <w:r>
              <w:rPr>
                <w:b/>
                <w:bCs/>
              </w:rPr>
              <w:t xml:space="preserve">IV — Getting there</w:t>
            </w:r>
          </w:p>
        </w:tc>
        <w:tc>
          <w:tcPr/>
          <w:p>
            <w:pPr>
              <w:pStyle w:val="Compact"/>
            </w:pPr>
            <w:r>
              <w:t xml:space="preserve">35–37</w:t>
            </w:r>
          </w:p>
        </w:tc>
        <w:tc>
          <w:tcPr/>
          <w:p>
            <w:pPr>
              <w:pStyle w:val="Compact"/>
            </w:pPr>
            <w:r>
              <w:t xml:space="preserve">The path from the current codebase; what not to build; what I still need from you</w:t>
            </w:r>
          </w:p>
        </w:tc>
      </w:tr>
    </w:tbl>
    <w:bookmarkEnd w:id="12"/>
    <w:bookmarkStart w:id="13" w:name="verification-register"/>
    <w:p>
      <w:pPr>
        <w:pStyle w:val="Heading3"/>
      </w:pPr>
      <w:r>
        <w:t xml:space="preserve">0.4 Verification register</w:t>
      </w:r>
    </w:p>
    <w:p>
      <w:pPr>
        <w:pStyle w:val="FirstParagraph"/>
      </w:pPr>
      <w:r>
        <w:t xml:space="preserve">Re-check every</w:t>
      </w:r>
      <w:r>
        <w:t xml:space="preserve"> </w:t>
      </w:r>
      <w:r>
        <w:rPr>
          <w:b/>
          <w:bCs/>
        </w:rPr>
        <w:t xml:space="preserve">[VENDOR-CHECK]</w:t>
      </w:r>
      <w:r>
        <w:t xml:space="preserve"> </w:t>
      </w:r>
      <w:r>
        <w:t xml:space="preserve">claim here before it becomes a purchase order or a capacity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Authority</w:t>
            </w:r>
          </w:p>
        </w:tc>
      </w:tr>
      <w:tr>
        <w:tc>
          <w:tcPr/>
          <w:p>
            <w:pPr>
              <w:pStyle w:val="Compact"/>
            </w:pPr>
            <w:r>
              <w:t xml:space="preserve">PostgreSQL RLS,</w:t>
            </w:r>
            <w:r>
              <w:t xml:space="preserve"> </w:t>
            </w:r>
            <w:r>
              <w:rPr>
                <w:rStyle w:val="VerbatimChar"/>
              </w:rPr>
              <w:t xml:space="preserve">set_config</w:t>
            </w:r>
            <w:r>
              <w:t xml:space="preserve">, policy evaluation, partitioning,</w:t>
            </w:r>
            <w:r>
              <w:t xml:space="preserve"> </w:t>
            </w:r>
            <w:r>
              <w:rPr>
                <w:rStyle w:val="VerbatimChar"/>
              </w:rPr>
              <w:t xml:space="preserve">SKIP LOCKED</w:t>
            </w:r>
            <w:r>
              <w:t xml:space="preserve">, isolation levels</w:t>
            </w:r>
          </w:p>
        </w:tc>
        <w:tc>
          <w:tcPr/>
          <w:p>
            <w:pPr>
              <w:pStyle w:val="Compact"/>
            </w:pPr>
            <w:r>
              <w:t xml:space="preserve">postgresql.org/docs</w:t>
            </w:r>
          </w:p>
        </w:tc>
      </w:tr>
      <w:tr>
        <w:tc>
          <w:tcPr/>
          <w:p>
            <w:pPr>
              <w:pStyle w:val="Compact"/>
            </w:pPr>
            <w:r>
              <w:t xml:space="preserve">Prisma driver adapters,</w:t>
            </w:r>
            <w:r>
              <w:t xml:space="preserve"> </w:t>
            </w:r>
            <w:r>
              <w:rPr>
                <w:rStyle w:val="VerbatimChar"/>
              </w:rPr>
              <w:t xml:space="preserve">$extends</w:t>
            </w:r>
            <w:r>
              <w:t xml:space="preserve">, transaction semantics, connection pool</w:t>
            </w:r>
          </w:p>
        </w:tc>
        <w:tc>
          <w:tcPr/>
          <w:p>
            <w:pPr>
              <w:pStyle w:val="Compact"/>
            </w:pPr>
            <w:r>
              <w:t xml:space="preserve">prisma.io/docs</w:t>
            </w:r>
          </w:p>
        </w:tc>
      </w:tr>
      <w:tr>
        <w:tc>
          <w:tcPr/>
          <w:p>
            <w:pPr>
              <w:pStyle w:val="Compact"/>
            </w:pPr>
            <w:r>
              <w:t xml:space="preserve">Neon compute sizes, connection limits, pooler behaviour, PITR window, regions, branching</w:t>
            </w:r>
          </w:p>
        </w:tc>
        <w:tc>
          <w:tcPr/>
          <w:p>
            <w:pPr>
              <w:pStyle w:val="Compact"/>
            </w:pPr>
            <w:r>
              <w:t xml:space="preserve">neon.tech/docs</w:t>
            </w:r>
          </w:p>
        </w:tc>
      </w:tr>
      <w:tr>
        <w:tc>
          <w:tcPr/>
          <w:p>
            <w:pPr>
              <w:pStyle w:val="Compact"/>
            </w:pPr>
            <w:r>
              <w:t xml:space="preserve">Vercel function duration and memory limits, cron guarantees, Blob limits, pricing</w:t>
            </w:r>
          </w:p>
        </w:tc>
        <w:tc>
          <w:tcPr/>
          <w:p>
            <w:pPr>
              <w:pStyle w:val="Compact"/>
            </w:pPr>
            <w:r>
              <w:t xml:space="preserve">vercel.com/docs</w:t>
            </w:r>
          </w:p>
        </w:tc>
      </w:tr>
      <w:tr>
        <w:tc>
          <w:tcPr/>
          <w:p>
            <w:pPr>
              <w:pStyle w:val="Compact"/>
            </w:pPr>
            <w:r>
              <w:t xml:space="preserve">Next.js 16 App Router runtime, caching, middleware, route handlers</w:t>
            </w:r>
          </w:p>
        </w:tc>
        <w:tc>
          <w:tcPr/>
          <w:p>
            <w:pPr>
              <w:pStyle w:val="Compact"/>
            </w:pPr>
            <w:r>
              <w:t xml:space="preserve">nextjs.org/docs</w:t>
            </w:r>
          </w:p>
        </w:tc>
      </w:tr>
      <w:tr>
        <w:tc>
          <w:tcPr/>
          <w:p>
            <w:pPr>
              <w:pStyle w:val="Compact"/>
            </w:pPr>
            <w:r>
              <w:t xml:space="preserve">Upstash Redis REST limits and pricing</w:t>
            </w:r>
          </w:p>
        </w:tc>
        <w:tc>
          <w:tcPr/>
          <w:p>
            <w:pPr>
              <w:pStyle w:val="Compact"/>
            </w:pPr>
            <w:r>
              <w:t xml:space="preserve">upstash.com/docs</w:t>
            </w:r>
          </w:p>
        </w:tc>
      </w:tr>
      <w:tr>
        <w:tc>
          <w:tcPr/>
          <w:p>
            <w:pPr>
              <w:pStyle w:val="Compact"/>
            </w:pPr>
            <w:r>
              <w:t xml:space="preserve">Razorpay subscriptions, webhooks, signature verification</w:t>
            </w:r>
          </w:p>
        </w:tc>
        <w:tc>
          <w:tcPr/>
          <w:p>
            <w:pPr>
              <w:pStyle w:val="Compact"/>
            </w:pPr>
            <w:r>
              <w:t xml:space="preserve">razorpay.com/docs</w:t>
            </w:r>
          </w:p>
        </w:tc>
      </w:tr>
      <w:tr>
        <w:tc>
          <w:tcPr/>
          <w:p>
            <w:pPr>
              <w:pStyle w:val="Compact"/>
            </w:pPr>
            <w:r>
              <w:t xml:space="preserve">AWS</w:t>
            </w:r>
            <w:r>
              <w:t xml:space="preserve"> </w:t>
            </w:r>
            <w:r>
              <w:rPr>
                <w:rStyle w:val="VerbatimChar"/>
              </w:rPr>
              <w:t xml:space="preserve">ap-south-1</w:t>
            </w:r>
            <w:r>
              <w:t xml:space="preserve"> </w:t>
            </w:r>
            <w:r>
              <w:t xml:space="preserve">(Mumbai) service availability, RDS/Aurora limits, S3, KMS</w:t>
            </w:r>
          </w:p>
        </w:tc>
        <w:tc>
          <w:tcPr/>
          <w:p>
            <w:pPr>
              <w:pStyle w:val="Compact"/>
            </w:pPr>
            <w:r>
              <w:t xml:space="preserve">docs.aws.amazon.com</w:t>
            </w:r>
          </w:p>
        </w:tc>
      </w:tr>
      <w:tr>
        <w:tc>
          <w:tcPr/>
          <w:p>
            <w:pPr>
              <w:pStyle w:val="Compact"/>
            </w:pPr>
            <w:r>
              <w:t xml:space="preserve">Salesforce multi-tenant architecture, governor limits, org model</w:t>
            </w:r>
          </w:p>
        </w:tc>
        <w:tc>
          <w:tcPr/>
          <w:p>
            <w:pPr>
              <w:pStyle w:val="Compact"/>
            </w:pPr>
            <w:r>
              <w:t xml:space="preserve">developer.salesforce.com —</w:t>
            </w:r>
            <w:r>
              <w:t xml:space="preserve"> </w:t>
            </w:r>
            <w:r>
              <w:t xml:space="preserve">“Multi Tenant Architecture”</w:t>
            </w:r>
            <w:r>
              <w:t xml:space="preserve"> </w:t>
            </w:r>
            <w:r>
              <w:t xml:space="preserve">technical library</w:t>
            </w:r>
          </w:p>
        </w:tc>
      </w:tr>
      <w:tr>
        <w:tc>
          <w:tcPr/>
          <w:p>
            <w:pPr>
              <w:pStyle w:val="Compact"/>
            </w:pPr>
            <w:r>
              <w:t xml:space="preserve">Zoho data-centre model, India DC, org switching</w:t>
            </w:r>
          </w:p>
        </w:tc>
        <w:tc>
          <w:tcPr/>
          <w:p>
            <w:pPr>
              <w:pStyle w:val="Compact"/>
            </w:pPr>
            <w:r>
              <w:t xml:space="preserve">zoho.com/privacy, zoho.com/books</w:t>
            </w:r>
          </w:p>
        </w:tc>
      </w:tr>
      <w:tr>
        <w:tc>
          <w:tcPr/>
          <w:p>
            <w:pPr>
              <w:pStyle w:val="Compact"/>
            </w:pPr>
            <w:r>
              <w:t xml:space="preserve">TallyPrime, Tally on cloud / TallyPrime Server licensing model</w:t>
            </w:r>
          </w:p>
        </w:tc>
        <w:tc>
          <w:tcPr/>
          <w:p>
            <w:pPr>
              <w:pStyle w:val="Compact"/>
            </w:pPr>
            <w:r>
              <w:t xml:space="preserve">tallysolutions.com</w:t>
            </w:r>
          </w:p>
        </w:tc>
      </w:tr>
      <w:tr>
        <w:tc>
          <w:tcPr/>
          <w:p>
            <w:pPr>
              <w:pStyle w:val="Compact"/>
            </w:pPr>
            <w:r>
              <w:t xml:space="preserve">GST: e-invoice IRP schema, e-way bill, GSTR-1/3B/9, CMP-08</w:t>
            </w:r>
          </w:p>
        </w:tc>
        <w:tc>
          <w:tcPr/>
          <w:p>
            <w:pPr>
              <w:pStyle w:val="Compact"/>
            </w:pPr>
            <w:r>
              <w:t xml:space="preserve">einvoice1.gst.gov.in, ewaybillgst.gov.in, gst.gov.in, cbic.gov.in</w:t>
            </w:r>
          </w:p>
        </w:tc>
      </w:tr>
      <w:tr>
        <w:tc>
          <w:tcPr/>
          <w:p>
            <w:pPr>
              <w:pStyle w:val="Compact"/>
            </w:pPr>
            <w:r>
              <w:t xml:space="preserve">TDS/TCS rates, Form 16A/27D, challan</w:t>
            </w:r>
          </w:p>
        </w:tc>
        <w:tc>
          <w:tcPr/>
          <w:p>
            <w:pPr>
              <w:pStyle w:val="Compact"/>
            </w:pPr>
            <w:r>
              <w:t xml:space="preserve">incometax.gov.in</w:t>
            </w:r>
          </w:p>
        </w:tc>
      </w:tr>
      <w:tr>
        <w:tc>
          <w:tcPr/>
          <w:p>
            <w:pPr>
              <w:pStyle w:val="Compact"/>
            </w:pPr>
            <w:r>
              <w:t xml:space="preserve">DPDP Act 2023 and rules as notified</w:t>
            </w:r>
          </w:p>
        </w:tc>
        <w:tc>
          <w:tcPr/>
          <w:p>
            <w:pPr>
              <w:pStyle w:val="Compact"/>
            </w:pPr>
            <w:r>
              <w:t xml:space="preserve">meity.gov.in</w:t>
            </w:r>
          </w:p>
        </w:tc>
      </w:tr>
    </w:tbl>
    <w:p>
      <w:pPr>
        <w:pStyle w:val="BlockText"/>
      </w:pPr>
      <w:r>
        <w:rPr>
          <w:b/>
          <w:bCs/>
        </w:rPr>
        <w:t xml:space="preserve">Legal notice.</w:t>
      </w:r>
      <w:r>
        <w:t xml:space="preserve"> </w:t>
      </w:r>
      <w:r>
        <w:t xml:space="preserve">§25 describes regulatory</w:t>
      </w:r>
      <w:r>
        <w:t xml:space="preserve"> </w:t>
      </w:r>
      <w:r>
        <w:rPr>
          <w:i/>
          <w:iCs/>
        </w:rPr>
        <w:t xml:space="preserve">architecture</w:t>
      </w:r>
      <w:r>
        <w:t xml:space="preserve">, not law. Nothing here is legal advice. Every compliance obligation named must be confirmed with Indian counsel and, for GST and TDS specifics, with a practising Chartered Accountant.</w:t>
      </w:r>
    </w:p>
    <w:p>
      <w:r>
        <w:pict>
          <v:rect style="width:0;height:1.5pt" o:hralign="center" o:hrstd="t" o:hr="t"/>
        </w:pict>
      </w:r>
    </w:p>
    <w:p>
      <w:r>
        <w:pict>
          <v:rect style="width:0;height:1.5pt" o:hralign="center" o:hrstd="t" o:hr="t"/>
        </w:pict>
      </w:r>
    </w:p>
    <w:bookmarkEnd w:id="13"/>
    <w:bookmarkEnd w:id="14"/>
    <w:bookmarkEnd w:id="15"/>
    <w:bookmarkStart w:id="37" w:name="part-i-foundations"/>
    <w:p>
      <w:pPr>
        <w:pStyle w:val="Heading1"/>
      </w:pPr>
      <w:r>
        <w:t xml:space="preserve">Part I — Foundations</w:t>
      </w:r>
    </w:p>
    <w:p>
      <w:r>
        <w:pict>
          <v:rect style="width:0;height:1.5pt" o:hralign="center" o:hrstd="t" o:hr="t"/>
        </w:pict>
      </w:r>
    </w:p>
    <w:bookmarkStart w:id="20" w:name="what-0-100000-tenants-actually-demands"/>
    <w:p>
      <w:pPr>
        <w:pStyle w:val="Heading2"/>
      </w:pPr>
      <w:r>
        <w:t xml:space="preserve">1. What</w:t>
      </w:r>
      <w:r>
        <w:t xml:space="preserve"> </w:t>
      </w:r>
      <w:r>
        <w:t xml:space="preserve">“0 → 100,000 tenants”</w:t>
      </w:r>
      <w:r>
        <w:t xml:space="preserve"> </w:t>
      </w:r>
      <w:r>
        <w:t xml:space="preserve">actually demands</w:t>
      </w:r>
    </w:p>
    <w:bookmarkStart w:id="16" w:name="Xa74e12d2cb115ee1ca8d2c1adc517d54f6bbe30"/>
    <w:p>
      <w:pPr>
        <w:pStyle w:val="Heading3"/>
      </w:pPr>
      <w:r>
        <w:t xml:space="preserve">1.1 The number that matters is not the tenant count</w:t>
      </w:r>
    </w:p>
    <w:p>
      <w:pPr>
        <w:pStyle w:val="FirstParagraph"/>
      </w:pPr>
      <w:r>
        <w:t xml:space="preserve">100,000 tenants is not a hard number for a database. 100,000 rows in</w:t>
      </w:r>
      <w:r>
        <w:t xml:space="preserve"> </w:t>
      </w:r>
      <w:r>
        <w:rPr>
          <w:rStyle w:val="VerbatimChar"/>
        </w:rPr>
        <w:t xml:space="preserve">organizations</w:t>
      </w:r>
      <w:r>
        <w:t xml:space="preserve"> </w:t>
      </w:r>
      <w:r>
        <w:t xml:space="preserve">is nothing. What is hard is everything that becomes</w:t>
      </w:r>
      <w:r>
        <w:t xml:space="preserve"> </w:t>
      </w:r>
      <w:r>
        <w:rPr>
          <w:b/>
          <w:bCs/>
        </w:rPr>
        <w:t xml:space="preserve">linear in tenant count</w:t>
      </w:r>
      <w:r>
        <w:t xml:space="preserve"> </w:t>
      </w:r>
      <w:r>
        <w:t xml:space="preserve">if you let it.</w:t>
      </w:r>
    </w:p>
    <w:p>
      <w:pPr>
        <w:pStyle w:val="BodyText"/>
      </w:pPr>
      <w:r>
        <w:rPr>
          <w:b/>
          <w:bCs/>
        </w:rPr>
        <w:t xml:space="preserve">[JUDGEMENT]</w:t>
      </w:r>
      <w:r>
        <w:t xml:space="preserve"> </w:t>
      </w:r>
      <w:r>
        <w:t xml:space="preserve">The single design rule from which almost everything else in this document follows:</w:t>
      </w:r>
    </w:p>
    <w:p>
      <w:pPr>
        <w:pStyle w:val="BlockText"/>
      </w:pPr>
      <w:r>
        <w:rPr>
          <w:b/>
          <w:bCs/>
        </w:rPr>
        <w:t xml:space="preserve">Nothing whose cost is per-tenant may require per-tenant human attention, per-tenant infrastructure, or a per-tenant deployment step.</w:t>
      </w:r>
    </w:p>
    <w:p>
      <w:pPr>
        <w:pStyle w:val="FirstParagraph"/>
      </w:pPr>
      <w:r>
        <w:t xml:space="preserve">Every architecture decision in Part II is downstream of that rule. Apply it as a 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O(1) design — acceptable</w:t>
            </w:r>
          </w:p>
        </w:tc>
        <w:tc>
          <w:tcPr/>
          <w:p>
            <w:pPr>
              <w:pStyle w:val="Compact"/>
            </w:pPr>
            <w:r>
              <w:t xml:space="preserve">O(n) design — fatal at 100k</w:t>
            </w:r>
          </w:p>
        </w:tc>
      </w:tr>
      <w:tr>
        <w:tc>
          <w:tcPr/>
          <w:p>
            <w:pPr>
              <w:pStyle w:val="Compact"/>
            </w:pPr>
            <w:r>
              <w:t xml:space="preserve">Schema migration</w:t>
            </w:r>
          </w:p>
        </w:tc>
        <w:tc>
          <w:tcPr/>
          <w:p>
            <w:pPr>
              <w:pStyle w:val="Compact"/>
            </w:pPr>
            <w:r>
              <w:t xml:space="preserve">One</w:t>
            </w:r>
            <w:r>
              <w:t xml:space="preserve"> </w:t>
            </w:r>
            <w:r>
              <w:rPr>
                <w:rStyle w:val="VerbatimChar"/>
              </w:rPr>
              <w:t xml:space="preserve">ALTER TABLE</w:t>
            </w:r>
            <w:r>
              <w:t xml:space="preserve"> </w:t>
            </w:r>
            <w:r>
              <w:t xml:space="preserve">across shared tables</w:t>
            </w:r>
          </w:p>
        </w:tc>
        <w:tc>
          <w:tcPr/>
          <w:p>
            <w:pPr>
              <w:pStyle w:val="Compact"/>
            </w:pPr>
            <w:r>
              <w:t xml:space="preserve">One migration per tenant database</w:t>
            </w:r>
          </w:p>
        </w:tc>
      </w:tr>
      <w:tr>
        <w:tc>
          <w:tcPr/>
          <w:p>
            <w:pPr>
              <w:pStyle w:val="Compact"/>
            </w:pPr>
            <w:r>
              <w:t xml:space="preserve">Backup</w:t>
            </w:r>
          </w:p>
        </w:tc>
        <w:tc>
          <w:tcPr/>
          <w:p>
            <w:pPr>
              <w:pStyle w:val="Compact"/>
            </w:pPr>
            <w:r>
              <w:t xml:space="preserve">One cluster snapshot + PITR</w:t>
            </w:r>
          </w:p>
        </w:tc>
        <w:tc>
          <w:tcPr/>
          <w:p>
            <w:pPr>
              <w:pStyle w:val="Compact"/>
            </w:pPr>
            <w:r>
              <w:t xml:space="preserve">100,000 backup schedules</w:t>
            </w:r>
          </w:p>
        </w:tc>
      </w:tr>
      <w:tr>
        <w:tc>
          <w:tcPr/>
          <w:p>
            <w:pPr>
              <w:pStyle w:val="Compact"/>
            </w:pPr>
            <w:r>
              <w:t xml:space="preserve">Monitoring</w:t>
            </w:r>
          </w:p>
        </w:tc>
        <w:tc>
          <w:tcPr/>
          <w:p>
            <w:pPr>
              <w:pStyle w:val="Compact"/>
            </w:pPr>
            <w:r>
              <w:t xml:space="preserve">Metrics bucketed by tenant</w:t>
            </w:r>
            <w:r>
              <w:t xml:space="preserve"> </w:t>
            </w:r>
            <w:r>
              <w:rPr>
                <w:i/>
                <w:iCs/>
              </w:rPr>
              <w:t xml:space="preserve">tier</w:t>
            </w:r>
          </w:p>
        </w:tc>
        <w:tc>
          <w:tcPr/>
          <w:p>
            <w:pPr>
              <w:pStyle w:val="Compact"/>
            </w:pPr>
            <w:r>
              <w:t xml:space="preserve">One dashboard per tenant</w:t>
            </w:r>
          </w:p>
        </w:tc>
      </w:tr>
      <w:tr>
        <w:tc>
          <w:tcPr/>
          <w:p>
            <w:pPr>
              <w:pStyle w:val="Compact"/>
            </w:pPr>
            <w:r>
              <w:t xml:space="preserve">Provisioning</w:t>
            </w:r>
          </w:p>
        </w:tc>
        <w:tc>
          <w:tcPr/>
          <w:p>
            <w:pPr>
              <w:pStyle w:val="Compact"/>
            </w:pPr>
            <w:r>
              <w:t xml:space="preserve">Insert a row, seed reference data</w:t>
            </w:r>
          </w:p>
        </w:tc>
        <w:tc>
          <w:tcPr/>
          <w:p>
            <w:pPr>
              <w:pStyle w:val="Compact"/>
            </w:pPr>
            <w:r>
              <w:t xml:space="preserve">Create a database, run migrations, wire DNS</w:t>
            </w:r>
          </w:p>
        </w:tc>
      </w:tr>
      <w:tr>
        <w:tc>
          <w:tcPr/>
          <w:p>
            <w:pPr>
              <w:pStyle w:val="Compact"/>
            </w:pPr>
            <w:r>
              <w:t xml:space="preserve">Connection pooling</w:t>
            </w:r>
          </w:p>
        </w:tc>
        <w:tc>
          <w:tcPr/>
          <w:p>
            <w:pPr>
              <w:pStyle w:val="Compact"/>
            </w:pPr>
            <w:r>
              <w:t xml:space="preserve">One pool per placement</w:t>
            </w:r>
          </w:p>
        </w:tc>
        <w:tc>
          <w:tcPr/>
          <w:p>
            <w:pPr>
              <w:pStyle w:val="Compact"/>
            </w:pPr>
            <w:r>
              <w:t xml:space="preserve">One pool per tenant database</w:t>
            </w:r>
          </w:p>
        </w:tc>
      </w:tr>
      <w:tr>
        <w:tc>
          <w:tcPr/>
          <w:p>
            <w:pPr>
              <w:pStyle w:val="Compact"/>
            </w:pPr>
            <w:r>
              <w:t xml:space="preserve">Deployment</w:t>
            </w:r>
          </w:p>
        </w:tc>
        <w:tc>
          <w:tcPr/>
          <w:p>
            <w:pPr>
              <w:pStyle w:val="Compact"/>
            </w:pPr>
            <w:r>
              <w:t xml:space="preserve">One artefact</w:t>
            </w:r>
          </w:p>
        </w:tc>
        <w:tc>
          <w:tcPr/>
          <w:p>
            <w:pPr>
              <w:pStyle w:val="Compact"/>
            </w:pPr>
            <w:r>
              <w:t xml:space="preserve">Per-tenant version pinning</w:t>
            </w:r>
          </w:p>
        </w:tc>
      </w:tr>
      <w:tr>
        <w:tc>
          <w:tcPr/>
          <w:p>
            <w:pPr>
              <w:pStyle w:val="Compact"/>
            </w:pPr>
            <w:r>
              <w:t xml:space="preserve">Cost floor</w:t>
            </w:r>
          </w:p>
        </w:tc>
        <w:tc>
          <w:tcPr/>
          <w:p>
            <w:pPr>
              <w:pStyle w:val="Compact"/>
            </w:pPr>
            <w:r>
              <w:t xml:space="preserve">Amortised across the pool</w:t>
            </w:r>
          </w:p>
        </w:tc>
        <w:tc>
          <w:tcPr/>
          <w:p>
            <w:pPr>
              <w:pStyle w:val="Compact"/>
            </w:pPr>
            <w:r>
              <w:t xml:space="preserve">An instance per tenant</w:t>
            </w:r>
          </w:p>
        </w:tc>
      </w:tr>
      <w:tr>
        <w:tc>
          <w:tcPr/>
          <w:p>
            <w:pPr>
              <w:pStyle w:val="Compact"/>
            </w:pPr>
            <w:r>
              <w:t xml:space="preserve">Onboarding</w:t>
            </w:r>
          </w:p>
        </w:tc>
        <w:tc>
          <w:tcPr/>
          <w:p>
            <w:pPr>
              <w:pStyle w:val="Compact"/>
            </w:pPr>
            <w:r>
              <w:t xml:space="preserve">Self-serve, minutes</w:t>
            </w:r>
          </w:p>
        </w:tc>
        <w:tc>
          <w:tcPr/>
          <w:p>
            <w:pPr>
              <w:pStyle w:val="Compact"/>
            </w:pPr>
            <w:r>
              <w:t xml:space="preserve">Sales call and manual setup</w:t>
            </w:r>
          </w:p>
        </w:tc>
      </w:tr>
    </w:tbl>
    <w:p>
      <w:pPr>
        <w:pStyle w:val="BodyText"/>
      </w:pPr>
      <w:r>
        <w:t xml:space="preserve">The pattern holds for people, too.</w:t>
      </w:r>
      <w:r>
        <w:t xml:space="preserve"> </w:t>
      </w:r>
      <w:r>
        <w:rPr>
          <w:b/>
          <w:bCs/>
        </w:rPr>
        <w:t xml:space="preserve">[ASSUMPTION]</w:t>
      </w:r>
      <w:r>
        <w:t xml:space="preserve"> </w:t>
      </w:r>
      <w:r>
        <w:t xml:space="preserve">at 100,000 tenants and 2–3 support staff, one manual intervention per tenant per year is 400 interventions per working day. Any design that requires per-tenant human touch has already failed at 100,000; it merely has not noticed yet.</w:t>
      </w:r>
    </w:p>
    <w:bookmarkEnd w:id="16"/>
    <w:bookmarkStart w:id="17" w:name="the-growth-curve-stated-as-stages"/>
    <w:p>
      <w:pPr>
        <w:pStyle w:val="Heading3"/>
      </w:pPr>
      <w:r>
        <w:t xml:space="preserve">1.2 The growth curve, stated as stages</w:t>
      </w:r>
    </w:p>
    <w:p>
      <w:pPr>
        <w:pStyle w:val="FirstParagraph"/>
      </w:pPr>
      <w:r>
        <w:t xml:space="preserve">Tenant count alone is a poor planning variable because architecture changes at</w:t>
      </w:r>
      <w:r>
        <w:t xml:space="preserve"> </w:t>
      </w:r>
      <w:r>
        <w:rPr>
          <w:i/>
          <w:iCs/>
        </w:rPr>
        <w:t xml:space="preserve">thresholds</w:t>
      </w:r>
      <w:r>
        <w:t xml:space="preserve">, not smoothly.</w:t>
      </w:r>
      <w:r>
        <w:t xml:space="preserve"> </w:t>
      </w:r>
      <w:r>
        <w:rPr>
          <w:b/>
          <w:bCs/>
        </w:rPr>
        <w:t xml:space="preserve">[JUDGEMENT]</w:t>
      </w:r>
      <w:r>
        <w:t xml:space="preserve"> </w:t>
      </w:r>
      <w:r>
        <w:t xml:space="preserve">The five stages below are the actual planning unit; §29–33 give each one a topology, a trigger and a cost.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Tenants</w:t>
            </w:r>
          </w:p>
        </w:tc>
        <w:tc>
          <w:tcPr/>
          <w:p>
            <w:pPr>
              <w:pStyle w:val="Compact"/>
            </w:pPr>
            <w:r>
              <w:t xml:space="preserve">Dominant constraint</w:t>
            </w:r>
          </w:p>
        </w:tc>
        <w:tc>
          <w:tcPr/>
          <w:p>
            <w:pPr>
              <w:pStyle w:val="Compact"/>
            </w:pPr>
            <w:r>
              <w:t xml:space="preserve">What changes</w:t>
            </w:r>
          </w:p>
        </w:tc>
      </w:tr>
      <w:tr>
        <w:tc>
          <w:tcPr/>
          <w:p>
            <w:pPr>
              <w:pStyle w:val="Compact"/>
            </w:pPr>
            <w:r>
              <w:rPr>
                <w:b/>
                <w:bCs/>
              </w:rPr>
              <w:t xml:space="preserve">0 — Prove</w:t>
            </w:r>
          </w:p>
        </w:tc>
        <w:tc>
          <w:tcPr/>
          <w:p>
            <w:pPr>
              <w:pStyle w:val="Compact"/>
            </w:pPr>
            <w:r>
              <w:t xml:space="preserve">0 – 100</w:t>
            </w:r>
          </w:p>
        </w:tc>
        <w:tc>
          <w:tcPr/>
          <w:p>
            <w:pPr>
              <w:pStyle w:val="Compact"/>
            </w:pPr>
            <w:r>
              <w:t xml:space="preserve">Nothing technical. Product-market fit.</w:t>
            </w:r>
          </w:p>
        </w:tc>
        <w:tc>
          <w:tcPr/>
          <w:p>
            <w:pPr>
              <w:pStyle w:val="Compact"/>
            </w:pPr>
            <w:r>
              <w:t xml:space="preserve">One app, one database, one worker. Correctness over capacity.</w:t>
            </w:r>
          </w:p>
        </w:tc>
      </w:tr>
      <w:tr>
        <w:tc>
          <w:tcPr/>
          <w:p>
            <w:pPr>
              <w:pStyle w:val="Compact"/>
            </w:pPr>
            <w:r>
              <w:rPr>
                <w:b/>
                <w:bCs/>
              </w:rPr>
              <w:t xml:space="preserve">1 — Commercial</w:t>
            </w:r>
          </w:p>
        </w:tc>
        <w:tc>
          <w:tcPr/>
          <w:p>
            <w:pPr>
              <w:pStyle w:val="Compact"/>
            </w:pPr>
            <w:r>
              <w:t xml:space="preserve">100 – 1,000</w:t>
            </w:r>
          </w:p>
        </w:tc>
        <w:tc>
          <w:tcPr/>
          <w:p>
            <w:pPr>
              <w:pStyle w:val="Compact"/>
            </w:pPr>
            <w:r>
              <w:t xml:space="preserve">You cannot charge; reports start timing out</w:t>
            </w:r>
          </w:p>
        </w:tc>
        <w:tc>
          <w:tcPr/>
          <w:p>
            <w:pPr>
              <w:pStyle w:val="Compact"/>
            </w:pPr>
            <w:r>
              <w:t xml:space="preserve">Subscriptions and entitlements; async reports; read replica</w:t>
            </w:r>
          </w:p>
        </w:tc>
      </w:tr>
      <w:tr>
        <w:tc>
          <w:tcPr/>
          <w:p>
            <w:pPr>
              <w:pStyle w:val="Compact"/>
            </w:pPr>
            <w:r>
              <w:rPr>
                <w:b/>
                <w:bCs/>
              </w:rPr>
              <w:t xml:space="preserve">2 — Operate</w:t>
            </w:r>
          </w:p>
        </w:tc>
        <w:tc>
          <w:tcPr/>
          <w:p>
            <w:pPr>
              <w:pStyle w:val="Compact"/>
            </w:pPr>
            <w:r>
              <w:t xml:space="preserve">1,000 – 10,000</w:t>
            </w:r>
          </w:p>
        </w:tc>
        <w:tc>
          <w:tcPr/>
          <w:p>
            <w:pPr>
              <w:pStyle w:val="Compact"/>
            </w:pPr>
            <w:r>
              <w:t xml:space="preserve">Connections; table growth; noisy neighbours</w:t>
            </w:r>
          </w:p>
        </w:tc>
        <w:tc>
          <w:tcPr/>
          <w:p>
            <w:pPr>
              <w:pStyle w:val="Compact"/>
            </w:pPr>
            <w:r>
              <w:t xml:space="preserve">Pooler tuning; partitioning; quotas; per-tenant queue caps</w:t>
            </w:r>
          </w:p>
        </w:tc>
      </w:tr>
      <w:tr>
        <w:tc>
          <w:tcPr/>
          <w:p>
            <w:pPr>
              <w:pStyle w:val="Compact"/>
            </w:pPr>
            <w:r>
              <w:rPr>
                <w:b/>
                <w:bCs/>
              </w:rPr>
              <w:t xml:space="preserve">3 — Scale</w:t>
            </w:r>
          </w:p>
        </w:tc>
        <w:tc>
          <w:tcPr/>
          <w:p>
            <w:pPr>
              <w:pStyle w:val="Compact"/>
            </w:pPr>
            <w:r>
              <w:t xml:space="preserve">10,000 – 50,000</w:t>
            </w:r>
          </w:p>
        </w:tc>
        <w:tc>
          <w:tcPr/>
          <w:p>
            <w:pPr>
              <w:pStyle w:val="Compact"/>
            </w:pPr>
            <w:r>
              <w:t xml:space="preserve">Write throughput on one primary; support load</w:t>
            </w:r>
          </w:p>
        </w:tc>
        <w:tc>
          <w:tcPr/>
          <w:p>
            <w:pPr>
              <w:pStyle w:val="Compact"/>
            </w:pPr>
            <w:r>
              <w:t xml:space="preserve">Vertical ceiling reached; second placement; self-serve everything</w:t>
            </w:r>
          </w:p>
        </w:tc>
      </w:tr>
      <w:tr>
        <w:tc>
          <w:tcPr/>
          <w:p>
            <w:pPr>
              <w:pStyle w:val="Compact"/>
            </w:pPr>
            <w:r>
              <w:rPr>
                <w:b/>
                <w:bCs/>
              </w:rPr>
              <w:t xml:space="preserve">4 — Distribute</w:t>
            </w:r>
          </w:p>
        </w:tc>
        <w:tc>
          <w:tcPr/>
          <w:p>
            <w:pPr>
              <w:pStyle w:val="Compact"/>
            </w:pPr>
            <w:r>
              <w:t xml:space="preserve">50,000 – 100,000+</w:t>
            </w:r>
          </w:p>
        </w:tc>
        <w:tc>
          <w:tcPr/>
          <w:p>
            <w:pPr>
              <w:pStyle w:val="Compact"/>
            </w:pPr>
            <w:r>
              <w:t xml:space="preserve">One primary is no longer enough</w:t>
            </w:r>
          </w:p>
        </w:tc>
        <w:tc>
          <w:tcPr/>
          <w:p>
            <w:pPr>
              <w:pStyle w:val="Compact"/>
            </w:pPr>
            <w:r>
              <w:t xml:space="preserve">Shard by placement; routing at the control plane; regional pods</w:t>
            </w:r>
          </w:p>
        </w:tc>
      </w:tr>
    </w:tbl>
    <w:p>
      <w:pPr>
        <w:pStyle w:val="BodyText"/>
      </w:pPr>
      <w:r>
        <w:rPr>
          <w:b/>
          <w:bCs/>
        </w:rPr>
        <w:t xml:space="preserve">[JUDGEMENT]</w:t>
      </w:r>
      <w:r>
        <w:t xml:space="preserve"> </w:t>
      </w:r>
      <w:r>
        <w:t xml:space="preserve">The important property of this table is that</w:t>
      </w:r>
      <w:r>
        <w:t xml:space="preserve"> </w:t>
      </w:r>
      <w:r>
        <w:rPr>
          <w:b/>
          <w:bCs/>
        </w:rPr>
        <w:t xml:space="preserve">the code does not change between stages.</w:t>
      </w:r>
      <w:r>
        <w:t xml:space="preserve"> </w:t>
      </w:r>
      <w:r>
        <w:t xml:space="preserve">Only deployment topology and hardware change. That is the whole point of the design. If a stage transition requires touching business logic, the architecture is wrong.</w:t>
      </w:r>
    </w:p>
    <w:bookmarkEnd w:id="17"/>
    <w:bookmarkStart w:id="18" w:name="the-eight-invariants"/>
    <w:p>
      <w:pPr>
        <w:pStyle w:val="Heading3"/>
      </w:pPr>
      <w:r>
        <w:t xml:space="preserve">1.3 The eight invariants</w:t>
      </w:r>
    </w:p>
    <w:p>
      <w:pPr>
        <w:pStyle w:val="FirstParagraph"/>
      </w:pPr>
      <w:r>
        <w:t xml:space="preserve">These are the properties that must hold identically at 10 tenants and at 100,000. Everything in Part II exists to hold one of them.</w:t>
      </w:r>
      <w:r>
        <w:t xml:space="preserve"> </w:t>
      </w:r>
      <w:r>
        <w:rPr>
          <w:b/>
          <w:bCs/>
        </w:rPr>
        <w:t xml:space="preserve">[JUDGEMENT]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Invariant</w:t>
            </w:r>
          </w:p>
        </w:tc>
        <w:tc>
          <w:tcPr/>
          <w:p>
            <w:pPr>
              <w:pStyle w:val="Compact"/>
            </w:pPr>
            <w:r>
              <w:t xml:space="preserve">Why it cannot be added later</w:t>
            </w:r>
          </w:p>
        </w:tc>
      </w:tr>
      <w:tr>
        <w:tc>
          <w:tcPr/>
          <w:p>
            <w:pPr>
              <w:pStyle w:val="Compact"/>
            </w:pPr>
            <w:r>
              <w:rPr>
                <w:b/>
                <w:bCs/>
              </w:rPr>
              <w:t xml:space="preserve">I1</w:t>
            </w:r>
          </w:p>
        </w:tc>
        <w:tc>
          <w:tcPr/>
          <w:p>
            <w:pPr>
              <w:pStyle w:val="Compact"/>
            </w:pPr>
            <w:r>
              <w:t xml:space="preserve">Every tenant-owned row states, in its own table, which tenant owns it</w:t>
            </w:r>
          </w:p>
        </w:tc>
        <w:tc>
          <w:tcPr/>
          <w:p>
            <w:pPr>
              <w:pStyle w:val="Compact"/>
            </w:pPr>
            <w:r>
              <w:t xml:space="preserve">RLS, sharding, restore and export all read this column. Adding it later means backfilling live tables under load</w:t>
            </w:r>
          </w:p>
        </w:tc>
      </w:tr>
      <w:tr>
        <w:tc>
          <w:tcPr/>
          <w:p>
            <w:pPr>
              <w:pStyle w:val="Compact"/>
            </w:pPr>
            <w:r>
              <w:rPr>
                <w:b/>
                <w:bCs/>
              </w:rPr>
              <w:t xml:space="preserve">I2</w:t>
            </w:r>
          </w:p>
        </w:tc>
        <w:tc>
          <w:tcPr/>
          <w:p>
            <w:pPr>
              <w:pStyle w:val="Compact"/>
            </w:pPr>
            <w:r>
              <w:t xml:space="preserve">Tenant identity is derived server-side from an authenticated membership, never from a request parameter</w:t>
            </w:r>
          </w:p>
        </w:tc>
        <w:tc>
          <w:tcPr/>
          <w:p>
            <w:pPr>
              <w:pStyle w:val="Compact"/>
            </w:pPr>
            <w:r>
              <w:t xml:space="preserve">Anything else is an IDOR waiting to be found</w:t>
            </w:r>
          </w:p>
        </w:tc>
      </w:tr>
      <w:tr>
        <w:tc>
          <w:tcPr/>
          <w:p>
            <w:pPr>
              <w:pStyle w:val="Compact"/>
            </w:pPr>
            <w:r>
              <w:rPr>
                <w:b/>
                <w:bCs/>
              </w:rPr>
              <w:t xml:space="preserve">I3</w:t>
            </w:r>
          </w:p>
        </w:tc>
        <w:tc>
          <w:tcPr/>
          <w:p>
            <w:pPr>
              <w:pStyle w:val="Compact"/>
            </w:pPr>
            <w:r>
              <w:t xml:space="preserve">Isolation survives a single mistake — two independent controls</w:t>
            </w:r>
          </w:p>
        </w:tc>
        <w:tc>
          <w:tcPr/>
          <w:p>
            <w:pPr>
              <w:pStyle w:val="Compact"/>
            </w:pPr>
            <w:r>
              <w:t xml:space="preserve">One control means one bad</w:t>
            </w:r>
            <w:r>
              <w:t xml:space="preserve"> </w:t>
            </w:r>
            <w:r>
              <w:rPr>
                <w:rStyle w:val="VerbatimChar"/>
              </w:rPr>
              <w:t xml:space="preserve">WHERE</w:t>
            </w:r>
            <w:r>
              <w:t xml:space="preserve"> </w:t>
            </w:r>
            <w:r>
              <w:t xml:space="preserve">clause is a breach</w:t>
            </w:r>
          </w:p>
        </w:tc>
      </w:tr>
      <w:tr>
        <w:tc>
          <w:tcPr/>
          <w:p>
            <w:pPr>
              <w:pStyle w:val="Compact"/>
            </w:pPr>
            <w:r>
              <w:rPr>
                <w:b/>
                <w:bCs/>
              </w:rPr>
              <w:t xml:space="preserve">I4</w:t>
            </w:r>
          </w:p>
        </w:tc>
        <w:tc>
          <w:tcPr/>
          <w:p>
            <w:pPr>
              <w:pStyle w:val="Compact"/>
            </w:pPr>
            <w:r>
              <w:t xml:space="preserve">Money is</w:t>
            </w:r>
            <w:r>
              <w:t xml:space="preserve"> </w:t>
            </w:r>
            <w:r>
              <w:rPr>
                <w:rStyle w:val="VerbatimChar"/>
              </w:rPr>
              <w:t xml:space="preserve">Decimal</w:t>
            </w:r>
            <w:r>
              <w:t xml:space="preserve">, never a float; every posting balances</w:t>
            </w:r>
          </w:p>
        </w:tc>
        <w:tc>
          <w:tcPr/>
          <w:p>
            <w:pPr>
              <w:pStyle w:val="Compact"/>
            </w:pPr>
            <w:r>
              <w:t xml:space="preserve">Financial correctness cannot be retrofitted; wrong numbers are already in customers’ filings</w:t>
            </w:r>
          </w:p>
        </w:tc>
      </w:tr>
      <w:tr>
        <w:tc>
          <w:tcPr/>
          <w:p>
            <w:pPr>
              <w:pStyle w:val="Compact"/>
            </w:pPr>
            <w:r>
              <w:rPr>
                <w:b/>
                <w:bCs/>
              </w:rPr>
              <w:t xml:space="preserve">I5</w:t>
            </w:r>
          </w:p>
        </w:tc>
        <w:tc>
          <w:tcPr/>
          <w:p>
            <w:pPr>
              <w:pStyle w:val="Compact"/>
            </w:pPr>
            <w:r>
              <w:t xml:space="preserve">A posted voucher is immutable; corrections are new entries</w:t>
            </w:r>
          </w:p>
        </w:tc>
        <w:tc>
          <w:tcPr/>
          <w:p>
            <w:pPr>
              <w:pStyle w:val="Compact"/>
            </w:pPr>
            <w:r>
              <w:t xml:space="preserve">Audit trails and statutory filings depend on it. Editing history is a compliance failure</w:t>
            </w:r>
          </w:p>
        </w:tc>
      </w:tr>
      <w:tr>
        <w:tc>
          <w:tcPr/>
          <w:p>
            <w:pPr>
              <w:pStyle w:val="Compact"/>
            </w:pPr>
            <w:r>
              <w:rPr>
                <w:b/>
                <w:bCs/>
              </w:rPr>
              <w:t xml:space="preserve">I6</w:t>
            </w:r>
          </w:p>
        </w:tc>
        <w:tc>
          <w:tcPr/>
          <w:p>
            <w:pPr>
              <w:pStyle w:val="Compact"/>
            </w:pPr>
            <w:r>
              <w:t xml:space="preserve">Every tenant-affecting operation is O(1) in tenant count</w:t>
            </w:r>
          </w:p>
        </w:tc>
        <w:tc>
          <w:tcPr/>
          <w:p>
            <w:pPr>
              <w:pStyle w:val="Compact"/>
            </w:pPr>
            <w:r>
              <w:t xml:space="preserve">§1.1</w:t>
            </w:r>
          </w:p>
        </w:tc>
      </w:tr>
      <w:tr>
        <w:tc>
          <w:tcPr/>
          <w:p>
            <w:pPr>
              <w:pStyle w:val="Compact"/>
            </w:pPr>
            <w:r>
              <w:rPr>
                <w:b/>
                <w:bCs/>
              </w:rPr>
              <w:t xml:space="preserve">I7</w:t>
            </w:r>
          </w:p>
        </w:tc>
        <w:tc>
          <w:tcPr/>
          <w:p>
            <w:pPr>
              <w:pStyle w:val="Compact"/>
            </w:pPr>
            <w:r>
              <w:t xml:space="preserve">A tenant can be located, exported, restored and deleted individually</w:t>
            </w:r>
          </w:p>
        </w:tc>
        <w:tc>
          <w:tcPr/>
          <w:p>
            <w:pPr>
              <w:pStyle w:val="Compact"/>
            </w:pPr>
            <w:r>
              <w:t xml:space="preserve">DPDP erasure, customer offboarding, single-tenant recovery</w:t>
            </w:r>
          </w:p>
        </w:tc>
      </w:tr>
      <w:tr>
        <w:tc>
          <w:tcPr/>
          <w:p>
            <w:pPr>
              <w:pStyle w:val="Compact"/>
            </w:pPr>
            <w:r>
              <w:rPr>
                <w:b/>
                <w:bCs/>
              </w:rPr>
              <w:t xml:space="preserve">I8</w:t>
            </w:r>
          </w:p>
        </w:tc>
        <w:tc>
          <w:tcPr/>
          <w:p>
            <w:pPr>
              <w:pStyle w:val="Compact"/>
            </w:pPr>
            <w:r>
              <w:t xml:space="preserve">Tenant → physical location is an indirection, not an assumption</w:t>
            </w:r>
          </w:p>
        </w:tc>
        <w:tc>
          <w:tcPr/>
          <w:p>
            <w:pPr>
              <w:pStyle w:val="Compact"/>
            </w:pPr>
            <w:r>
              <w:t xml:space="preserve">Sharding, residency and dedicated placement all become impossible if code assumes</w:t>
            </w:r>
            <w:r>
              <w:t xml:space="preserve"> </w:t>
            </w:r>
            <w:r>
              <w:t xml:space="preserve">“one database”</w:t>
            </w:r>
          </w:p>
        </w:tc>
      </w:tr>
    </w:tbl>
    <w:p>
      <w:pPr>
        <w:pStyle w:val="BodyText"/>
      </w:pPr>
      <w:r>
        <w:rPr>
          <w:b/>
          <w:bCs/>
        </w:rPr>
        <w:t xml:space="preserve">I8 deserves emphasis.</w:t>
      </w:r>
      <w:r>
        <w:t xml:space="preserve"> </w:t>
      </w:r>
      <w:r>
        <w:t xml:space="preserve">It is the cheapest invariant to establish (a table and a lookup,</w:t>
      </w:r>
      <w:r>
        <w:t xml:space="preserve"> </w:t>
      </w:r>
      <w:r>
        <w:rPr>
          <w:b/>
          <w:bCs/>
        </w:rPr>
        <w:t xml:space="preserve">[ASSUMPTION]</w:t>
      </w:r>
      <w:r>
        <w:t xml:space="preserve"> </w:t>
      </w:r>
      <w:r>
        <w:t xml:space="preserve">~2 engineer-days) and the most expensive to retrofit, because by then every module has a hard-wired database handle.</w:t>
      </w:r>
    </w:p>
    <w:bookmarkEnd w:id="18"/>
    <w:bookmarkStart w:id="19" w:name="constraints-this-design-must-respect"/>
    <w:p>
      <w:pPr>
        <w:pStyle w:val="Heading3"/>
      </w:pPr>
      <w:r>
        <w:t xml:space="preserve">1.4 Constraints this design must respect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Constraint</w:t>
            </w:r>
          </w:p>
        </w:tc>
        <w:tc>
          <w:tcPr/>
          <w:p>
            <w:pPr>
              <w:pStyle w:val="Compact"/>
            </w:pPr>
            <w:r>
              <w:t xml:space="preserve">Value</w:t>
            </w:r>
          </w:p>
        </w:tc>
        <w:tc>
          <w:tcPr/>
          <w:p>
            <w:pPr>
              <w:pStyle w:val="Compact"/>
            </w:pPr>
            <w:r>
              <w:t xml:space="preserve">Consequence</w:t>
            </w:r>
          </w:p>
        </w:tc>
      </w:tr>
      <w:tr>
        <w:tc>
          <w:tcPr/>
          <w:p>
            <w:pPr>
              <w:pStyle w:val="Compact"/>
            </w:pPr>
            <w:r>
              <w:t xml:space="preserve">Team size</w:t>
            </w:r>
          </w:p>
        </w:tc>
        <w:tc>
          <w:tcPr/>
          <w:p>
            <w:pPr>
              <w:pStyle w:val="Compact"/>
            </w:pPr>
            <w:r>
              <w:rPr>
                <w:b/>
                <w:bCs/>
              </w:rPr>
              <w:t xml:space="preserve">[ASSUMPTION]</w:t>
            </w:r>
            <w:r>
              <w:t xml:space="preserve"> </w:t>
            </w:r>
            <w:r>
              <w:t xml:space="preserve">2–5 engineers for 24 months</w:t>
            </w:r>
          </w:p>
        </w:tc>
        <w:tc>
          <w:tcPr/>
          <w:p>
            <w:pPr>
              <w:pStyle w:val="Compact"/>
            </w:pPr>
            <w:r>
              <w:t xml:space="preserve">Operational surface is the scarcest resource. Every new datastore must justify itself against §36</w:t>
            </w:r>
          </w:p>
        </w:tc>
      </w:tr>
      <w:tr>
        <w:tc>
          <w:tcPr/>
          <w:p>
            <w:pPr>
              <w:pStyle w:val="Compact"/>
            </w:pPr>
            <w:r>
              <w:t xml:space="preserve">Price point</w:t>
            </w:r>
          </w:p>
        </w:tc>
        <w:tc>
          <w:tcPr/>
          <w:p>
            <w:pPr>
              <w:pStyle w:val="Compact"/>
            </w:pPr>
            <w:r>
              <w:t xml:space="preserve">₹300 – ₹3,000 / tenant / month</w:t>
            </w:r>
          </w:p>
        </w:tc>
        <w:tc>
          <w:tcPr/>
          <w:p>
            <w:pPr>
              <w:pStyle w:val="Compact"/>
            </w:pPr>
            <w:r>
              <w:t xml:space="preserve">Infrastructure cost per tenant must stay ≲ ₹40/month</w:t>
            </w:r>
            <w:r>
              <w:t xml:space="preserve"> </w:t>
            </w:r>
            <w:r>
              <w:rPr>
                <w:b/>
                <w:bCs/>
              </w:rPr>
              <w:t xml:space="preserve">[JUDGEMENT]</w:t>
            </w:r>
            <w:r>
              <w:t xml:space="preserve">. This single number eliminates database-per-tenant</w:t>
            </w:r>
          </w:p>
        </w:tc>
      </w:tr>
      <w:tr>
        <w:tc>
          <w:tcPr/>
          <w:p>
            <w:pPr>
              <w:pStyle w:val="Compact"/>
            </w:pPr>
            <w:r>
              <w:t xml:space="preserve">Market</w:t>
            </w:r>
          </w:p>
        </w:tc>
        <w:tc>
          <w:tcPr/>
          <w:p>
            <w:pPr>
              <w:pStyle w:val="Compact"/>
            </w:pPr>
            <w:r>
              <w:t xml:space="preserve">India-first SMB, migrating from Tally, Zoho Books, Vyapar, Excel</w:t>
            </w:r>
          </w:p>
        </w:tc>
        <w:tc>
          <w:tcPr/>
          <w:p>
            <w:pPr>
              <w:pStyle w:val="Compact"/>
            </w:pPr>
            <w:r>
              <w:t xml:space="preserve">GST/TDS/e-invoice are core domain, not a plugin. Fiscal year is April–March. Data residency is a live sales question</w:t>
            </w:r>
          </w:p>
        </w:tc>
      </w:tr>
      <w:tr>
        <w:tc>
          <w:tcPr/>
          <w:p>
            <w:pPr>
              <w:pStyle w:val="Compact"/>
            </w:pPr>
            <w:r>
              <w:t xml:space="preserve">Existing codebase</w:t>
            </w:r>
          </w:p>
        </w:tc>
        <w:tc>
          <w:tcPr/>
          <w:p>
            <w:pPr>
              <w:pStyle w:val="Compact"/>
            </w:pPr>
            <w:r>
              <w:t xml:space="preserve">74 models, 122 routes, ~102k lines TS, 640 passing unit tests</w:t>
            </w:r>
            <w:r>
              <w:t xml:space="preserve"> </w:t>
            </w:r>
            <w:r>
              <w:rPr>
                <w:b/>
                <w:bCs/>
              </w:rPr>
              <w:t xml:space="preserve">[VERIFIED-REPO]</w:t>
            </w:r>
          </w:p>
        </w:tc>
        <w:tc>
          <w:tcPr/>
          <w:p>
            <w:pPr>
              <w:pStyle w:val="Compact"/>
            </w:pPr>
            <w:r>
              <w:t xml:space="preserve">The design must be reachable by evolution. A rewrite is not on the table and would not be justified — see §35</w:t>
            </w:r>
          </w:p>
        </w:tc>
      </w:tr>
      <w:tr>
        <w:tc>
          <w:tcPr/>
          <w:p>
            <w:pPr>
              <w:pStyle w:val="Compact"/>
            </w:pPr>
            <w:r>
              <w:t xml:space="preserve">Correctness bar</w:t>
            </w:r>
          </w:p>
        </w:tc>
        <w:tc>
          <w:tcPr/>
          <w:p>
            <w:pPr>
              <w:pStyle w:val="Compact"/>
            </w:pPr>
            <w:r>
              <w:t xml:space="preserve">An accounting ledger</w:t>
            </w:r>
          </w:p>
        </w:tc>
        <w:tc>
          <w:tcPr/>
          <w:p>
            <w:pPr>
              <w:pStyle w:val="Compact"/>
            </w:pPr>
            <w:r>
              <w:t xml:space="preserve">Eventual consistency is unacceptable inside a posting. This constrains §6 (monolith) and §22 (no caching of financial data)</w:t>
            </w:r>
          </w:p>
        </w:tc>
      </w:tr>
    </w:tbl>
    <w:p>
      <w:r>
        <w:pict>
          <v:rect style="width:0;height:1.5pt" o:hralign="center" o:hrstd="t" o:hr="t"/>
        </w:pict>
      </w:r>
    </w:p>
    <w:bookmarkEnd w:id="19"/>
    <w:bookmarkEnd w:id="20"/>
    <w:bookmarkStart w:id="26" w:name="Xb669a35805779a5b4cd299fc3537532c2964fcf"/>
    <w:p>
      <w:pPr>
        <w:pStyle w:val="Heading2"/>
      </w:pPr>
      <w:r>
        <w:t xml:space="preserve">2. Reference architectures — Salesforce, Zoho Books, TallyPrime</w:t>
      </w:r>
    </w:p>
    <w:p>
      <w:pPr>
        <w:pStyle w:val="FirstParagraph"/>
      </w:pPr>
      <w:r>
        <w:t xml:space="preserve">The brief names three reference systems. They are usefully different: one is the canonical published multi-tenant platform architecture, one is the closest direct competitor, one is the incumbent AccuBook is displacing. Each teaches something different, and one of them is mostly a lesson in what</w:t>
      </w:r>
      <w:r>
        <w:t xml:space="preserve"> </w:t>
      </w:r>
      <w:r>
        <w:rPr>
          <w:i/>
          <w:iCs/>
        </w:rPr>
        <w:t xml:space="preserve">not</w:t>
      </w:r>
      <w:r>
        <w:t xml:space="preserve"> </w:t>
      </w:r>
      <w:r>
        <w:t xml:space="preserve">to do.</w:t>
      </w:r>
    </w:p>
    <w:bookmarkStart w:id="21" w:name="salesforce-the-canonical-pooled-platform"/>
    <w:p>
      <w:pPr>
        <w:pStyle w:val="Heading3"/>
      </w:pPr>
      <w:r>
        <w:t xml:space="preserve">2.1 Salesforce — the canonical pooled platform</w:t>
      </w:r>
    </w:p>
    <w:p>
      <w:pPr>
        <w:pStyle w:val="FirstParagraph"/>
      </w:pPr>
      <w:r>
        <w:rPr>
          <w:b/>
          <w:bCs/>
        </w:rPr>
        <w:t xml:space="preserve">[VENDOR-CHECK]</w:t>
      </w:r>
      <w:r>
        <w:t xml:space="preserve"> </w:t>
      </w:r>
      <w:r>
        <w:t xml:space="preserve">Salesforce has published its multi-tenant architecture more openly than any comparable vendor, in the Force.com</w:t>
      </w:r>
      <w:r>
        <w:t xml:space="preserve"> </w:t>
      </w:r>
      <w:r>
        <w:t xml:space="preserve">“Multi Tenant Architecture”</w:t>
      </w:r>
      <w:r>
        <w:t xml:space="preserve"> </w:t>
      </w:r>
      <w:r>
        <w:t xml:space="preserve">technical papers. The architecturally significant properties: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What Salesforce does</w:t>
            </w:r>
          </w:p>
        </w:tc>
        <w:tc>
          <w:tcPr/>
          <w:p>
            <w:pPr>
              <w:pStyle w:val="Compact"/>
            </w:pPr>
            <w:r>
              <w:t xml:space="preserve">Verdict for AccuBook</w:t>
            </w:r>
          </w:p>
        </w:tc>
      </w:tr>
      <w:tr>
        <w:tc>
          <w:tcPr/>
          <w:p>
            <w:pPr>
              <w:pStyle w:val="Compact"/>
            </w:pPr>
            <w:r>
              <w:rPr>
                <w:b/>
                <w:bCs/>
              </w:rPr>
              <w:t xml:space="preserve">Tenancy</w:t>
            </w:r>
          </w:p>
        </w:tc>
        <w:tc>
          <w:tcPr/>
          <w:p>
            <w:pPr>
              <w:pStyle w:val="Compact"/>
            </w:pPr>
            <w:r>
              <w:t xml:space="preserve">Pooled. Every tenant (</w:t>
            </w:r>
            <w:r>
              <w:t xml:space="preserve">“org”</w:t>
            </w:r>
            <w:r>
              <w:t xml:space="preserve">) shares tables.</w:t>
            </w:r>
            <w:r>
              <w:t xml:space="preserve"> </w:t>
            </w:r>
            <w:r>
              <w:rPr>
                <w:rStyle w:val="VerbatimChar"/>
              </w:rPr>
              <w:t xml:space="preserve">OrgID</w:t>
            </w:r>
            <w:r>
              <w:t xml:space="preserve"> </w:t>
            </w:r>
            <w:r>
              <w:t xml:space="preserve">is the leading column of essentially every index</w:t>
            </w:r>
          </w:p>
        </w:tc>
        <w:tc>
          <w:tcPr/>
          <w:p>
            <w:pPr>
              <w:pStyle w:val="Compact"/>
            </w:pPr>
            <w:r>
              <w:rPr>
                <w:b/>
                <w:bCs/>
              </w:rPr>
              <w:t xml:space="preserve">Adopt in full.</w:t>
            </w:r>
            <w:r>
              <w:t xml:space="preserve"> </w:t>
            </w:r>
            <w:r>
              <w:t xml:space="preserve">This is the model, and it scales to a very large number of orgs on shared infrastructure</w:t>
            </w:r>
          </w:p>
        </w:tc>
      </w:tr>
      <w:tr>
        <w:tc>
          <w:tcPr/>
          <w:p>
            <w:pPr>
              <w:pStyle w:val="Compact"/>
            </w:pPr>
            <w:r>
              <w:rPr>
                <w:b/>
                <w:bCs/>
              </w:rPr>
              <w:t xml:space="preserve">Pods / instances</w:t>
            </w:r>
          </w:p>
        </w:tc>
        <w:tc>
          <w:tcPr/>
          <w:p>
            <w:pPr>
              <w:pStyle w:val="Compact"/>
            </w:pPr>
            <w:r>
              <w:t xml:space="preserve">Orgs are assigned to numbered instances (pods). An org lives on exactly one pod; pods are independently scaled and upgraded; orgs can be migrated between pods</w:t>
            </w:r>
          </w:p>
        </w:tc>
        <w:tc>
          <w:tcPr/>
          <w:p>
            <w:pPr>
              <w:pStyle w:val="Compact"/>
            </w:pPr>
            <w:r>
              <w:rPr>
                <w:b/>
                <w:bCs/>
              </w:rPr>
              <w:t xml:space="preserve">Adopt as</w:t>
            </w:r>
            <w:r>
              <w:rPr>
                <w:b/>
                <w:bCs/>
              </w:rPr>
              <w:t xml:space="preserve"> </w:t>
            </w:r>
            <w:r>
              <w:rPr>
                <w:rStyle w:val="VerbatimChar"/>
                <w:b/>
                <w:bCs/>
              </w:rPr>
              <w:t xml:space="preserve">Placement</w:t>
            </w:r>
            <w:r>
              <w:t xml:space="preserve"> </w:t>
            </w:r>
            <w:r>
              <w:t xml:space="preserve">(§17). This is exactly the indirection in</w:t>
            </w:r>
            <w:r>
              <w:t xml:space="preserve"> </w:t>
            </w:r>
            <w:r>
              <w:rPr>
                <w:b/>
                <w:bCs/>
              </w:rPr>
              <w:t xml:space="preserve">I8</w:t>
            </w:r>
          </w:p>
        </w:tc>
      </w:tr>
      <w:tr>
        <w:tc>
          <w:tcPr/>
          <w:p>
            <w:pPr>
              <w:pStyle w:val="Compact"/>
            </w:pPr>
            <w:r>
              <w:rPr>
                <w:b/>
                <w:bCs/>
              </w:rPr>
              <w:t xml:space="preserve">Metadata-driven schema</w:t>
            </w:r>
          </w:p>
        </w:tc>
        <w:tc>
          <w:tcPr/>
          <w:p>
            <w:pPr>
              <w:pStyle w:val="Compact"/>
            </w:pPr>
            <w:r>
              <w:t xml:space="preserve">Custom objects and fields are not DDL. They are rows in metadata tables, with values stored in a universal data table and materialised into pivot/index structures</w:t>
            </w:r>
          </w:p>
        </w:tc>
        <w:tc>
          <w:tcPr/>
          <w:p>
            <w:pPr>
              <w:pStyle w:val="Compact"/>
            </w:pPr>
            <w:r>
              <w:rPr>
                <w:b/>
                <w:bCs/>
              </w:rPr>
              <w:t xml:space="preserve">Adopt selectively</w:t>
            </w:r>
            <w:r>
              <w:t xml:space="preserve"> </w:t>
            </w:r>
            <w:r>
              <w:t xml:space="preserve">(§15). Full metadata-driven storage is over-engineering for AccuBook; the</w:t>
            </w:r>
            <w:r>
              <w:t xml:space="preserve"> </w:t>
            </w:r>
            <w:r>
              <w:rPr>
                <w:i/>
                <w:iCs/>
              </w:rPr>
              <w:t xml:space="preserve">principle</w:t>
            </w:r>
            <w:r>
              <w:t xml:space="preserve"> </w:t>
            </w:r>
            <w:r>
              <w:t xml:space="preserve">— tenant customisation must never require per-tenant DDL — is essential</w:t>
            </w:r>
          </w:p>
        </w:tc>
      </w:tr>
      <w:tr>
        <w:tc>
          <w:tcPr/>
          <w:p>
            <w:pPr>
              <w:pStyle w:val="Compact"/>
            </w:pPr>
            <w:r>
              <w:rPr>
                <w:b/>
                <w:bCs/>
              </w:rPr>
              <w:t xml:space="preserve">Governor limits</w:t>
            </w:r>
          </w:p>
        </w:tc>
        <w:tc>
          <w:tcPr/>
          <w:p>
            <w:pPr>
              <w:pStyle w:val="Compact"/>
            </w:pPr>
            <w:r>
              <w:t xml:space="preserve">Hard, published, per-org limits on query rows, CPU time, callouts, storage. Enforced by the platform, not by convention</w:t>
            </w:r>
          </w:p>
        </w:tc>
        <w:tc>
          <w:tcPr/>
          <w:p>
            <w:pPr>
              <w:pStyle w:val="Compact"/>
            </w:pPr>
            <w:r>
              <w:rPr>
                <w:b/>
                <w:bCs/>
              </w:rPr>
              <w:t xml:space="preserve">Adopt in full</w:t>
            </w:r>
            <w:r>
              <w:t xml:space="preserve"> </w:t>
            </w:r>
            <w:r>
              <w:t xml:space="preserve">(§24, §26). This is how a pooled platform survives noisy neighbours. Limits must be designed in from Stage 1, not bolted on when someone’s report melts the primary</w:t>
            </w:r>
          </w:p>
        </w:tc>
      </w:tr>
      <w:tr>
        <w:tc>
          <w:tcPr/>
          <w:p>
            <w:pPr>
              <w:pStyle w:val="Compact"/>
            </w:pPr>
            <w:r>
              <w:rPr>
                <w:b/>
                <w:bCs/>
              </w:rPr>
              <w:t xml:space="preserve">Sandboxes / org copy</w:t>
            </w:r>
          </w:p>
        </w:tc>
        <w:tc>
          <w:tcPr/>
          <w:p>
            <w:pPr>
              <w:pStyle w:val="Compact"/>
            </w:pPr>
            <w:r>
              <w:t xml:space="preserve">Full and partial copies of an org, produced by platform tooling</w:t>
            </w:r>
          </w:p>
        </w:tc>
        <w:tc>
          <w:tcPr/>
          <w:p>
            <w:pPr>
              <w:pStyle w:val="Compact"/>
            </w:pPr>
            <w:r>
              <w:rPr>
                <w:b/>
                <w:bCs/>
              </w:rPr>
              <w:t xml:space="preserve">Adopt a narrow version</w:t>
            </w:r>
            <w:r>
              <w:t xml:space="preserve"> </w:t>
            </w:r>
            <w:r>
              <w:t xml:space="preserve">(§7, §33) — single-tenant export and restore. The same machinery serves DPDP erasure and customer offboarding</w:t>
            </w:r>
          </w:p>
        </w:tc>
      </w:tr>
      <w:tr>
        <w:tc>
          <w:tcPr/>
          <w:p>
            <w:pPr>
              <w:pStyle w:val="Compact"/>
            </w:pPr>
            <w:r>
              <w:rPr>
                <w:b/>
                <w:bCs/>
              </w:rPr>
              <w:t xml:space="preserve">Declarative permissions</w:t>
            </w:r>
          </w:p>
        </w:tc>
        <w:tc>
          <w:tcPr/>
          <w:p>
            <w:pPr>
              <w:pStyle w:val="Compact"/>
            </w:pPr>
            <w:r>
              <w:t xml:space="preserve">Profiles, permission sets, sharing rules, field-level security, all data-driven</w:t>
            </w:r>
          </w:p>
        </w:tc>
        <w:tc>
          <w:tcPr/>
          <w:p>
            <w:pPr>
              <w:pStyle w:val="Compact"/>
            </w:pPr>
            <w:r>
              <w:rPr>
                <w:b/>
                <w:bCs/>
              </w:rPr>
              <w:t xml:space="preserve">Adopt the shape</w:t>
            </w:r>
            <w:r>
              <w:t xml:space="preserve"> </w:t>
            </w:r>
            <w:r>
              <w:t xml:space="preserve">(§11), not the complexity. Permissions as data; never</w:t>
            </w:r>
            <w:r>
              <w:t xml:space="preserve"> </w:t>
            </w:r>
            <w:r>
              <w:rPr>
                <w:rStyle w:val="VerbatimChar"/>
              </w:rPr>
              <w:t xml:space="preserve">if (role === 'ADMIN')</w:t>
            </w:r>
          </w:p>
        </w:tc>
      </w:tr>
      <w:tr>
        <w:tc>
          <w:tcPr/>
          <w:p>
            <w:pPr>
              <w:pStyle w:val="Compact"/>
            </w:pPr>
            <w:r>
              <w:rPr>
                <w:b/>
                <w:bCs/>
              </w:rPr>
              <w:t xml:space="preserve">Apex / in-platform code</w:t>
            </w:r>
          </w:p>
        </w:tc>
        <w:tc>
          <w:tcPr/>
          <w:p>
            <w:pPr>
              <w:pStyle w:val="Compact"/>
            </w:pPr>
            <w:r>
              <w:t xml:space="preserve">Tenants execute their own code in a governed runtime</w:t>
            </w:r>
          </w:p>
        </w:tc>
        <w:tc>
          <w:tcPr/>
          <w:p>
            <w:pPr>
              <w:pStyle w:val="Compact"/>
            </w:pPr>
            <w:r>
              <w:rPr>
                <w:b/>
                <w:bCs/>
              </w:rPr>
              <w:t xml:space="preserve">Reject.</w:t>
            </w:r>
            <w:r>
              <w:t xml:space="preserve"> </w:t>
            </w:r>
            <w:r>
              <w:t xml:space="preserve">Enormous surface area. Nothing in the SMB accounting market asks for it</w:t>
            </w:r>
          </w:p>
        </w:tc>
      </w:tr>
    </w:tbl>
    <w:p>
      <w:pPr>
        <w:pStyle w:val="BodyText"/>
      </w:pPr>
      <w:r>
        <w:rPr>
          <w:b/>
          <w:bCs/>
        </w:rPr>
        <w:t xml:space="preserve">[JUDGEMENT]</w:t>
      </w:r>
      <w:r>
        <w:t xml:space="preserve"> </w:t>
      </w:r>
      <w:r>
        <w:t xml:space="preserve">The most valuable Salesforce lesson is the least glamorous one:</w:t>
      </w:r>
      <w:r>
        <w:t xml:space="preserve"> </w:t>
      </w:r>
      <w:r>
        <w:rPr>
          <w:b/>
          <w:bCs/>
        </w:rPr>
        <w:t xml:space="preserve">the tenant identifier is a first-class part of every index, not an afterthought in a</w:t>
      </w:r>
      <w:r>
        <w:rPr>
          <w:b/>
          <w:bCs/>
        </w:rPr>
        <w:t xml:space="preserve"> </w:t>
      </w:r>
      <w:r>
        <w:rPr>
          <w:rStyle w:val="VerbatimChar"/>
          <w:b/>
          <w:bCs/>
        </w:rPr>
        <w:t xml:space="preserve">WHERE</w:t>
      </w:r>
      <w:r>
        <w:rPr>
          <w:b/>
          <w:bCs/>
        </w:rPr>
        <w:t xml:space="preserve"> </w:t>
      </w:r>
      <w:r>
        <w:rPr>
          <w:b/>
          <w:bCs/>
        </w:rPr>
        <w:t xml:space="preserve">clause.</w:t>
      </w:r>
      <w:r>
        <w:t xml:space="preserve"> </w:t>
      </w:r>
      <w:r>
        <w:t xml:space="preserve">A pooled architecture succeeds or fails on whether</w:t>
      </w:r>
      <w:r>
        <w:t xml:space="preserve"> </w:t>
      </w:r>
      <w:r>
        <w:rPr>
          <w:rStyle w:val="VerbatimChar"/>
        </w:rPr>
        <w:t xml:space="preserve">(organizationId, …)</w:t>
      </w:r>
      <w:r>
        <w:t xml:space="preserve"> </w:t>
      </w:r>
      <w:r>
        <w:t xml:space="preserve">leads every index. AccuBook currently has 41 of 74 models carrying</w:t>
      </w:r>
      <w:r>
        <w:t xml:space="preserve"> </w:t>
      </w:r>
      <w:r>
        <w:rPr>
          <w:rStyle w:val="VerbatimChar"/>
        </w:rPr>
        <w:t xml:space="preserve">organizationId</w:t>
      </w:r>
      <w:r>
        <w:t xml:space="preserve"> </w:t>
      </w:r>
      <w:r>
        <w:rPr>
          <w:b/>
          <w:bCs/>
        </w:rPr>
        <w:t xml:space="preserve">[VERIFIED-REPO]</w:t>
      </w:r>
      <w:r>
        <w:t xml:space="preserve"> </w:t>
      </w:r>
      <w:r>
        <w:t xml:space="preserve">and it is not consistently index-leading — §8.4 fixes that.</w:t>
      </w:r>
    </w:p>
    <w:p>
      <w:pPr>
        <w:pStyle w:val="BodyText"/>
      </w:pPr>
      <w:r>
        <w:t xml:space="preserve">The second most valuable lesson is that</w:t>
      </w:r>
      <w:r>
        <w:t xml:space="preserve"> </w:t>
      </w:r>
      <w:r>
        <w:rPr>
          <w:b/>
          <w:bCs/>
        </w:rPr>
        <w:t xml:space="preserve">governor limits are a feature, not a compromise.</w:t>
      </w:r>
      <w:r>
        <w:t xml:space="preserve"> </w:t>
      </w:r>
      <w:r>
        <w:t xml:space="preserve">Salesforce publishes them, prices around them, and sells raising them. AccuBook should do the same rather than discovering per-tenant limits during an incident.</w:t>
      </w:r>
    </w:p>
    <w:bookmarkEnd w:id="21"/>
    <w:bookmarkStart w:id="22" w:name="zoho-books-the-direct-competitor"/>
    <w:p>
      <w:pPr>
        <w:pStyle w:val="Heading3"/>
      </w:pPr>
      <w:r>
        <w:t xml:space="preserve">2.2 Zoho Books — the direct competitor</w:t>
      </w:r>
    </w:p>
    <w:p>
      <w:pPr>
        <w:pStyle w:val="FirstParagraph"/>
      </w:pPr>
      <w:r>
        <w:rPr>
          <w:b/>
          <w:bCs/>
        </w:rPr>
        <w:t xml:space="preserve">[VENDOR-CHECK]</w:t>
      </w:r>
      <w:r>
        <w:t xml:space="preserve"> </w:t>
      </w:r>
      <w:r>
        <w:t xml:space="preserve">Zoho does not publish an architecture paper. What is publicly observable and architecturally relevant: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Observable</w:t>
            </w:r>
          </w:p>
        </w:tc>
        <w:tc>
          <w:tcPr/>
          <w:p>
            <w:pPr>
              <w:pStyle w:val="Compact"/>
            </w:pPr>
            <w:r>
              <w:t xml:space="preserve">Architectural implication</w:t>
            </w:r>
          </w:p>
        </w:tc>
        <w:tc>
          <w:tcPr/>
          <w:p>
            <w:pPr>
              <w:pStyle w:val="Compact"/>
            </w:pPr>
            <w:r>
              <w:t xml:space="preserve">Verdict</w:t>
            </w:r>
          </w:p>
        </w:tc>
      </w:tr>
      <w:tr>
        <w:tc>
          <w:tcPr/>
          <w:p>
            <w:pPr>
              <w:pStyle w:val="Compact"/>
            </w:pPr>
            <w:r>
              <w:rPr>
                <w:b/>
                <w:bCs/>
              </w:rPr>
              <w:t xml:space="preserve">Regional data centres</w:t>
            </w:r>
            <w:r>
              <w:t xml:space="preserve">, including an India DC, with data residency stated per region; account creation binds you to a region</w:t>
            </w:r>
          </w:p>
        </w:tc>
        <w:tc>
          <w:tcPr/>
          <w:p>
            <w:pPr>
              <w:pStyle w:val="Compact"/>
            </w:pPr>
            <w:r>
              <w:t xml:space="preserve">Region is part of tenant placement, chosen at signup and effectively permanent</w:t>
            </w:r>
          </w:p>
        </w:tc>
        <w:tc>
          <w:tcPr/>
          <w:p>
            <w:pPr>
              <w:pStyle w:val="Compact"/>
            </w:pPr>
            <w:r>
              <w:rPr>
                <w:b/>
                <w:bCs/>
              </w:rPr>
              <w:t xml:space="preserve">Adopt</w:t>
            </w:r>
            <w:r>
              <w:t xml:space="preserve"> </w:t>
            </w:r>
            <w:r>
              <w:t xml:space="preserve">(§17.5). Placement must carry a region, even when there is only one</w:t>
            </w:r>
          </w:p>
        </w:tc>
      </w:tr>
      <w:tr>
        <w:tc>
          <w:tcPr/>
          <w:p>
            <w:pPr>
              <w:pStyle w:val="Compact"/>
            </w:pPr>
            <w:r>
              <w:rPr>
                <w:b/>
                <w:bCs/>
              </w:rPr>
              <w:t xml:space="preserve">Organisation switching</w:t>
            </w:r>
            <w:r>
              <w:t xml:space="preserve"> </w:t>
            </w:r>
            <w:r>
              <w:t xml:space="preserve">— one login, many organisations, instant switch</w:t>
            </w:r>
          </w:p>
        </w:tc>
        <w:tc>
          <w:tcPr/>
          <w:p>
            <w:pPr>
              <w:pStyle w:val="Compact"/>
            </w:pPr>
            <w:r>
              <w:t xml:space="preserve">Identity is global; membership is the mapping; tenant context is per-request, not per-session</w:t>
            </w:r>
          </w:p>
        </w:tc>
        <w:tc>
          <w:tcPr/>
          <w:p>
            <w:pPr>
              <w:pStyle w:val="Compact"/>
            </w:pPr>
            <w:r>
              <w:rPr>
                <w:b/>
                <w:bCs/>
              </w:rPr>
              <w:t xml:space="preserve">Adopt</w:t>
            </w:r>
            <w:r>
              <w:t xml:space="preserve"> </w:t>
            </w:r>
            <w:r>
              <w:t xml:space="preserve">(§10, §12). AccuBook already has</w:t>
            </w:r>
            <w:r>
              <w:t xml:space="preserve"> </w:t>
            </w:r>
            <w:r>
              <w:rPr>
                <w:rStyle w:val="VerbatimChar"/>
              </w:rPr>
              <w:t xml:space="preserve">OrganizationUser</w:t>
            </w:r>
            <w:r>
              <w:t xml:space="preserve"> </w:t>
            </w:r>
            <w:r>
              <w:t xml:space="preserve">with</w:t>
            </w:r>
            <w:r>
              <w:t xml:space="preserve"> </w:t>
            </w:r>
            <w:r>
              <w:rPr>
                <w:rStyle w:val="VerbatimChar"/>
              </w:rPr>
              <w:t xml:space="preserve">@@unique([organizationId, userId])</w:t>
            </w:r>
            <w:r>
              <w:t xml:space="preserve"> </w:t>
            </w:r>
            <w:r>
              <w:rPr>
                <w:b/>
                <w:bCs/>
              </w:rPr>
              <w:t xml:space="preserve">[VERIFIED-REPO]</w:t>
            </w:r>
            <w:r>
              <w:t xml:space="preserve"> </w:t>
            </w:r>
            <w:r>
              <w:t xml:space="preserve">— the right shape</w:t>
            </w:r>
          </w:p>
        </w:tc>
      </w:tr>
      <w:tr>
        <w:tc>
          <w:tcPr/>
          <w:p>
            <w:pPr>
              <w:pStyle w:val="Compact"/>
            </w:pPr>
            <w:r>
              <w:rPr>
                <w:b/>
                <w:bCs/>
              </w:rPr>
              <w:t xml:space="preserve">Per-organisation plan and limits</w:t>
            </w:r>
            <w:r>
              <w:t xml:space="preserve"> </w:t>
            </w:r>
            <w:r>
              <w:t xml:space="preserve">— plans priced per org, with limits on users, invoices, workflows</w:t>
            </w:r>
          </w:p>
        </w:tc>
        <w:tc>
          <w:tcPr/>
          <w:p>
            <w:pPr>
              <w:pStyle w:val="Compact"/>
            </w:pPr>
            <w:r>
              <w:t xml:space="preserve">Entitlements are per-tenant, materialised, and enforced at the API boundary</w:t>
            </w:r>
          </w:p>
        </w:tc>
        <w:tc>
          <w:tcPr/>
          <w:p>
            <w:pPr>
              <w:pStyle w:val="Compact"/>
            </w:pPr>
            <w:r>
              <w:rPr>
                <w:b/>
                <w:bCs/>
              </w:rPr>
              <w:t xml:space="preserve">Adopt</w:t>
            </w:r>
            <w:r>
              <w:t xml:space="preserve"> </w:t>
            </w:r>
            <w:r>
              <w:t xml:space="preserve">(§24)</w:t>
            </w:r>
          </w:p>
        </w:tc>
      </w:tr>
      <w:tr>
        <w:tc>
          <w:tcPr/>
          <w:p>
            <w:pPr>
              <w:pStyle w:val="Compact"/>
            </w:pPr>
            <w:r>
              <w:rPr>
                <w:b/>
                <w:bCs/>
              </w:rPr>
              <w:t xml:space="preserve">Deep suite integration</w:t>
            </w:r>
            <w:r>
              <w:t xml:space="preserve"> </w:t>
            </w:r>
            <w:r>
              <w:t xml:space="preserve">— Books, Inventory, Payroll, CRM as separate products sharing identity</w:t>
            </w:r>
          </w:p>
        </w:tc>
        <w:tc>
          <w:tcPr/>
          <w:p>
            <w:pPr>
              <w:pStyle w:val="Compact"/>
            </w:pPr>
            <w:r>
              <w:t xml:space="preserve">A shared control plane with per-product data planes</w:t>
            </w:r>
          </w:p>
        </w:tc>
        <w:tc>
          <w:tcPr/>
          <w:p>
            <w:pPr>
              <w:pStyle w:val="Compact"/>
            </w:pPr>
            <w:r>
              <w:rPr>
                <w:b/>
                <w:bCs/>
              </w:rPr>
              <w:t xml:space="preserve">Adopt the control-plane split</w:t>
            </w:r>
            <w:r>
              <w:t xml:space="preserve"> </w:t>
            </w:r>
            <w:r>
              <w:t xml:space="preserve">(§7); reject the product fragmentation. AccuBook’s modules ship as one product</w:t>
            </w:r>
          </w:p>
        </w:tc>
      </w:tr>
      <w:tr>
        <w:tc>
          <w:tcPr/>
          <w:p>
            <w:pPr>
              <w:pStyle w:val="Compact"/>
            </w:pPr>
            <w:r>
              <w:rPr>
                <w:b/>
                <w:bCs/>
              </w:rPr>
              <w:t xml:space="preserve">India statutory depth</w:t>
            </w:r>
            <w:r>
              <w:t xml:space="preserve"> </w:t>
            </w:r>
            <w:r>
              <w:t xml:space="preserve">— GST returns, e-invoicing, e-way bill built in</w:t>
            </w:r>
          </w:p>
        </w:tc>
        <w:tc>
          <w:tcPr/>
          <w:p>
            <w:pPr>
              <w:pStyle w:val="Compact"/>
            </w:pPr>
            <w:r>
              <w:t xml:space="preserve">Tax is core domain with a versioned rule set, not a plugin</w:t>
            </w:r>
          </w:p>
        </w:tc>
        <w:tc>
          <w:tcPr/>
          <w:p>
            <w:pPr>
              <w:pStyle w:val="Compact"/>
            </w:pPr>
            <w:r>
              <w:rPr>
                <w:b/>
                <w:bCs/>
              </w:rPr>
              <w:t xml:space="preserve">Adopt</w:t>
            </w:r>
            <w:r>
              <w:t xml:space="preserve"> </w:t>
            </w:r>
            <w:r>
              <w:t xml:space="preserve">(§25). This is the competitive requirement, not a nice-to-have</w:t>
            </w:r>
          </w:p>
        </w:tc>
      </w:tr>
    </w:tbl>
    <w:p>
      <w:pPr>
        <w:pStyle w:val="BodyText"/>
      </w:pPr>
      <w:r>
        <w:rPr>
          <w:b/>
          <w:bCs/>
        </w:rPr>
        <w:t xml:space="preserve">[JUDGEMENT]</w:t>
      </w:r>
      <w:r>
        <w:t xml:space="preserve"> </w:t>
      </w:r>
      <w:r>
        <w:t xml:space="preserve">Zoho is the proof that the pooled model works at SMB price points in exactly this market. It is also the standard AccuBook will be compared against on two specific axes —</w:t>
      </w:r>
      <w:r>
        <w:t xml:space="preserve"> </w:t>
      </w:r>
      <w:r>
        <w:rPr>
          <w:b/>
          <w:bCs/>
        </w:rPr>
        <w:t xml:space="preserve">statutory correctness</w:t>
      </w:r>
      <w:r>
        <w:t xml:space="preserve"> </w:t>
      </w:r>
      <w:r>
        <w:t xml:space="preserve">and</w:t>
      </w:r>
      <w:r>
        <w:t xml:space="preserve"> </w:t>
      </w:r>
      <w:r>
        <w:rPr>
          <w:b/>
          <w:bCs/>
        </w:rPr>
        <w:t xml:space="preserve">month-end report speed</w:t>
      </w:r>
      <w:r>
        <w:t xml:space="preserve">. §19 and §25 are written against that comparison.</w:t>
      </w:r>
    </w:p>
    <w:bookmarkEnd w:id="22"/>
    <w:bookmarkStart w:id="23" w:name="Xfca6318313d84c98d9a4e70e51885f258cdf954"/>
    <w:p>
      <w:pPr>
        <w:pStyle w:val="Heading3"/>
      </w:pPr>
      <w:r>
        <w:t xml:space="preserve">2.3 TallyPrime on cloud — the incumbent, and the anti-pattern</w:t>
      </w:r>
    </w:p>
    <w:p>
      <w:pPr>
        <w:pStyle w:val="FirstParagraph"/>
      </w:pPr>
      <w:r>
        <w:rPr>
          <w:b/>
          <w:bCs/>
        </w:rPr>
        <w:t xml:space="preserve">[VENDOR-CHECK]</w:t>
      </w:r>
      <w:r>
        <w:t xml:space="preserve"> </w:t>
      </w:r>
      <w:r>
        <w:t xml:space="preserve">TallyPrime is a desktop application. Its data lives in a local company data folder; multi-user access is via TallyPrime Server on a LAN.</w:t>
      </w:r>
      <w:r>
        <w:t xml:space="preserve"> </w:t>
      </w:r>
      <w:r>
        <w:t xml:space="preserve">“Tally on cloud”</w:t>
      </w:r>
      <w:r>
        <w:t xml:space="preserve"> </w:t>
      </w:r>
      <w:r>
        <w:t xml:space="preserve">is, in the common partner offering,</w:t>
      </w:r>
      <w:r>
        <w:t xml:space="preserve"> </w:t>
      </w:r>
      <w:r>
        <w:rPr>
          <w:b/>
          <w:bCs/>
        </w:rPr>
        <w:t xml:space="preserve">the same desktop binary hosted on a Windows VM and reached over remote desktop</w:t>
      </w:r>
      <w:r>
        <w:t xml:space="preserve">, one VM (or one hosted user session) per customer. Re-verify current offerings against tallysolutions.com before quoting this competitively.</w:t>
      </w:r>
    </w:p>
    <w:p>
      <w:pPr>
        <w:pStyle w:val="BodyText"/>
      </w:pPr>
      <w:r>
        <w:t xml:space="preserve">Architecturally this is</w:t>
      </w:r>
      <w:r>
        <w:t xml:space="preserve"> </w:t>
      </w:r>
      <w:r>
        <w:rPr>
          <w:b/>
          <w:bCs/>
        </w:rPr>
        <w:t xml:space="preserve">silo tenancy taken to its limit</w:t>
      </w:r>
      <w:r>
        <w:t xml:space="preserve"> </w:t>
      </w:r>
      <w:r>
        <w:t xml:space="preserve">— not a shared database per tenant but an entire machine and application instance per tenant.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Consequence</w:t>
            </w:r>
          </w:p>
        </w:tc>
      </w:tr>
      <w:tr>
        <w:tc>
          <w:tcPr/>
          <w:p>
            <w:pPr>
              <w:pStyle w:val="Compact"/>
            </w:pPr>
            <w:r>
              <w:t xml:space="preserve">Per-customer VM</w:t>
            </w:r>
          </w:p>
        </w:tc>
        <w:tc>
          <w:tcPr/>
          <w:p>
            <w:pPr>
              <w:pStyle w:val="Compact"/>
            </w:pPr>
            <w:r>
              <w:t xml:space="preserve">Cost floor is a VM. Works at Tally’s price point and channel model; does not work at ₹300/month self-serve</w:t>
            </w:r>
          </w:p>
        </w:tc>
      </w:tr>
      <w:tr>
        <w:tc>
          <w:tcPr/>
          <w:p>
            <w:pPr>
              <w:pStyle w:val="Compact"/>
            </w:pPr>
            <w:r>
              <w:t xml:space="preserve">Per-customer upgrade</w:t>
            </w:r>
          </w:p>
        </w:tc>
        <w:tc>
          <w:tcPr/>
          <w:p>
            <w:pPr>
              <w:pStyle w:val="Compact"/>
            </w:pPr>
            <w:r>
              <w:t xml:space="preserve">Version fragmentation is permanent. Customers run different versions for years</w:t>
            </w:r>
          </w:p>
        </w:tc>
      </w:tr>
      <w:tr>
        <w:tc>
          <w:tcPr/>
          <w:p>
            <w:pPr>
              <w:pStyle w:val="Compact"/>
            </w:pPr>
            <w:r>
              <w:t xml:space="preserve">No shared reporting plane</w:t>
            </w:r>
          </w:p>
        </w:tc>
        <w:tc>
          <w:tcPr/>
          <w:p>
            <w:pPr>
              <w:pStyle w:val="Compact"/>
            </w:pPr>
            <w:r>
              <w:t xml:space="preserve">Cross-customer analytics, benchmarking and platform-level insight are impossible</w:t>
            </w:r>
          </w:p>
        </w:tc>
      </w:tr>
      <w:tr>
        <w:tc>
          <w:tcPr/>
          <w:p>
            <w:pPr>
              <w:pStyle w:val="Compact"/>
            </w:pPr>
            <w:r>
              <w:t xml:space="preserve">Remote-desktop UX</w:t>
            </w:r>
          </w:p>
        </w:tc>
        <w:tc>
          <w:tcPr/>
          <w:p>
            <w:pPr>
              <w:pStyle w:val="Compact"/>
            </w:pPr>
            <w:r>
              <w:t xml:space="preserve">Latency-bound, poor on mobile, no real API surface, no webhooks</w:t>
            </w:r>
          </w:p>
        </w:tc>
      </w:tr>
      <w:tr>
        <w:tc>
          <w:tcPr/>
          <w:p>
            <w:pPr>
              <w:pStyle w:val="Compact"/>
            </w:pPr>
            <w:r>
              <w:rPr>
                <w:b/>
                <w:bCs/>
              </w:rPr>
              <w:t xml:space="preserve">Genuinely excellent domain model</w:t>
            </w:r>
          </w:p>
        </w:tc>
        <w:tc>
          <w:tcPr/>
          <w:p>
            <w:pPr>
              <w:pStyle w:val="Compact"/>
            </w:pPr>
            <w:r>
              <w:t xml:space="preserve">Vouchers, voucher types, ledger groups, cost centres, billwise tracking, fiscal-year data separation — this is the vocabulary Indian accountants think in</w:t>
            </w:r>
          </w:p>
        </w:tc>
      </w:tr>
    </w:tbl>
    <w:p>
      <w:pPr>
        <w:pStyle w:val="BodyText"/>
      </w:pPr>
      <w:r>
        <w:rPr>
          <w:b/>
          <w:bCs/>
        </w:rPr>
        <w:t xml:space="preserve">[JUDGEMENT]</w:t>
      </w:r>
      <w:r>
        <w:t xml:space="preserve"> </w:t>
      </w:r>
      <w:r>
        <w:t xml:space="preserve">This is the sharpest lesson of the three.</w:t>
      </w:r>
      <w:r>
        <w:t xml:space="preserve"> </w:t>
      </w:r>
      <w:r>
        <w:rPr>
          <w:b/>
          <w:bCs/>
        </w:rPr>
        <w:t xml:space="preserve">Take Tally’s domain model and reject its deployment model entirely.</w:t>
      </w:r>
      <w:r>
        <w:t xml:space="preserve"> </w:t>
      </w:r>
      <w:r>
        <w:t xml:space="preserve">AccuBook’s schema has already done this —</w:t>
      </w:r>
      <w:r>
        <w:t xml:space="preserve"> </w:t>
      </w:r>
      <w:r>
        <w:rPr>
          <w:rStyle w:val="VerbatimChar"/>
        </w:rPr>
        <w:t xml:space="preserve">Voucher</w:t>
      </w:r>
      <w:r>
        <w:t xml:space="preserve">,</w:t>
      </w:r>
      <w:r>
        <w:t xml:space="preserve"> </w:t>
      </w:r>
      <w:r>
        <w:rPr>
          <w:rStyle w:val="VerbatimChar"/>
        </w:rPr>
        <w:t xml:space="preserve">VoucherEntry</w:t>
      </w:r>
      <w:r>
        <w:t xml:space="preserve">,</w:t>
      </w:r>
      <w:r>
        <w:t xml:space="preserve"> </w:t>
      </w:r>
      <w:r>
        <w:rPr>
          <w:rStyle w:val="VerbatimChar"/>
        </w:rPr>
        <w:t xml:space="preserve">VoucherType</w:t>
      </w:r>
      <w:r>
        <w:t xml:space="preserve">,</w:t>
      </w:r>
      <w:r>
        <w:t xml:space="preserve"> </w:t>
      </w:r>
      <w:r>
        <w:rPr>
          <w:rStyle w:val="VerbatimChar"/>
        </w:rPr>
        <w:t xml:space="preserve">LedgerGroup</w:t>
      </w:r>
      <w:r>
        <w:t xml:space="preserve"> </w:t>
      </w:r>
      <w:r>
        <w:t xml:space="preserve">with</w:t>
      </w:r>
      <w:r>
        <w:t xml:space="preserve"> </w:t>
      </w:r>
      <w:r>
        <w:rPr>
          <w:rStyle w:val="VerbatimChar"/>
        </w:rPr>
        <w:t xml:space="preserve">nature</w:t>
      </w:r>
      <w:r>
        <w:t xml:space="preserve">,</w:t>
      </w:r>
      <w:r>
        <w:t xml:space="preserve"> </w:t>
      </w:r>
      <w:r>
        <w:rPr>
          <w:rStyle w:val="VerbatimChar"/>
        </w:rPr>
        <w:t xml:space="preserve">NumberCounter</w:t>
      </w:r>
      <w:r>
        <w:t xml:space="preserve">, billwise</w:t>
      </w:r>
      <w:r>
        <w:t xml:space="preserve"> </w:t>
      </w:r>
      <w:r>
        <w:rPr>
          <w:rStyle w:val="VerbatimChar"/>
        </w:rPr>
        <w:t xml:space="preserve">billRef</w:t>
      </w:r>
      <w:r>
        <w:t xml:space="preserve"> </w:t>
      </w:r>
      <w:r>
        <w:t xml:space="preserve">on entries</w:t>
      </w:r>
      <w:r>
        <w:t xml:space="preserve"> </w:t>
      </w:r>
      <w:r>
        <w:rPr>
          <w:b/>
          <w:bCs/>
        </w:rPr>
        <w:t xml:space="preserve">[VERIFIED-REPO]</w:t>
      </w:r>
      <w:r>
        <w:t xml:space="preserve"> </w:t>
      </w:r>
      <w:r>
        <w:t xml:space="preserve">are Tally’s vocabulary, correctly transplanted. That familiarity is a genuine migration advantage: an accountant moving from Tally sees the same nouns.</w:t>
      </w:r>
    </w:p>
    <w:p>
      <w:pPr>
        <w:pStyle w:val="BodyText"/>
      </w:pPr>
      <w:r>
        <w:t xml:space="preserve">But note the trap the domain model carries with it: Tally’s data separation is</w:t>
      </w:r>
      <w:r>
        <w:t xml:space="preserve"> </w:t>
      </w:r>
      <w:r>
        <w:rPr>
          <w:b/>
          <w:bCs/>
        </w:rPr>
        <w:t xml:space="preserve">per company file per fiscal year</w:t>
      </w:r>
      <w:r>
        <w:t xml:space="preserve">. A cloud product cannot inherit that. AccuBook keeps</w:t>
      </w:r>
      <w:r>
        <w:t xml:space="preserve"> </w:t>
      </w:r>
      <w:r>
        <w:rPr>
          <w:rStyle w:val="VerbatimChar"/>
        </w:rPr>
        <w:t xml:space="preserve">FiscalYear</w:t>
      </w:r>
      <w:r>
        <w:t xml:space="preserve"> </w:t>
      </w:r>
      <w:r>
        <w:t xml:space="preserve">as a scoping dimension inside one tenant dataset (§14.5) rather than as a physical partition of it — which is the right call, and is why</w:t>
      </w:r>
      <w:r>
        <w:t xml:space="preserve"> </w:t>
      </w:r>
      <w:r>
        <w:rPr>
          <w:rStyle w:val="VerbatimChar"/>
        </w:rPr>
        <w:t xml:space="preserve">@@unique([organizationId, voucherTypeId, voucherNumber, fiscalYearId])</w:t>
      </w:r>
      <w:r>
        <w:t xml:space="preserve"> </w:t>
      </w:r>
      <w:r>
        <w:rPr>
          <w:b/>
          <w:bCs/>
        </w:rPr>
        <w:t xml:space="preserve">[VERIFIED-REPO]</w:t>
      </w:r>
      <w:r>
        <w:t xml:space="preserve"> </w:t>
      </w:r>
      <w:r>
        <w:t xml:space="preserve">is exactly the correct uniqueness key.</w:t>
      </w:r>
    </w:p>
    <w:bookmarkEnd w:id="23"/>
    <w:bookmarkStart w:id="24" w:name="side-by-side"/>
    <w:p>
      <w:pPr>
        <w:pStyle w:val="Heading3"/>
      </w:pPr>
      <w:r>
        <w:t xml:space="preserve">2.4 Side-by-side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Salesforce</w:t>
            </w:r>
          </w:p>
        </w:tc>
        <w:tc>
          <w:tcPr/>
          <w:p>
            <w:pPr>
              <w:pStyle w:val="Compact"/>
            </w:pPr>
            <w:r>
              <w:t xml:space="preserve">Zoho Books</w:t>
            </w:r>
          </w:p>
        </w:tc>
        <w:tc>
          <w:tcPr/>
          <w:p>
            <w:pPr>
              <w:pStyle w:val="Compact"/>
            </w:pPr>
            <w:r>
              <w:t xml:space="preserve">TallyPrime cloud</w:t>
            </w:r>
          </w:p>
        </w:tc>
        <w:tc>
          <w:tcPr/>
          <w:p>
            <w:pPr>
              <w:pStyle w:val="Compact"/>
            </w:pPr>
            <w:r>
              <w:rPr>
                <w:b/>
                <w:bCs/>
              </w:rPr>
              <w:t xml:space="preserve">AccuBook (this design)</w:t>
            </w:r>
          </w:p>
        </w:tc>
      </w:tr>
      <w:tr>
        <w:tc>
          <w:tcPr/>
          <w:p>
            <w:pPr>
              <w:pStyle w:val="Compact"/>
            </w:pPr>
            <w:r>
              <w:t xml:space="preserve">Tenancy</w:t>
            </w:r>
          </w:p>
        </w:tc>
        <w:tc>
          <w:tcPr/>
          <w:p>
            <w:pPr>
              <w:pStyle w:val="Compact"/>
            </w:pPr>
            <w:r>
              <w:t xml:space="preserve">Pooled + pods</w:t>
            </w:r>
          </w:p>
        </w:tc>
        <w:tc>
          <w:tcPr/>
          <w:p>
            <w:pPr>
              <w:pStyle w:val="Compact"/>
            </w:pPr>
            <w:r>
              <w:t xml:space="preserve">Pooled + regional DCs</w:t>
            </w:r>
            <w:r>
              <w:t xml:space="preserve"> </w:t>
            </w:r>
            <w:r>
              <w:rPr>
                <w:b/>
                <w:bCs/>
              </w:rPr>
              <w:t xml:space="preserve">[JUDGEMENT]</w:t>
            </w:r>
          </w:p>
        </w:tc>
        <w:tc>
          <w:tcPr/>
          <w:p>
            <w:pPr>
              <w:pStyle w:val="Compact"/>
            </w:pPr>
            <w:r>
              <w:t xml:space="preserve">Silo — VM per customer</w:t>
            </w:r>
          </w:p>
        </w:tc>
        <w:tc>
          <w:tcPr/>
          <w:p>
            <w:pPr>
              <w:pStyle w:val="Compact"/>
            </w:pPr>
            <w:r>
              <w:rPr>
                <w:b/>
                <w:bCs/>
              </w:rPr>
              <w:t xml:space="preserve">Pooled + placement, hybrid-capable</w:t>
            </w:r>
          </w:p>
        </w:tc>
      </w:tr>
      <w:tr>
        <w:tc>
          <w:tcPr/>
          <w:p>
            <w:pPr>
              <w:pStyle w:val="Compact"/>
            </w:pPr>
            <w:r>
              <w:t xml:space="preserve">Tenant key</w:t>
            </w:r>
          </w:p>
        </w:tc>
        <w:tc>
          <w:tcPr/>
          <w:p>
            <w:pPr>
              <w:pStyle w:val="Compact"/>
            </w:pPr>
            <w:r>
              <w:rPr>
                <w:rStyle w:val="VerbatimChar"/>
              </w:rPr>
              <w:t xml:space="preserve">OrgID</w:t>
            </w:r>
            <w:r>
              <w:t xml:space="preserve"> </w:t>
            </w:r>
            <w:r>
              <w:t xml:space="preserve">on every row</w:t>
            </w:r>
          </w:p>
        </w:tc>
        <w:tc>
          <w:tcPr/>
          <w:p>
            <w:pPr>
              <w:pStyle w:val="Compact"/>
            </w:pPr>
            <w:r>
              <w:t xml:space="preserve">Per-org</w:t>
            </w:r>
            <w:r>
              <w:t xml:space="preserve"> </w:t>
            </w:r>
            <w:r>
              <w:rPr>
                <w:b/>
                <w:bCs/>
              </w:rPr>
              <w:t xml:space="preserve">[JUDGEMENT]</w:t>
            </w:r>
          </w:p>
        </w:tc>
        <w:tc>
          <w:tcPr/>
          <w:p>
            <w:pPr>
              <w:pStyle w:val="Compact"/>
            </w:pPr>
            <w:r>
              <w:t xml:space="preserve">N/A — physical separation</w:t>
            </w:r>
          </w:p>
        </w:tc>
        <w:tc>
          <w:tcPr/>
          <w:p>
            <w:pPr>
              <w:pStyle w:val="Compact"/>
            </w:pPr>
            <w:r>
              <w:rPr>
                <w:rStyle w:val="VerbatimChar"/>
              </w:rPr>
              <w:t xml:space="preserve">organizationId</w:t>
            </w:r>
            <w:r>
              <w:t xml:space="preserve"> </w:t>
            </w:r>
            <w:r>
              <w:t xml:space="preserve">on every tenant row</w:t>
            </w:r>
          </w:p>
        </w:tc>
      </w:tr>
      <w:tr>
        <w:tc>
          <w:tcPr/>
          <w:p>
            <w:pPr>
              <w:pStyle w:val="Compact"/>
            </w:pPr>
            <w:r>
              <w:t xml:space="preserve">Isolation enforcement</w:t>
            </w:r>
          </w:p>
        </w:tc>
        <w:tc>
          <w:tcPr/>
          <w:p>
            <w:pPr>
              <w:pStyle w:val="Compact"/>
            </w:pPr>
            <w:r>
              <w:t xml:space="preserve">Platform runtime</w:t>
            </w:r>
          </w:p>
        </w:tc>
        <w:tc>
          <w:tcPr/>
          <w:p>
            <w:pPr>
              <w:pStyle w:val="Compact"/>
            </w:pPr>
            <w:r>
              <w:t xml:space="preserve">Not published</w:t>
            </w:r>
          </w:p>
        </w:tc>
        <w:tc>
          <w:tcPr/>
          <w:p>
            <w:pPr>
              <w:pStyle w:val="Compact"/>
            </w:pPr>
            <w:r>
              <w:t xml:space="preserve">Physical</w:t>
            </w:r>
          </w:p>
        </w:tc>
        <w:tc>
          <w:tcPr/>
          <w:p>
            <w:pPr>
              <w:pStyle w:val="Compact"/>
            </w:pPr>
            <w:r>
              <w:rPr>
                <w:b/>
                <w:bCs/>
              </w:rPr>
              <w:t xml:space="preserve">App guard + PostgreSQL RLS</w:t>
            </w:r>
          </w:p>
        </w:tc>
      </w:tr>
      <w:tr>
        <w:tc>
          <w:tcPr/>
          <w:p>
            <w:pPr>
              <w:pStyle w:val="Compact"/>
            </w:pPr>
            <w:r>
              <w:t xml:space="preserve">Placement indirection</w:t>
            </w:r>
          </w:p>
        </w:tc>
        <w:tc>
          <w:tcPr/>
          <w:p>
            <w:pPr>
              <w:pStyle w:val="Compact"/>
            </w:pPr>
            <w:r>
              <w:t xml:space="preserve">Pods, migratable</w:t>
            </w:r>
          </w:p>
        </w:tc>
        <w:tc>
          <w:tcPr/>
          <w:p>
            <w:pPr>
              <w:pStyle w:val="Compact"/>
            </w:pPr>
            <w:r>
              <w:t xml:space="preserve">Region, fixed at signup</w:t>
            </w:r>
          </w:p>
        </w:tc>
        <w:tc>
          <w:tcPr/>
          <w:p>
            <w:pPr>
              <w:pStyle w:val="Compact"/>
            </w:pPr>
            <w:r>
              <w:t xml:space="preserve">N/A</w:t>
            </w:r>
          </w:p>
        </w:tc>
        <w:tc>
          <w:tcPr/>
          <w:p>
            <w:pPr>
              <w:pStyle w:val="Compact"/>
            </w:pPr>
            <w:r>
              <w:rPr>
                <w:rStyle w:val="VerbatimChar"/>
                <w:b/>
                <w:bCs/>
              </w:rPr>
              <w:t xml:space="preserve">tenant_placement</w:t>
            </w:r>
            <w:r>
              <w:rPr>
                <w:b/>
                <w:bCs/>
              </w:rPr>
              <w:t xml:space="preserve">, migratable</w:t>
            </w:r>
          </w:p>
        </w:tc>
      </w:tr>
      <w:tr>
        <w:tc>
          <w:tcPr/>
          <w:p>
            <w:pPr>
              <w:pStyle w:val="Compact"/>
            </w:pPr>
            <w:r>
              <w:t xml:space="preserve">Customisation</w:t>
            </w:r>
          </w:p>
        </w:tc>
        <w:tc>
          <w:tcPr/>
          <w:p>
            <w:pPr>
              <w:pStyle w:val="Compact"/>
            </w:pPr>
            <w:r>
              <w:t xml:space="preserve">Metadata-driven, no DDL</w:t>
            </w:r>
          </w:p>
        </w:tc>
        <w:tc>
          <w:tcPr/>
          <w:p>
            <w:pPr>
              <w:pStyle w:val="Compact"/>
            </w:pPr>
            <w:r>
              <w:t xml:space="preserve">Fixed schema + custom fields</w:t>
            </w:r>
          </w:p>
        </w:tc>
        <w:tc>
          <w:tcPr/>
          <w:p>
            <w:pPr>
              <w:pStyle w:val="Compact"/>
            </w:pPr>
            <w:r>
              <w:t xml:space="preserve">Fixed + TDL scripting</w:t>
            </w:r>
          </w:p>
        </w:tc>
        <w:tc>
          <w:tcPr/>
          <w:p>
            <w:pPr>
              <w:pStyle w:val="Compact"/>
            </w:pPr>
            <w:r>
              <w:rPr>
                <w:b/>
                <w:bCs/>
              </w:rPr>
              <w:t xml:space="preserve">Custom fields as data, no per-tenant DDL</w:t>
            </w:r>
          </w:p>
        </w:tc>
      </w:tr>
      <w:tr>
        <w:tc>
          <w:tcPr/>
          <w:p>
            <w:pPr>
              <w:pStyle w:val="Compact"/>
            </w:pPr>
            <w:r>
              <w:t xml:space="preserve">Noisy-neighbour control</w:t>
            </w:r>
          </w:p>
        </w:tc>
        <w:tc>
          <w:tcPr/>
          <w:p>
            <w:pPr>
              <w:pStyle w:val="Compact"/>
            </w:pPr>
            <w:r>
              <w:t xml:space="preserve">Governor limits</w:t>
            </w:r>
          </w:p>
        </w:tc>
        <w:tc>
          <w:tcPr/>
          <w:p>
            <w:pPr>
              <w:pStyle w:val="Compact"/>
            </w:pPr>
            <w:r>
              <w:t xml:space="preserve">Plan limits</w:t>
            </w:r>
          </w:p>
        </w:tc>
        <w:tc>
          <w:tcPr/>
          <w:p>
            <w:pPr>
              <w:pStyle w:val="Compact"/>
            </w:pPr>
            <w:r>
              <w:t xml:space="preserve">N/A — dedicated</w:t>
            </w:r>
          </w:p>
        </w:tc>
        <w:tc>
          <w:tcPr/>
          <w:p>
            <w:pPr>
              <w:pStyle w:val="Compact"/>
            </w:pPr>
            <w:r>
              <w:rPr>
                <w:b/>
                <w:bCs/>
              </w:rPr>
              <w:t xml:space="preserve">Entitlement limits + queue caps + timeouts</w:t>
            </w:r>
          </w:p>
        </w:tc>
      </w:tr>
      <w:tr>
        <w:tc>
          <w:tcPr/>
          <w:p>
            <w:pPr>
              <w:pStyle w:val="Compact"/>
            </w:pPr>
            <w:r>
              <w:t xml:space="preserve">Upgrade model</w:t>
            </w:r>
          </w:p>
        </w:tc>
        <w:tc>
          <w:tcPr/>
          <w:p>
            <w:pPr>
              <w:pStyle w:val="Compact"/>
            </w:pPr>
            <w:r>
              <w:t xml:space="preserve">All orgs, 3×/year</w:t>
            </w:r>
          </w:p>
        </w:tc>
        <w:tc>
          <w:tcPr/>
          <w:p>
            <w:pPr>
              <w:pStyle w:val="Compact"/>
            </w:pPr>
            <w:r>
              <w:t xml:space="preserve">Continuous</w:t>
            </w:r>
          </w:p>
        </w:tc>
        <w:tc>
          <w:tcPr/>
          <w:p>
            <w:pPr>
              <w:pStyle w:val="Compact"/>
            </w:pPr>
            <w:r>
              <w:t xml:space="preserve">Per-customer, fragmented</w:t>
            </w:r>
          </w:p>
        </w:tc>
        <w:tc>
          <w:tcPr/>
          <w:p>
            <w:pPr>
              <w:pStyle w:val="Compact"/>
            </w:pPr>
            <w:r>
              <w:rPr>
                <w:b/>
                <w:bCs/>
              </w:rPr>
              <w:t xml:space="preserve">Continuous, all tenants, one artefact</w:t>
            </w:r>
          </w:p>
        </w:tc>
      </w:tr>
      <w:tr>
        <w:tc>
          <w:tcPr/>
          <w:p>
            <w:pPr>
              <w:pStyle w:val="Compact"/>
            </w:pPr>
            <w:r>
              <w:t xml:space="preserve">Cost floor per tenant</w:t>
            </w:r>
          </w:p>
        </w:tc>
        <w:tc>
          <w:tcPr/>
          <w:p>
            <w:pPr>
              <w:pStyle w:val="Compact"/>
            </w:pPr>
            <w:r>
              <w:t xml:space="preserve">Enterprise pricing</w:t>
            </w:r>
          </w:p>
        </w:tc>
        <w:tc>
          <w:tcPr/>
          <w:p>
            <w:pPr>
              <w:pStyle w:val="Compact"/>
            </w:pPr>
            <w:r>
              <w:t xml:space="preserve">SMB pricing</w:t>
            </w:r>
          </w:p>
        </w:tc>
        <w:tc>
          <w:tcPr/>
          <w:p>
            <w:pPr>
              <w:pStyle w:val="Compact"/>
            </w:pPr>
            <w:r>
              <w:t xml:space="preserve">A VM</w:t>
            </w:r>
          </w:p>
        </w:tc>
        <w:tc>
          <w:tcPr/>
          <w:p>
            <w:pPr>
              <w:pStyle w:val="Compact"/>
            </w:pPr>
            <w:r>
              <w:rPr>
                <w:b/>
                <w:bCs/>
              </w:rPr>
              <w:t xml:space="preserve">≲ ₹40/month target</w:t>
            </w:r>
          </w:p>
        </w:tc>
      </w:tr>
      <w:tr>
        <w:tc>
          <w:tcPr/>
          <w:p>
            <w:pPr>
              <w:pStyle w:val="Compact"/>
            </w:pPr>
            <w:r>
              <w:t xml:space="preserve">API surface</w:t>
            </w:r>
          </w:p>
        </w:tc>
        <w:tc>
          <w:tcPr/>
          <w:p>
            <w:pPr>
              <w:pStyle w:val="Compact"/>
            </w:pPr>
            <w:r>
              <w:t xml:space="preserve">Very large</w:t>
            </w:r>
          </w:p>
        </w:tc>
        <w:tc>
          <w:tcPr/>
          <w:p>
            <w:pPr>
              <w:pStyle w:val="Compact"/>
            </w:pPr>
            <w:r>
              <w:t xml:space="preserve">Large</w:t>
            </w:r>
          </w:p>
        </w:tc>
        <w:tc>
          <w:tcPr/>
          <w:p>
            <w:pPr>
              <w:pStyle w:val="Compact"/>
            </w:pPr>
            <w:r>
              <w:t xml:space="preserve">Limited</w:t>
            </w:r>
          </w:p>
        </w:tc>
        <w:tc>
          <w:tcPr/>
          <w:p>
            <w:pPr>
              <w:pStyle w:val="Compact"/>
            </w:pPr>
            <w:r>
              <w:rPr>
                <w:b/>
                <w:bCs/>
              </w:rPr>
              <w:t xml:space="preserve">REST, org-scoped, key-authenticated</w:t>
            </w:r>
          </w:p>
        </w:tc>
      </w:tr>
      <w:tr>
        <w:tc>
          <w:tcPr/>
          <w:p>
            <w:pPr>
              <w:pStyle w:val="Compact"/>
            </w:pPr>
            <w:r>
              <w:t xml:space="preserve">Compute shape</w:t>
            </w:r>
          </w:p>
        </w:tc>
        <w:tc>
          <w:tcPr/>
          <w:p>
            <w:pPr>
              <w:pStyle w:val="Compact"/>
            </w:pPr>
            <w:r>
              <w:t xml:space="preserve">Multi-service</w:t>
            </w:r>
          </w:p>
        </w:tc>
        <w:tc>
          <w:tcPr/>
          <w:p>
            <w:pPr>
              <w:pStyle w:val="Compact"/>
            </w:pPr>
            <w:r>
              <w:t xml:space="preserve">Not published</w:t>
            </w:r>
          </w:p>
        </w:tc>
        <w:tc>
          <w:tcPr/>
          <w:p>
            <w:pPr>
              <w:pStyle w:val="Compact"/>
            </w:pPr>
            <w:r>
              <w:t xml:space="preserve">Desktop binary</w:t>
            </w:r>
          </w:p>
        </w:tc>
        <w:tc>
          <w:tcPr/>
          <w:p>
            <w:pPr>
              <w:pStyle w:val="Compact"/>
            </w:pPr>
            <w:r>
              <w:rPr>
                <w:b/>
                <w:bCs/>
              </w:rPr>
              <w:t xml:space="preserve">Modular monolith + one worker</w:t>
            </w:r>
          </w:p>
        </w:tc>
      </w:tr>
    </w:tbl>
    <w:bookmarkEnd w:id="24"/>
    <w:bookmarkStart w:id="25" w:name="what-accubook-takes-in-one-paragraph"/>
    <w:p>
      <w:pPr>
        <w:pStyle w:val="Heading3"/>
      </w:pPr>
      <w:r>
        <w:t xml:space="preserve">2.5 What AccuBook takes, in one paragraph</w:t>
      </w:r>
    </w:p>
    <w:p>
      <w:pPr>
        <w:pStyle w:val="FirstParagraph"/>
      </w:pPr>
      <w:r>
        <w:rPr>
          <w:b/>
          <w:bCs/>
        </w:rPr>
        <w:t xml:space="preserve">[JUDGEMENT]</w:t>
      </w:r>
      <w:r>
        <w:t xml:space="preserve"> </w:t>
      </w:r>
      <w:r>
        <w:t xml:space="preserve">From Salesforce: pooled tenancy with the tenant ID leading every index; placement as an indirection so an org can be moved without code changes; governor limits published and enforced; permissions and customisation expressed as data rather than DDL or branches. From Zoho: one identity across many organisations with instant switching; per-organisation plans and materialised entitlements; region as a placement attribute from day one; statutory depth treated as core domain. From Tally: the domain vocabulary Indian accountants already know — vouchers, voucher types, ledger groups, cost centres, billwise tracking — and nothing whatsoever of its deployment model. What none of the three gives, and this design adds, is</w:t>
      </w:r>
      <w:r>
        <w:t xml:space="preserve"> </w:t>
      </w:r>
      <w:r>
        <w:rPr>
          <w:b/>
          <w:bCs/>
        </w:rPr>
        <w:t xml:space="preserve">database-enforced isolation via PostgreSQL RLS</w:t>
      </w:r>
      <w:r>
        <w:t xml:space="preserve"> </w:t>
      </w:r>
      <w:r>
        <w:t xml:space="preserve">(§13), because AccuBook is a small team writing SQL directly rather than a platform runtime that mediates every query.</w:t>
      </w:r>
    </w:p>
    <w:p>
      <w:r>
        <w:pict>
          <v:rect style="width:0;height:1.5pt" o:hralign="center" o:hrstd="t" o:hr="t"/>
        </w:pict>
      </w:r>
    </w:p>
    <w:bookmarkEnd w:id="25"/>
    <w:bookmarkEnd w:id="26"/>
    <w:bookmarkStart w:id="36" w:name="the-tenancy-model"/>
    <w:p>
      <w:pPr>
        <w:pStyle w:val="Heading2"/>
      </w:pPr>
      <w:r>
        <w:t xml:space="preserve">3. The tenancy model</w:t>
      </w:r>
    </w:p>
    <w:bookmarkStart w:id="30" w:name="the-four-models"/>
    <w:p>
      <w:pPr>
        <w:pStyle w:val="Heading3"/>
      </w:pPr>
      <w:r>
        <w:t xml:space="preserve">3.1 The four models</w:t>
      </w:r>
    </w:p>
    <w:p>
      <w:pPr>
        <w:pStyle w:val="FirstParagraph"/>
      </w:pPr>
      <w:r>
        <w:rPr>
          <w:b/>
          <w:bCs/>
        </w:rPr>
        <w:t xml:space="preserve">[PATTERN]</w:t>
      </w:r>
      <w:r>
        <w:t xml:space="preserve"> </w:t>
      </w:r>
      <w:r>
        <w:t xml:space="preserve">Every multi-tenant architecture is one of four things, or a mix:</w:t>
      </w:r>
    </w:p>
    <w:p>
      <w:pPr>
        <w:pStyle w:val="BodyText"/>
      </w:pPr>
      <w:r>
        <w:drawing>
          <wp:inline>
            <wp:extent cx="3538728" cy="6950641"/>
            <wp:effectExtent b="0" l="0" r="0" t="0"/>
            <wp:docPr descr="" title="" id="28" name="Picture"/>
            <a:graphic>
              <a:graphicData uri="http://schemas.openxmlformats.org/drawingml/2006/picture">
                <pic:pic>
                  <pic:nvPicPr>
                    <pic:cNvPr descr="/private/tmp/claude-501/-Users-sudipto-Desktop-projects-accubook/c277cf12-a75d-42eb-a282-70d38dbc59e8/scratchpad/d01.png" id="29" name="Picture"/>
                    <pic:cNvPicPr>
                      <a:picLocks noChangeArrowheads="1" noChangeAspect="1"/>
                    </pic:cNvPicPr>
                  </pic:nvPicPr>
                  <pic:blipFill>
                    <a:blip r:embed="rId27"/>
                    <a:stretch>
                      <a:fillRect/>
                    </a:stretch>
                  </pic:blipFill>
                  <pic:spPr bwMode="auto">
                    <a:xfrm>
                      <a:off x="0" y="0"/>
                      <a:ext cx="3538728" cy="695064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Isolation</w:t>
            </w:r>
          </w:p>
        </w:tc>
        <w:tc>
          <w:tcPr/>
          <w:p>
            <w:pPr>
              <w:pStyle w:val="Compact"/>
            </w:pPr>
            <w:r>
              <w:t xml:space="preserve">Migration cost</w:t>
            </w:r>
          </w:p>
        </w:tc>
        <w:tc>
          <w:tcPr/>
          <w:p>
            <w:pPr>
              <w:pStyle w:val="Compact"/>
            </w:pPr>
            <w:r>
              <w:t xml:space="preserve">Cost/tenant</w:t>
            </w:r>
          </w:p>
        </w:tc>
        <w:tc>
          <w:tcPr/>
          <w:p>
            <w:pPr>
              <w:pStyle w:val="Compact"/>
            </w:pPr>
            <w:r>
              <w:t xml:space="preserve">Restore one tenant</w:t>
            </w:r>
          </w:p>
        </w:tc>
        <w:tc>
          <w:tcPr/>
          <w:p>
            <w:pPr>
              <w:pStyle w:val="Compact"/>
            </w:pPr>
            <w:r>
              <w:t xml:space="preserve">Ceiling</w:t>
            </w:r>
          </w:p>
        </w:tc>
      </w:tr>
      <w:tr>
        <w:tc>
          <w:tcPr/>
          <w:p>
            <w:pPr>
              <w:pStyle w:val="Compact"/>
            </w:pPr>
            <w:r>
              <w:rPr>
                <w:b/>
                <w:bCs/>
              </w:rPr>
              <w:t xml:space="preserve">SILO</w:t>
            </w:r>
          </w:p>
        </w:tc>
        <w:tc>
          <w:tcPr/>
          <w:p>
            <w:pPr>
              <w:pStyle w:val="Compact"/>
            </w:pPr>
            <w:r>
              <w:t xml:space="preserve">Perfect</w:t>
            </w:r>
          </w:p>
        </w:tc>
        <w:tc>
          <w:tcPr/>
          <w:p>
            <w:pPr>
              <w:pStyle w:val="Compact"/>
            </w:pPr>
            <w:r>
              <w:t xml:space="preserve">O(n) — one per tenant</w:t>
            </w:r>
          </w:p>
        </w:tc>
        <w:tc>
          <w:tcPr/>
          <w:p>
            <w:pPr>
              <w:pStyle w:val="Compact"/>
            </w:pPr>
            <w:r>
              <w:t xml:space="preserve">One instance</w:t>
            </w:r>
          </w:p>
        </w:tc>
        <w:tc>
          <w:tcPr/>
          <w:p>
            <w:pPr>
              <w:pStyle w:val="Compact"/>
            </w:pPr>
            <w:r>
              <w:t xml:space="preserve">Trivial</w:t>
            </w:r>
          </w:p>
        </w:tc>
        <w:tc>
          <w:tcPr/>
          <w:p>
            <w:pPr>
              <w:pStyle w:val="Compact"/>
            </w:pPr>
            <w:r>
              <w:t xml:space="preserve">Operational, at a few hundred</w:t>
            </w:r>
          </w:p>
        </w:tc>
      </w:tr>
      <w:tr>
        <w:tc>
          <w:tcPr/>
          <w:p>
            <w:pPr>
              <w:pStyle w:val="Compact"/>
            </w:pPr>
            <w:r>
              <w:rPr>
                <w:b/>
                <w:bCs/>
              </w:rPr>
              <w:t xml:space="preserve">BRIDGE</w:t>
            </w:r>
          </w:p>
        </w:tc>
        <w:tc>
          <w:tcPr/>
          <w:p>
            <w:pPr>
              <w:pStyle w:val="Compact"/>
            </w:pPr>
            <w:r>
              <w:t xml:space="preserve">Strong</w:t>
            </w:r>
          </w:p>
        </w:tc>
        <w:tc>
          <w:tcPr/>
          <w:p>
            <w:pPr>
              <w:pStyle w:val="Compact"/>
            </w:pPr>
            <w:r>
              <w:t xml:space="preserve">O(n) — one per schema</w:t>
            </w:r>
          </w:p>
        </w:tc>
        <w:tc>
          <w:tcPr/>
          <w:p>
            <w:pPr>
              <w:pStyle w:val="Compact"/>
            </w:pPr>
            <w:r>
              <w:t xml:space="preserve">Low</w:t>
            </w:r>
          </w:p>
        </w:tc>
        <w:tc>
          <w:tcPr/>
          <w:p>
            <w:pPr>
              <w:pStyle w:val="Compact"/>
            </w:pPr>
            <w:r>
              <w:t xml:space="preserve">Easy</w:t>
            </w:r>
          </w:p>
        </w:tc>
        <w:tc>
          <w:tcPr/>
          <w:p>
            <w:pPr>
              <w:pStyle w:val="Compact"/>
            </w:pPr>
            <w:r>
              <w:t xml:space="preserve">Postgres catalogue bloat, low thousands</w:t>
            </w:r>
            <w:r>
              <w:t xml:space="preserve"> </w:t>
            </w:r>
            <w:r>
              <w:rPr>
                <w:b/>
                <w:bCs/>
              </w:rPr>
              <w:t xml:space="preserve">[PATTERN]</w:t>
            </w:r>
          </w:p>
        </w:tc>
      </w:tr>
      <w:tr>
        <w:tc>
          <w:tcPr/>
          <w:p>
            <w:pPr>
              <w:pStyle w:val="Compact"/>
            </w:pPr>
            <w:r>
              <w:rPr>
                <w:b/>
                <w:bCs/>
              </w:rPr>
              <w:t xml:space="preserve">POOL</w:t>
            </w:r>
          </w:p>
        </w:tc>
        <w:tc>
          <w:tcPr/>
          <w:p>
            <w:pPr>
              <w:pStyle w:val="Compact"/>
            </w:pPr>
            <w:r>
              <w:t xml:space="preserve">Logical only — must be enforced</w:t>
            </w:r>
          </w:p>
        </w:tc>
        <w:tc>
          <w:tcPr/>
          <w:p>
            <w:pPr>
              <w:pStyle w:val="Compact"/>
            </w:pPr>
            <w:r>
              <w:rPr>
                <w:b/>
                <w:bCs/>
              </w:rPr>
              <w:t xml:space="preserve">O(1)</w:t>
            </w:r>
          </w:p>
        </w:tc>
        <w:tc>
          <w:tcPr/>
          <w:p>
            <w:pPr>
              <w:pStyle w:val="Compact"/>
            </w:pPr>
            <w:r>
              <w:rPr>
                <w:b/>
                <w:bCs/>
              </w:rPr>
              <w:t xml:space="preserve">Amortised</w:t>
            </w:r>
          </w:p>
        </w:tc>
        <w:tc>
          <w:tcPr/>
          <w:p>
            <w:pPr>
              <w:pStyle w:val="Compact"/>
            </w:pPr>
            <w:r>
              <w:t xml:space="preserve">Requires design (§33.4)</w:t>
            </w:r>
          </w:p>
        </w:tc>
        <w:tc>
          <w:tcPr/>
          <w:p>
            <w:pPr>
              <w:pStyle w:val="Compact"/>
            </w:pPr>
            <w:r>
              <w:t xml:space="preserve">Primary write throughput, then shard</w:t>
            </w:r>
          </w:p>
        </w:tc>
      </w:tr>
      <w:tr>
        <w:tc>
          <w:tcPr/>
          <w:p>
            <w:pPr>
              <w:pStyle w:val="Compact"/>
            </w:pPr>
            <w:r>
              <w:rPr>
                <w:b/>
                <w:bCs/>
              </w:rPr>
              <w:t xml:space="preserve">HYBRID</w:t>
            </w:r>
          </w:p>
        </w:tc>
        <w:tc>
          <w:tcPr/>
          <w:p>
            <w:pPr>
              <w:pStyle w:val="Compact"/>
            </w:pPr>
            <w:r>
              <w:t xml:space="preserve">Per tenant, chosen</w:t>
            </w:r>
          </w:p>
        </w:tc>
        <w:tc>
          <w:tcPr/>
          <w:p>
            <w:pPr>
              <w:pStyle w:val="Compact"/>
            </w:pPr>
            <w:r>
              <w:t xml:space="preserve">O(placements)</w:t>
            </w:r>
          </w:p>
        </w:tc>
        <w:tc>
          <w:tcPr/>
          <w:p>
            <w:pPr>
              <w:pStyle w:val="Compact"/>
            </w:pPr>
            <w:r>
              <w:t xml:space="preserve">Mixed</w:t>
            </w:r>
          </w:p>
        </w:tc>
        <w:tc>
          <w:tcPr/>
          <w:p>
            <w:pPr>
              <w:pStyle w:val="Compact"/>
            </w:pPr>
            <w:r>
              <w:t xml:space="preserve">Per model</w:t>
            </w:r>
          </w:p>
        </w:tc>
        <w:tc>
          <w:tcPr/>
          <w:p>
            <w:pPr>
              <w:pStyle w:val="Compact"/>
            </w:pPr>
            <w:r>
              <w:t xml:space="preserve">None in practice</w:t>
            </w:r>
          </w:p>
        </w:tc>
      </w:tr>
    </w:tbl>
    <w:bookmarkEnd w:id="30"/>
    <w:bookmarkStart w:id="31" w:name="Xe7623ff7c5ab951331814b70e77ecaa138c50ba"/>
    <w:p>
      <w:pPr>
        <w:pStyle w:val="Heading3"/>
      </w:pPr>
      <w:r>
        <w:t xml:space="preserve">3.2 The decision, and the arithmetic behind it</w:t>
      </w:r>
    </w:p>
    <w:p>
      <w:pPr>
        <w:pStyle w:val="FirstParagraph"/>
      </w:pPr>
      <w:r>
        <w:rPr>
          <w:b/>
          <w:bCs/>
        </w:rPr>
        <w:t xml:space="preserve">Decision: POOL for every tenant in V1, with RLS as the enforcement floor, and the HYBRID indirection built from day one.</w:t>
      </w:r>
    </w:p>
    <w:p>
      <w:pPr>
        <w:pStyle w:val="BodyText"/>
      </w:pPr>
      <w:r>
        <w:t xml:space="preserve">The case against SILO is usually argued on isolation. That is the wrong axis — SILO wins on isolation. It loses on four numbers:</w:t>
      </w:r>
    </w:p>
    <w:p>
      <w:pPr>
        <w:pStyle w:val="BodyText"/>
      </w:pPr>
      <w:r>
        <w:rPr>
          <w:b/>
          <w:bCs/>
        </w:rPr>
        <w:t xml:space="preserve">Migrations.</w:t>
      </w:r>
      <w:r>
        <w:t xml:space="preserve"> </w:t>
      </w:r>
      <w:r>
        <w:rPr>
          <w:b/>
          <w:bCs/>
        </w:rPr>
        <w:t xml:space="preserve">[VERIFIED-REPO]</w:t>
      </w:r>
      <w:r>
        <w:t xml:space="preserve"> </w:t>
      </w:r>
      <w:r>
        <w:t xml:space="preserve">Migration 18 in this repository applied in under a second. At an optimistic 2 s per tenant with 50-way parallelism, 100,000 tenants is ~67 minutes of orchestrated, resumable, partially-failing work</w:t>
      </w:r>
      <w:r>
        <w:t xml:space="preserve"> </w:t>
      </w:r>
      <w:r>
        <w:rPr>
          <w:b/>
          <w:bCs/>
        </w:rPr>
        <w:t xml:space="preserve">per release</w:t>
      </w:r>
      <w:r>
        <w:t xml:space="preserve">. You would be building and operating a migration platform as a product alongside the accounting product. Pooled: one</w:t>
      </w:r>
      <w:r>
        <w:t xml:space="preserve"> </w:t>
      </w:r>
      <w:r>
        <w:rPr>
          <w:rStyle w:val="VerbatimChar"/>
        </w:rPr>
        <w:t xml:space="preserve">ALTER TABLE</w:t>
      </w:r>
      <w:r>
        <w:t xml:space="preserve">.</w:t>
      </w:r>
    </w:p>
    <w:p>
      <w:pPr>
        <w:pStyle w:val="BodyText"/>
      </w:pPr>
      <w:r>
        <w:rPr>
          <w:b/>
          <w:bCs/>
        </w:rPr>
        <w:t xml:space="preserve">Connections.</w:t>
      </w:r>
      <w:r>
        <w:t xml:space="preserve"> </w:t>
      </w:r>
      <w:r>
        <w:rPr>
          <w:b/>
          <w:bCs/>
        </w:rPr>
        <w:t xml:space="preserve">[PATTERN]</w:t>
      </w:r>
      <w:r>
        <w:t xml:space="preserve"> </w:t>
      </w:r>
      <w:r>
        <w:t xml:space="preserve">Connection poolers multiplex sessions</w:t>
      </w:r>
      <w:r>
        <w:t xml:space="preserve"> </w:t>
      </w:r>
      <w:r>
        <w:rPr>
          <w:i/>
          <w:iCs/>
        </w:rPr>
        <w:t xml:space="preserve">within</w:t>
      </w:r>
      <w:r>
        <w:t xml:space="preserve"> </w:t>
      </w:r>
      <w:r>
        <w:t xml:space="preserve">a database. They do not multiplex across databases. 100,000 databases is 100,000 pools, however thin. Even at 1% concurrency this has no good answer.</w:t>
      </w:r>
    </w:p>
    <w:p>
      <w:pPr>
        <w:pStyle w:val="BodyText"/>
      </w:pPr>
      <w:r>
        <w:rPr>
          <w:b/>
          <w:bCs/>
        </w:rPr>
        <w:t xml:space="preserve">Operations.</w:t>
      </w:r>
      <w:r>
        <w:t xml:space="preserve"> </w:t>
      </w:r>
      <w:r>
        <w:t xml:space="preserve">100,000 backup schedules, 100,000 monitoring targets, 100,000 restore runbooks. Operational cost becomes strictly linear in tenant count — precisely the property</w:t>
      </w:r>
      <w:r>
        <w:t xml:space="preserve"> </w:t>
      </w:r>
      <w:r>
        <w:rPr>
          <w:b/>
          <w:bCs/>
        </w:rPr>
        <w:t xml:space="preserve">I6</w:t>
      </w:r>
      <w:r>
        <w:t xml:space="preserve"> </w:t>
      </w:r>
      <w:r>
        <w:t xml:space="preserve">forbids.</w:t>
      </w:r>
    </w:p>
    <w:p>
      <w:pPr>
        <w:pStyle w:val="BodyText"/>
      </w:pPr>
      <w:r>
        <w:rPr>
          <w:b/>
          <w:bCs/>
        </w:rPr>
        <w:t xml:space="preserve">Cost.</w:t>
      </w:r>
      <w:r>
        <w:t xml:space="preserve"> </w:t>
      </w:r>
      <w:r>
        <w:rPr>
          <w:b/>
          <w:bCs/>
        </w:rPr>
        <w:t xml:space="preserve">[VENDOR-CHECK]</w:t>
      </w:r>
      <w:r>
        <w:t xml:space="preserve"> </w:t>
      </w:r>
      <w:r>
        <w:t xml:space="preserve">Managed Postgres bills per instance or per branch.</w:t>
      </w:r>
      <w:r>
        <w:t xml:space="preserve"> </w:t>
      </w:r>
      <w:r>
        <w:rPr>
          <w:b/>
          <w:bCs/>
        </w:rPr>
        <w:t xml:space="preserve">[JUDGEMENT]</w:t>
      </w:r>
      <w:r>
        <w:t xml:space="preserve"> </w:t>
      </w:r>
      <w:r>
        <w:t xml:space="preserve">A per-tenant infrastructure floor above roughly ₹50/month destroys a ₹300–3,000/month business. Free-tier and ₹499 tenants cannot each carry an instance. This is the decisive argument, and it is economic rather than technical.</w:t>
      </w:r>
    </w:p>
    <w:p>
      <w:pPr>
        <w:pStyle w:val="BodyText"/>
      </w:pPr>
      <w:r>
        <w:t xml:space="preserve">BRIDGE fails for a subtler reason:</w:t>
      </w:r>
      <w:r>
        <w:t xml:space="preserve"> </w:t>
      </w:r>
      <w:r>
        <w:rPr>
          <w:b/>
          <w:bCs/>
        </w:rPr>
        <w:t xml:space="preserve">[PATTERN]</w:t>
      </w:r>
      <w:r>
        <w:t xml:space="preserve"> </w:t>
      </w:r>
      <w:r>
        <w:t xml:space="preserve">PostgreSQL’s system catalogue is not designed for tens of thousands of schemas each carrying ~74 tables. 100,000 × 74 is 7.4 million</w:t>
      </w:r>
      <w:r>
        <w:t xml:space="preserve"> </w:t>
      </w:r>
      <w:r>
        <w:rPr>
          <w:rStyle w:val="VerbatimChar"/>
        </w:rPr>
        <w:t xml:space="preserve">pg_class</w:t>
      </w:r>
      <w:r>
        <w:t xml:space="preserve"> </w:t>
      </w:r>
      <w:r>
        <w:t xml:space="preserve">entries;</w:t>
      </w:r>
      <w:r>
        <w:t xml:space="preserve"> </w:t>
      </w:r>
      <w:r>
        <w:rPr>
          <w:rStyle w:val="VerbatimChar"/>
        </w:rPr>
        <w:t xml:space="preserve">pg_dump</w:t>
      </w:r>
      <w:r>
        <w:t xml:space="preserve">, autovacuum, planning time and connection startup all degrade. BRIDGE is a good model up to low thousands of tenants and a trap beyond it — and choosing it means choosing to migrate again at exactly the moment you are busiest.</w:t>
      </w:r>
    </w:p>
    <w:p>
      <w:pPr>
        <w:pStyle w:val="BodyText"/>
      </w:pPr>
      <w:r>
        <w:rPr>
          <w:b/>
          <w:bCs/>
        </w:rPr>
        <w:t xml:space="preserve">[JUDGEMENT]</w:t>
      </w:r>
      <w:r>
        <w:t xml:space="preserve"> </w:t>
      </w:r>
      <w:r>
        <w:t xml:space="preserve">Note what the decision does</w:t>
      </w:r>
      <w:r>
        <w:t xml:space="preserve"> </w:t>
      </w:r>
      <w:r>
        <w:rPr>
          <w:i/>
          <w:iCs/>
        </w:rPr>
        <w:t xml:space="preserve">not</w:t>
      </w:r>
      <w:r>
        <w:t xml:space="preserve"> </w:t>
      </w:r>
      <w:r>
        <w:t xml:space="preserve">claim. POOL is not more isolated than SILO; it is less. The claim is that POOL plus two independent enforcement layers (§13) reaches an isolation standard sufficient for financial data, at a cost structure that makes the business viable, and that the residual advantages of SILO can be bought back selectively for the tenants who pay for them.</w:t>
      </w:r>
    </w:p>
    <w:bookmarkEnd w:id="31"/>
    <w:bookmarkStart w:id="35" w:name="buying-back-what-silo-gets-right"/>
    <w:p>
      <w:pPr>
        <w:pStyle w:val="Heading3"/>
      </w:pPr>
      <w:r>
        <w:t xml:space="preserve">3.3 Buying back what SILO gets right</w:t>
      </w:r>
    </w:p>
    <w:p>
      <w:pPr>
        <w:pStyle w:val="FirstParagraph"/>
      </w:pPr>
      <w:r>
        <w:t xml:space="preserve">HYBRID is not a hedge. It is the mechanism by which the three genuine SILO advantages are recovered on demand.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SILO advantage</w:t>
            </w:r>
          </w:p>
        </w:tc>
        <w:tc>
          <w:tcPr/>
          <w:p>
            <w:pPr>
              <w:pStyle w:val="Compact"/>
            </w:pPr>
            <w:r>
              <w:t xml:space="preserve">How the pooled design recovers it</w:t>
            </w:r>
          </w:p>
        </w:tc>
      </w:tr>
      <w:tr>
        <w:tc>
          <w:tcPr/>
          <w:p>
            <w:pPr>
              <w:pStyle w:val="Compact"/>
            </w:pPr>
            <w:r>
              <w:t xml:space="preserve">Blast radius</w:t>
            </w:r>
          </w:p>
        </w:tc>
        <w:tc>
          <w:tcPr/>
          <w:p>
            <w:pPr>
              <w:pStyle w:val="Compact"/>
            </w:pPr>
            <w:r>
              <w:t xml:space="preserve">Move a tenant to a dedicated placement (§17.4) — no code change, a scheduled migration</w:t>
            </w:r>
          </w:p>
        </w:tc>
      </w:tr>
      <w:tr>
        <w:tc>
          <w:tcPr/>
          <w:p>
            <w:pPr>
              <w:pStyle w:val="Compact"/>
            </w:pPr>
            <w:r>
              <w:t xml:space="preserve">Single-tenant restore</w:t>
            </w:r>
          </w:p>
        </w:tc>
        <w:tc>
          <w:tcPr/>
          <w:p>
            <w:pPr>
              <w:pStyle w:val="Compact"/>
            </w:pPr>
            <w:r>
              <w:t xml:space="preserve">The restore script of §33.4, made correct by composite foreign keys (§8.3)</w:t>
            </w:r>
          </w:p>
        </w:tc>
      </w:tr>
      <w:tr>
        <w:tc>
          <w:tcPr/>
          <w:p>
            <w:pPr>
              <w:pStyle w:val="Compact"/>
            </w:pPr>
            <w:r>
              <w:t xml:space="preserve">Noisy-neighbour immunity</w:t>
            </w:r>
          </w:p>
        </w:tc>
        <w:tc>
          <w:tcPr/>
          <w:p>
            <w:pPr>
              <w:pStyle w:val="Compact"/>
            </w:pPr>
            <w:r>
              <w:t xml:space="preserve">Entitlement limits, per-tenant queue caps, statement timeouts (§24.4, §18.5) — and placement as the last resort</w:t>
            </w:r>
          </w:p>
        </w:tc>
      </w:tr>
      <w:tr>
        <w:tc>
          <w:tcPr/>
          <w:p>
            <w:pPr>
              <w:pStyle w:val="Compact"/>
            </w:pPr>
            <w:r>
              <w:t xml:space="preserve">“Your own database”</w:t>
            </w:r>
            <w:r>
              <w:t xml:space="preserve"> </w:t>
            </w:r>
            <w:r>
              <w:t xml:space="preserve">in a sales conversation</w:t>
            </w:r>
          </w:p>
        </w:tc>
        <w:tc>
          <w:tcPr/>
          <w:p>
            <w:pPr>
              <w:pStyle w:val="Compact"/>
            </w:pPr>
            <w:r>
              <w:t xml:space="preserve">Becomes a</w:t>
            </w:r>
            <w:r>
              <w:t xml:space="preserve"> </w:t>
            </w:r>
            <w:r>
              <w:rPr>
                <w:b/>
                <w:bCs/>
              </w:rPr>
              <w:t xml:space="preserve">priced SKU</w:t>
            </w:r>
            <w:r>
              <w:t xml:space="preserve"> </w:t>
            </w:r>
            <w:r>
              <w:t xml:space="preserve">rather than an architectural default</w:t>
            </w:r>
          </w:p>
        </w:tc>
      </w:tr>
    </w:tbl>
    <w:p>
      <w:pPr>
        <w:pStyle w:val="BodyText"/>
      </w:pPr>
      <w:r>
        <w:drawing>
          <wp:inline>
            <wp:extent cx="5334000" cy="2530928"/>
            <wp:effectExtent b="0" l="0" r="0" t="0"/>
            <wp:docPr descr="" title="" id="33" name="Picture"/>
            <a:graphic>
              <a:graphicData uri="http://schemas.openxmlformats.org/drawingml/2006/picture">
                <pic:pic>
                  <pic:nvPicPr>
                    <pic:cNvPr descr="/private/tmp/claude-501/-Users-sudipto-Desktop-projects-accubook/c277cf12-a75d-42eb-a282-70d38dbc59e8/scratchpad/d02.png" id="34" name="Picture"/>
                    <pic:cNvPicPr>
                      <a:picLocks noChangeArrowheads="1" noChangeAspect="1"/>
                    </pic:cNvPicPr>
                  </pic:nvPicPr>
                  <pic:blipFill>
                    <a:blip r:embed="rId32"/>
                    <a:stretch>
                      <a:fillRect/>
                    </a:stretch>
                  </pic:blipFill>
                  <pic:spPr bwMode="auto">
                    <a:xfrm>
                      <a:off x="0" y="0"/>
                      <a:ext cx="5334000" cy="2530928"/>
                    </a:xfrm>
                    <a:prstGeom prst="rect">
                      <a:avLst/>
                    </a:prstGeom>
                    <a:noFill/>
                    <a:ln w="9525">
                      <a:noFill/>
                      <a:headEnd/>
                      <a:tailEnd/>
                    </a:ln>
                  </pic:spPr>
                </pic:pic>
              </a:graphicData>
            </a:graphic>
          </wp:inline>
        </w:drawing>
      </w:r>
    </w:p>
    <w:p>
      <w:pPr>
        <w:pStyle w:val="BodyText"/>
      </w:pPr>
      <w:r>
        <w:rPr>
          <w:b/>
          <w:bCs/>
        </w:rPr>
        <w:t xml:space="preserve">[JUDGEMENT]</w:t>
      </w:r>
      <w:r>
        <w:t xml:space="preserve"> </w:t>
      </w:r>
      <w:r>
        <w:t xml:space="preserve">In V1 this lookup returns</w:t>
      </w:r>
      <w:r>
        <w:t xml:space="preserve"> </w:t>
      </w:r>
      <w:r>
        <w:rPr>
          <w:rStyle w:val="VerbatimChar"/>
        </w:rPr>
        <w:t xml:space="preserve">POOL-01</w:t>
      </w:r>
      <w:r>
        <w:t xml:space="preserve"> </w:t>
      </w:r>
      <w:r>
        <w:t xml:space="preserve">for every tenant, unconditionally. It costs roughly two engineer-days to build and it is the difference between</w:t>
      </w:r>
      <w:r>
        <w:t xml:space="preserve"> </w:t>
      </w:r>
      <w:r>
        <w:t xml:space="preserve">“we can move that customer next Tuesday”</w:t>
      </w:r>
      <w:r>
        <w:t xml:space="preserve"> </w:t>
      </w:r>
      <w:r>
        <w:t xml:space="preserve">and</w:t>
      </w:r>
      <w:r>
        <w:t xml:space="preserve"> </w:t>
      </w:r>
      <w:r>
        <w:t xml:space="preserve">“that would be a six-month project”</w:t>
      </w:r>
      <w:r>
        <w:t xml:space="preserve">. Build it while it is trivial.</w:t>
      </w:r>
    </w:p>
    <w:p>
      <w:r>
        <w:pict>
          <v:rect style="width:0;height:1.5pt" o:hralign="center" o:hrstd="t" o:hr="t"/>
        </w:pict>
      </w:r>
    </w:p>
    <w:p>
      <w:r>
        <w:pict>
          <v:rect style="width:0;height:1.5pt" o:hralign="center" o:hrstd="t" o:hr="t"/>
        </w:pict>
      </w:r>
    </w:p>
    <w:bookmarkEnd w:id="35"/>
    <w:bookmarkEnd w:id="36"/>
    <w:bookmarkEnd w:id="37"/>
    <w:bookmarkStart w:id="225" w:name="part-ii-the-architecture"/>
    <w:p>
      <w:pPr>
        <w:pStyle w:val="Heading1"/>
      </w:pPr>
      <w:r>
        <w:t xml:space="preserve">Part II — The architecture</w:t>
      </w:r>
    </w:p>
    <w:p>
      <w:r>
        <w:pict>
          <v:rect style="width:0;height:1.5pt" o:hralign="center" o:hrstd="t" o:hr="t"/>
        </w:pict>
      </w:r>
    </w:p>
    <w:bookmarkStart w:id="41" w:name="system-context"/>
    <w:p>
      <w:pPr>
        <w:pStyle w:val="Heading2"/>
      </w:pPr>
      <w:r>
        <w:t xml:space="preserve">4. System context</w:t>
      </w:r>
    </w:p>
    <w:p>
      <w:pPr>
        <w:pStyle w:val="FirstParagraph"/>
      </w:pPr>
      <w:r>
        <w:t xml:space="preserve">The outermost view: who uses AccuBook, and what it depends on.</w:t>
      </w:r>
    </w:p>
    <w:p>
      <w:pPr>
        <w:pStyle w:val="BodyText"/>
      </w:pPr>
      <w:r>
        <w:drawing>
          <wp:inline>
            <wp:extent cx="5334000" cy="1360714"/>
            <wp:effectExtent b="0" l="0" r="0" t="0"/>
            <wp:docPr descr="" title="" id="39" name="Picture"/>
            <a:graphic>
              <a:graphicData uri="http://schemas.openxmlformats.org/drawingml/2006/picture">
                <pic:pic>
                  <pic:nvPicPr>
                    <pic:cNvPr descr="/private/tmp/claude-501/-Users-sudipto-Desktop-projects-accubook/c277cf12-a75d-42eb-a282-70d38dbc59e8/scratchpad/d03.png" id="40" name="Picture"/>
                    <pic:cNvPicPr>
                      <a:picLocks noChangeArrowheads="1" noChangeAspect="1"/>
                    </pic:cNvPicPr>
                  </pic:nvPicPr>
                  <pic:blipFill>
                    <a:blip r:embed="rId38"/>
                    <a:stretch>
                      <a:fillRect/>
                    </a:stretch>
                  </pic:blipFill>
                  <pic:spPr bwMode="auto">
                    <a:xfrm>
                      <a:off x="0" y="0"/>
                      <a:ext cx="5334000" cy="1360714"/>
                    </a:xfrm>
                    <a:prstGeom prst="rect">
                      <a:avLst/>
                    </a:prstGeom>
                    <a:noFill/>
                    <a:ln w="9525">
                      <a:noFill/>
                      <a:headEnd/>
                      <a:tailEnd/>
                    </a:ln>
                  </pic:spPr>
                </pic:pic>
              </a:graphicData>
            </a:graphic>
          </wp:inline>
        </w:drawing>
      </w:r>
    </w:p>
    <w:p>
      <w:pPr>
        <w:pStyle w:val="BodyText"/>
      </w:pPr>
      <w:r>
        <w:rPr>
          <w:b/>
          <w:bCs/>
        </w:rPr>
        <w:t xml:space="preserve">[JUDGEMENT]</w:t>
      </w:r>
      <w:r>
        <w:t xml:space="preserve"> </w:t>
      </w:r>
      <w:r>
        <w:t xml:space="preserve">Two things in this diagram drive architecture that a simpler context view would hide:</w:t>
      </w:r>
    </w:p>
    <w:p>
      <w:pPr>
        <w:pStyle w:val="Compact"/>
        <w:numPr>
          <w:ilvl w:val="0"/>
          <w:numId w:val="1001"/>
        </w:numPr>
      </w:pPr>
      <w:r>
        <w:rPr>
          <w:b/>
          <w:bCs/>
        </w:rPr>
        <w:t xml:space="preserve">The Chartered Accountant is a first-class actor with many tenants.</w:t>
      </w:r>
      <w:r>
        <w:t xml:space="preserve"> </w:t>
      </w:r>
      <w:r>
        <w:t xml:space="preserve">A CA firm may hold memberships in dozens or hundreds of client organisations and switch between them constantly. This is why identity is global and tenant context is per-</w:t>
      </w:r>
      <w:r>
        <w:rPr>
          <w:i/>
          <w:iCs/>
        </w:rPr>
        <w:t xml:space="preserve">request</w:t>
      </w:r>
      <w:r>
        <w:t xml:space="preserve"> </w:t>
      </w:r>
      <w:r>
        <w:t xml:space="preserve">(§12), not per-session — the Zoho lesson from §2.2. It is also why the tenant switcher must be cheap: it is on the hot path for the highest-value user segment.</w:t>
      </w:r>
    </w:p>
    <w:p>
      <w:pPr>
        <w:pStyle w:val="Compact"/>
        <w:numPr>
          <w:ilvl w:val="0"/>
          <w:numId w:val="1001"/>
        </w:numPr>
      </w:pPr>
      <w:r>
        <w:rPr>
          <w:b/>
          <w:bCs/>
        </w:rPr>
        <w:t xml:space="preserve">Support access is an architected path, not a database credential.</w:t>
      </w:r>
      <w:r>
        <w:t xml:space="preserve"> </w:t>
      </w:r>
      <w:r>
        <w:rPr>
          <w:rStyle w:val="VerbatimChar"/>
        </w:rPr>
        <w:t xml:space="preserve">SupportGrant</w:t>
      </w:r>
      <w:r>
        <w:t xml:space="preserve"> </w:t>
      </w:r>
      <w:r>
        <w:t xml:space="preserve">(§7.2) makes support access tenant-scoped, time-boxed, consented and audited. The alternative — an engineer with production database access and good intentions — is the single most common cause of accidental cross-tenant exposure.</w:t>
      </w:r>
      <w:r>
        <w:t xml:space="preserve"> </w:t>
      </w:r>
      <w:r>
        <w:rPr>
          <w:b/>
          <w:bCs/>
        </w:rPr>
        <w:t xml:space="preserve">[PATTERN]</w:t>
      </w:r>
    </w:p>
    <w:bookmarkEnd w:id="41"/>
    <w:bookmarkStart w:id="47" w:name="container-view"/>
    <w:p>
      <w:pPr>
        <w:pStyle w:val="Heading2"/>
      </w:pPr>
      <w:r>
        <w:t xml:space="preserve">5. Container view</w:t>
      </w:r>
    </w:p>
    <w:p>
      <w:pPr>
        <w:pStyle w:val="FirstParagraph"/>
      </w:pPr>
      <w:r>
        <w:t xml:space="preserve">The deployment units and datastores. This is the whole system at Stage 1–2; §29 shows how it changes at each later stage.</w:t>
      </w:r>
    </w:p>
    <w:p>
      <w:pPr>
        <w:pStyle w:val="BodyText"/>
      </w:pPr>
      <w:r>
        <w:drawing>
          <wp:inline>
            <wp:extent cx="4535424" cy="6947760"/>
            <wp:effectExtent b="0" l="0" r="0" t="0"/>
            <wp:docPr descr="" title="" id="43" name="Picture"/>
            <a:graphic>
              <a:graphicData uri="http://schemas.openxmlformats.org/drawingml/2006/picture">
                <pic:pic>
                  <pic:nvPicPr>
                    <pic:cNvPr descr="/private/tmp/claude-501/-Users-sudipto-Desktop-projects-accubook/c277cf12-a75d-42eb-a282-70d38dbc59e8/scratchpad/d04.png" id="44" name="Picture"/>
                    <pic:cNvPicPr>
                      <a:picLocks noChangeArrowheads="1" noChangeAspect="1"/>
                    </pic:cNvPicPr>
                  </pic:nvPicPr>
                  <pic:blipFill>
                    <a:blip r:embed="rId42"/>
                    <a:stretch>
                      <a:fillRect/>
                    </a:stretch>
                  </pic:blipFill>
                  <pic:spPr bwMode="auto">
                    <a:xfrm>
                      <a:off x="0" y="0"/>
                      <a:ext cx="4535424" cy="6947760"/>
                    </a:xfrm>
                    <a:prstGeom prst="rect">
                      <a:avLst/>
                    </a:prstGeom>
                    <a:noFill/>
                    <a:ln w="9525">
                      <a:noFill/>
                      <a:headEnd/>
                      <a:tailEnd/>
                    </a:ln>
                  </pic:spPr>
                </pic:pic>
              </a:graphicData>
            </a:graphic>
          </wp:inline>
        </w:drawing>
      </w:r>
    </w:p>
    <w:bookmarkStart w:id="45" w:name="why-exactly-two-deployables"/>
    <w:p>
      <w:pPr>
        <w:pStyle w:val="Heading3"/>
      </w:pPr>
      <w:r>
        <w:t xml:space="preserve">5.1 Why exactly two deployables</w:t>
      </w:r>
    </w:p>
    <w:p>
      <w:pPr>
        <w:pStyle w:val="FirstParagraph"/>
      </w:pPr>
      <w:r>
        <w:rPr>
          <w:b/>
          <w:bCs/>
        </w:rPr>
        <w:t xml:space="preserve">[JUDGEMENT]</w:t>
      </w:r>
      <w:r>
        <w:t xml:space="preserve"> </w:t>
      </w:r>
      <w:r>
        <w:t xml:space="preserve">The app and the worker are separated because they have genuinely different runtime shapes, and for no other reason: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Application</w:t>
            </w:r>
          </w:p>
        </w:tc>
        <w:tc>
          <w:tcPr/>
          <w:p>
            <w:pPr>
              <w:pStyle w:val="Compact"/>
            </w:pPr>
            <w:r>
              <w:t xml:space="preserve">Worker</w:t>
            </w:r>
          </w:p>
        </w:tc>
      </w:tr>
      <w:tr>
        <w:tc>
          <w:tcPr/>
          <w:p>
            <w:pPr>
              <w:pStyle w:val="Compact"/>
            </w:pPr>
            <w:r>
              <w:t xml:space="preserve">Lifetime</w:t>
            </w:r>
          </w:p>
        </w:tc>
        <w:tc>
          <w:tcPr/>
          <w:p>
            <w:pPr>
              <w:pStyle w:val="Compact"/>
            </w:pPr>
            <w:r>
              <w:t xml:space="preserve">Milliseconds to seconds, bounded by a platform limit</w:t>
            </w:r>
          </w:p>
        </w:tc>
        <w:tc>
          <w:tcPr/>
          <w:p>
            <w:pPr>
              <w:pStyle w:val="Compact"/>
            </w:pPr>
            <w:r>
              <w:t xml:space="preserve">Minutes; a GSTR-1 build or a 50,000-row import legitimately runs long</w:t>
            </w:r>
          </w:p>
        </w:tc>
      </w:tr>
      <w:tr>
        <w:tc>
          <w:tcPr/>
          <w:p>
            <w:pPr>
              <w:pStyle w:val="Compact"/>
            </w:pPr>
            <w:r>
              <w:t xml:space="preserve">Concurrency</w:t>
            </w:r>
          </w:p>
        </w:tc>
        <w:tc>
          <w:tcPr/>
          <w:p>
            <w:pPr>
              <w:pStyle w:val="Compact"/>
            </w:pPr>
            <w:r>
              <w:t xml:space="preserve">Spiky, autoscaled, unbounded above</w:t>
            </w:r>
          </w:p>
        </w:tc>
        <w:tc>
          <w:tcPr/>
          <w:p>
            <w:pPr>
              <w:pStyle w:val="Compact"/>
            </w:pPr>
            <w:r>
              <w:t xml:space="preserve">Controlled, a known number of consumers</w:t>
            </w:r>
          </w:p>
        </w:tc>
      </w:tr>
      <w:tr>
        <w:tc>
          <w:tcPr/>
          <w:p>
            <w:pPr>
              <w:pStyle w:val="Compact"/>
            </w:pPr>
            <w:r>
              <w:t xml:space="preserve">Connections</w:t>
            </w:r>
          </w:p>
        </w:tc>
        <w:tc>
          <w:tcPr/>
          <w:p>
            <w:pPr>
              <w:pStyle w:val="Compact"/>
            </w:pPr>
            <w:r>
              <w:t xml:space="preserve">Must hold very few — concurrency × pool is unbounded</w:t>
            </w:r>
          </w:p>
        </w:tc>
        <w:tc>
          <w:tcPr/>
          <w:p>
            <w:pPr>
              <w:pStyle w:val="Compact"/>
            </w:pPr>
            <w:r>
              <w:t xml:space="preserve">Can hold a stable, larger pool</w:t>
            </w:r>
          </w:p>
        </w:tc>
      </w:tr>
      <w:tr>
        <w:tc>
          <w:tcPr/>
          <w:p>
            <w:pPr>
              <w:pStyle w:val="Compact"/>
            </w:pPr>
            <w:r>
              <w:t xml:space="preserve">Failure</w:t>
            </w:r>
          </w:p>
        </w:tc>
        <w:tc>
          <w:tcPr/>
          <w:p>
            <w:pPr>
              <w:pStyle w:val="Compact"/>
            </w:pPr>
            <w:r>
              <w:t xml:space="preserve">Return 5xx to a waiting human</w:t>
            </w:r>
          </w:p>
        </w:tc>
        <w:tc>
          <w:tcPr/>
          <w:p>
            <w:pPr>
              <w:pStyle w:val="Compact"/>
            </w:pPr>
            <w:r>
              <w:t xml:space="preserve">Retry with backoff, then dead-letter</w:t>
            </w:r>
          </w:p>
        </w:tc>
      </w:tr>
      <w:tr>
        <w:tc>
          <w:tcPr/>
          <w:p>
            <w:pPr>
              <w:pStyle w:val="Compact"/>
            </w:pPr>
            <w:r>
              <w:t xml:space="preserve">Memory</w:t>
            </w:r>
          </w:p>
        </w:tc>
        <w:tc>
          <w:tcPr/>
          <w:p>
            <w:pPr>
              <w:pStyle w:val="Compact"/>
            </w:pPr>
            <w:r>
              <w:t xml:space="preserve">Small</w:t>
            </w:r>
          </w:p>
        </w:tc>
        <w:tc>
          <w:tcPr/>
          <w:p>
            <w:pPr>
              <w:pStyle w:val="Compact"/>
            </w:pPr>
            <w:r>
              <w:t xml:space="preserve">Large — a report or an import materialises data</w:t>
            </w:r>
          </w:p>
        </w:tc>
      </w:tr>
    </w:tbl>
    <w:p>
      <w:pPr>
        <w:pStyle w:val="BodyText"/>
      </w:pPr>
      <w:r>
        <w:t xml:space="preserve">Splitting further — a service per module — is rejected in §6.3.</w:t>
      </w:r>
    </w:p>
    <w:bookmarkEnd w:id="45"/>
    <w:bookmarkStart w:id="46" w:name="what-is-deliberately-absent"/>
    <w:p>
      <w:pPr>
        <w:pStyle w:val="Heading3"/>
      </w:pPr>
      <w:r>
        <w:t xml:space="preserve">5.2 What is deliberately absent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Absent</w:t>
            </w:r>
          </w:p>
        </w:tc>
        <w:tc>
          <w:tcPr/>
          <w:p>
            <w:pPr>
              <w:pStyle w:val="Compact"/>
            </w:pPr>
            <w:r>
              <w:t xml:space="preserve">Why</w:t>
            </w:r>
          </w:p>
        </w:tc>
        <w:tc>
          <w:tcPr/>
          <w:p>
            <w:pPr>
              <w:pStyle w:val="Compact"/>
            </w:pPr>
            <w:r>
              <w:t xml:space="preserve">When to reconsider</w:t>
            </w:r>
          </w:p>
        </w:tc>
      </w:tr>
      <w:tr>
        <w:tc>
          <w:tcPr/>
          <w:p>
            <w:pPr>
              <w:pStyle w:val="Compact"/>
            </w:pPr>
            <w:r>
              <w:t xml:space="preserve">Service mesh, Kubernetes</w:t>
            </w:r>
          </w:p>
        </w:tc>
        <w:tc>
          <w:tcPr/>
          <w:p>
            <w:pPr>
              <w:pStyle w:val="Compact"/>
            </w:pPr>
            <w:r>
              <w:t xml:space="preserve">Two deployables. Managed containers cover this entirely</w:t>
            </w:r>
          </w:p>
        </w:tc>
        <w:tc>
          <w:tcPr/>
          <w:p>
            <w:pPr>
              <w:pStyle w:val="Compact"/>
            </w:pPr>
            <w:r>
              <w:t xml:space="preserve">&gt;10 distinct services</w:t>
            </w:r>
            <w:r>
              <w:t xml:space="preserve"> </w:t>
            </w:r>
            <w:r>
              <w:rPr>
                <w:b/>
                <w:bCs/>
              </w:rPr>
              <w:t xml:space="preserve">and</w:t>
            </w:r>
            <w:r>
              <w:t xml:space="preserve"> </w:t>
            </w:r>
            <w:r>
              <w:t xml:space="preserve">a platform engineer</w:t>
            </w:r>
          </w:p>
        </w:tc>
      </w:tr>
      <w:tr>
        <w:tc>
          <w:tcPr/>
          <w:p>
            <w:pPr>
              <w:pStyle w:val="Compact"/>
            </w:pPr>
            <w:r>
              <w:t xml:space="preserve">Kafka / event bus</w:t>
            </w:r>
          </w:p>
        </w:tc>
        <w:tc>
          <w:tcPr/>
          <w:p>
            <w:pPr>
              <w:pStyle w:val="Compact"/>
            </w:pPr>
            <w:r>
              <w:t xml:space="preserve">Postgres</w:t>
            </w:r>
            <w:r>
              <w:t xml:space="preserve"> </w:t>
            </w:r>
            <w:r>
              <w:rPr>
                <w:rStyle w:val="VerbatimChar"/>
              </w:rPr>
              <w:t xml:space="preserve">SKIP LOCKED</w:t>
            </w:r>
            <w:r>
              <w:t xml:space="preserve"> </w:t>
            </w:r>
            <w:r>
              <w:t xml:space="preserve">handles 1000× current volume; transactional enqueue removes the need for an outbox</w:t>
            </w:r>
          </w:p>
        </w:tc>
        <w:tc>
          <w:tcPr/>
          <w:p>
            <w:pPr>
              <w:pStyle w:val="Compact"/>
            </w:pPr>
            <w:r>
              <w:t xml:space="preserve">&gt;100k events/s, or independent consumers needing replay</w:t>
            </w:r>
          </w:p>
        </w:tc>
      </w:tr>
      <w:tr>
        <w:tc>
          <w:tcPr/>
          <w:p>
            <w:pPr>
              <w:pStyle w:val="Compact"/>
            </w:pPr>
            <w:r>
              <w:t xml:space="preserve">Elasticsearch</w:t>
            </w:r>
          </w:p>
        </w:tc>
        <w:tc>
          <w:tcPr/>
          <w:p>
            <w:pPr>
              <w:pStyle w:val="Compact"/>
            </w:pPr>
            <w:r>
              <w:t xml:space="preserve">Postgres full-text and trigram indexes cover invoice/party/item search to Stage 3</w:t>
            </w:r>
          </w:p>
        </w:tc>
        <w:tc>
          <w:tcPr/>
          <w:p>
            <w:pPr>
              <w:pStyle w:val="Compact"/>
            </w:pPr>
            <w:r>
              <w:t xml:space="preserve">Search latency exceeds budget on a tuned index</w:t>
            </w:r>
          </w:p>
        </w:tc>
      </w:tr>
      <w:tr>
        <w:tc>
          <w:tcPr/>
          <w:p>
            <w:pPr>
              <w:pStyle w:val="Compact"/>
            </w:pPr>
            <w:r>
              <w:t xml:space="preserve">Separate reporting service</w:t>
            </w:r>
          </w:p>
        </w:tc>
        <w:tc>
          <w:tcPr/>
          <w:p>
            <w:pPr>
              <w:pStyle w:val="Compact"/>
            </w:pPr>
            <w:r>
              <w:t xml:space="preserve">Reports are a</w:t>
            </w:r>
            <w:r>
              <w:t xml:space="preserve"> </w:t>
            </w:r>
            <w:r>
              <w:rPr>
                <w:i/>
                <w:iCs/>
              </w:rPr>
              <w:t xml:space="preserve">queue</w:t>
            </w:r>
            <w:r>
              <w:t xml:space="preserve">, not a service (§19)</w:t>
            </w:r>
          </w:p>
        </w:tc>
        <w:tc>
          <w:tcPr/>
          <w:p>
            <w:pPr>
              <w:pStyle w:val="Compact"/>
            </w:pPr>
            <w:r>
              <w:t xml:space="preserve">Never, at this scale</w:t>
            </w:r>
          </w:p>
        </w:tc>
      </w:tr>
      <w:tr>
        <w:tc>
          <w:tcPr/>
          <w:p>
            <w:pPr>
              <w:pStyle w:val="Compact"/>
            </w:pPr>
            <w:r>
              <w:t xml:space="preserve">GraphQL</w:t>
            </w:r>
          </w:p>
        </w:tc>
        <w:tc>
          <w:tcPr/>
          <w:p>
            <w:pPr>
              <w:pStyle w:val="Compact"/>
            </w:pPr>
            <w:r>
              <w:t xml:space="preserve">REST + typed server actions cover both the UI and the public API</w:t>
            </w:r>
          </w:p>
        </w:tc>
        <w:tc>
          <w:tcPr/>
          <w:p>
            <w:pPr>
              <w:pStyle w:val="Compact"/>
            </w:pPr>
            <w:r>
              <w:t xml:space="preserve">A partner ecosystem demands it</w:t>
            </w:r>
          </w:p>
        </w:tc>
      </w:tr>
      <w:tr>
        <w:tc>
          <w:tcPr/>
          <w:p>
            <w:pPr>
              <w:pStyle w:val="Compact"/>
            </w:pPr>
            <w:r>
              <w:t xml:space="preserve">Multi-region active-active</w:t>
            </w:r>
          </w:p>
        </w:tc>
        <w:tc>
          <w:tcPr/>
          <w:p>
            <w:pPr>
              <w:pStyle w:val="Compact"/>
            </w:pPr>
            <w:r>
              <w:t xml:space="preserve">Two-phase writes on financial data; enormous complexity</w:t>
            </w:r>
          </w:p>
        </w:tc>
        <w:tc>
          <w:tcPr/>
          <w:p>
            <w:pPr>
              <w:pStyle w:val="Compact"/>
            </w:pPr>
            <w:r>
              <w:t xml:space="preserve">Never for writes. Regional</w:t>
            </w:r>
            <w:r>
              <w:t xml:space="preserve"> </w:t>
            </w:r>
            <w:r>
              <w:rPr>
                <w:i/>
                <w:iCs/>
              </w:rPr>
              <w:t xml:space="preserve">pods</w:t>
            </w:r>
            <w:r>
              <w:t xml:space="preserve"> </w:t>
            </w:r>
            <w:r>
              <w:t xml:space="preserve">(§29 Stage 4) instead</w:t>
            </w:r>
          </w:p>
        </w:tc>
      </w:tr>
    </w:tbl>
    <w:bookmarkEnd w:id="46"/>
    <w:bookmarkEnd w:id="47"/>
    <w:bookmarkStart w:id="57" w:name="module-architecture-the-modular-monolith"/>
    <w:p>
      <w:pPr>
        <w:pStyle w:val="Heading2"/>
      </w:pPr>
      <w:r>
        <w:t xml:space="preserve">6. Module architecture — the modular monolith</w:t>
      </w:r>
    </w:p>
    <w:bookmarkStart w:id="51" w:name="the-module-map"/>
    <w:p>
      <w:pPr>
        <w:pStyle w:val="Heading3"/>
      </w:pPr>
      <w:r>
        <w:t xml:space="preserve">6.1 The module map</w:t>
      </w:r>
    </w:p>
    <w:p>
      <w:pPr>
        <w:pStyle w:val="FirstParagraph"/>
      </w:pPr>
      <w:r>
        <w:rPr>
          <w:b/>
          <w:bCs/>
        </w:rPr>
        <w:t xml:space="preserve">[VERIFIED-REPO]</w:t>
      </w:r>
      <w:r>
        <w:t xml:space="preserve"> </w:t>
      </w:r>
      <w:r>
        <w:t xml:space="preserve">The application currently exposes 48 org-scoped route groups. Grouped by transactional cohesion rather than by URL, they form twelve modules:</w:t>
      </w:r>
    </w:p>
    <w:p>
      <w:pPr>
        <w:pStyle w:val="BodyText"/>
      </w:pPr>
      <w:r>
        <w:drawing>
          <wp:inline>
            <wp:extent cx="5334000" cy="2061482"/>
            <wp:effectExtent b="0" l="0" r="0" t="0"/>
            <wp:docPr descr="" title="" id="49" name="Picture"/>
            <a:graphic>
              <a:graphicData uri="http://schemas.openxmlformats.org/drawingml/2006/picture">
                <pic:pic>
                  <pic:nvPicPr>
                    <pic:cNvPr descr="/private/tmp/claude-501/-Users-sudipto-Desktop-projects-accubook/c277cf12-a75d-42eb-a282-70d38dbc59e8/scratchpad/d05.png" id="50" name="Picture"/>
                    <pic:cNvPicPr>
                      <a:picLocks noChangeArrowheads="1" noChangeAspect="1"/>
                    </pic:cNvPicPr>
                  </pic:nvPicPr>
                  <pic:blipFill>
                    <a:blip r:embed="rId48"/>
                    <a:stretch>
                      <a:fillRect/>
                    </a:stretch>
                  </pic:blipFill>
                  <pic:spPr bwMode="auto">
                    <a:xfrm>
                      <a:off x="0" y="0"/>
                      <a:ext cx="5334000" cy="2061482"/>
                    </a:xfrm>
                    <a:prstGeom prst="rect">
                      <a:avLst/>
                    </a:prstGeom>
                    <a:noFill/>
                    <a:ln w="9525">
                      <a:noFill/>
                      <a:headEnd/>
                      <a:tailEnd/>
                    </a:ln>
                  </pic:spPr>
                </pic:pic>
              </a:graphicData>
            </a:graphic>
          </wp:inline>
        </w:drawing>
      </w:r>
    </w:p>
    <w:p>
      <w:pPr>
        <w:pStyle w:val="BodyText"/>
      </w:pPr>
      <w:r>
        <w:rPr>
          <w:b/>
          <w:bCs/>
        </w:rPr>
        <w:t xml:space="preserve">[JUDGEMENT]</w:t>
      </w:r>
      <w:r>
        <w:t xml:space="preserve"> </w:t>
      </w:r>
      <w:r>
        <w:t xml:space="preserve">Read the thick arrows. Every transactional module posts to the ledger</w:t>
      </w:r>
      <w:r>
        <w:t xml:space="preserve"> </w:t>
      </w:r>
      <w:r>
        <w:rPr>
          <w:b/>
          <w:bCs/>
        </w:rPr>
        <w:t xml:space="preserve">inside the same database transaction as its own write</w:t>
      </w:r>
      <w:r>
        <w:t xml:space="preserve">. That single fact is the argument of §6.3.</w:t>
      </w:r>
    </w:p>
    <w:bookmarkEnd w:id="51"/>
    <w:bookmarkStart w:id="52" w:name="module-rules"/>
    <w:p>
      <w:pPr>
        <w:pStyle w:val="Heading3"/>
      </w:pPr>
      <w:r>
        <w:t xml:space="preserve">6.2 Module rules</w:t>
      </w:r>
    </w:p>
    <w:p>
      <w:pPr>
        <w:pStyle w:val="FirstParagraph"/>
      </w:pPr>
      <w:r>
        <w:t xml:space="preserve">Enforced by lint rule and a CI dependency test, not by convention: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Rule</w:t>
            </w:r>
          </w:p>
        </w:tc>
        <w:tc>
          <w:tcPr/>
          <w:p>
            <w:pPr>
              <w:pStyle w:val="Compact"/>
            </w:pPr>
            <w:r>
              <w:t xml:space="preserve">Rationale</w:t>
            </w:r>
          </w:p>
        </w:tc>
      </w:tr>
      <w:tr>
        <w:tc>
          <w:tcPr/>
          <w:p>
            <w:pPr>
              <w:pStyle w:val="Compact"/>
            </w:pPr>
            <w:r>
              <w:t xml:space="preserve">M1</w:t>
            </w:r>
          </w:p>
        </w:tc>
        <w:tc>
          <w:tcPr/>
          <w:p>
            <w:pPr>
              <w:pStyle w:val="Compact"/>
            </w:pPr>
            <w:r>
              <w:t xml:space="preserve">A module may import another module’s</w:t>
            </w:r>
            <w:r>
              <w:t xml:space="preserve"> </w:t>
            </w:r>
            <w:r>
              <w:rPr>
                <w:b/>
                <w:bCs/>
              </w:rPr>
              <w:t xml:space="preserve">public interface</w:t>
            </w:r>
            <w:r>
              <w:t xml:space="preserve"> </w:t>
            </w:r>
            <w:r>
              <w:t xml:space="preserve">only —</w:t>
            </w:r>
            <w:r>
              <w:t xml:space="preserve"> </w:t>
            </w:r>
            <w:r>
              <w:rPr>
                <w:rStyle w:val="VerbatimChar"/>
              </w:rPr>
              <w:t xml:space="preserve">src/backend/services/&lt;module&gt;/index.ts</w:t>
            </w:r>
          </w:p>
        </w:tc>
        <w:tc>
          <w:tcPr/>
          <w:p>
            <w:pPr>
              <w:pStyle w:val="Compact"/>
            </w:pPr>
            <w:r>
              <w:t xml:space="preserve">Prevents the slow decay into a ball of mud</w:t>
            </w:r>
          </w:p>
        </w:tc>
      </w:tr>
      <w:tr>
        <w:tc>
          <w:tcPr/>
          <w:p>
            <w:pPr>
              <w:pStyle w:val="Compact"/>
            </w:pPr>
            <w:r>
              <w:t xml:space="preserve">M2</w:t>
            </w:r>
          </w:p>
        </w:tc>
        <w:tc>
          <w:tcPr/>
          <w:p>
            <w:pPr>
              <w:pStyle w:val="Compact"/>
            </w:pPr>
            <w:r>
              <w:t xml:space="preserve">A module may not import another module’s internal files or Prisma queries</w:t>
            </w:r>
          </w:p>
        </w:tc>
        <w:tc>
          <w:tcPr/>
          <w:p>
            <w:pPr>
              <w:pStyle w:val="Compact"/>
            </w:pPr>
            <w:r>
              <w:t xml:space="preserve">Data ownership is what makes later extraction possible</w:t>
            </w:r>
          </w:p>
        </w:tc>
      </w:tr>
      <w:tr>
        <w:tc>
          <w:tcPr/>
          <w:p>
            <w:pPr>
              <w:pStyle w:val="Compact"/>
            </w:pPr>
            <w:r>
              <w:t xml:space="preserve">M3</w:t>
            </w:r>
          </w:p>
        </w:tc>
        <w:tc>
          <w:tcPr/>
          <w:p>
            <w:pPr>
              <w:pStyle w:val="Compact"/>
            </w:pPr>
            <w:r>
              <w:t xml:space="preserve">The dependency graph must stay acyclic,</w:t>
            </w:r>
            <w:r>
              <w:t xml:space="preserve"> </w:t>
            </w:r>
            <w:r>
              <w:rPr>
                <w:rStyle w:val="VerbatimChar"/>
              </w:rPr>
              <w:t xml:space="preserve">ledger</w:t>
            </w:r>
            <w:r>
              <w:t xml:space="preserve"> </w:t>
            </w:r>
            <w:r>
              <w:t xml:space="preserve">at the root</w:t>
            </w:r>
          </w:p>
        </w:tc>
        <w:tc>
          <w:tcPr/>
          <w:p>
            <w:pPr>
              <w:pStyle w:val="Compact"/>
            </w:pPr>
            <w:r>
              <w:t xml:space="preserve">A cycle means the boundary is wrong</w:t>
            </w:r>
          </w:p>
        </w:tc>
      </w:tr>
      <w:tr>
        <w:tc>
          <w:tcPr/>
          <w:p>
            <w:pPr>
              <w:pStyle w:val="Compact"/>
            </w:pPr>
            <w:r>
              <w:t xml:space="preserve">M4</w:t>
            </w:r>
          </w:p>
        </w:tc>
        <w:tc>
          <w:tcPr/>
          <w:p>
            <w:pPr>
              <w:pStyle w:val="Compact"/>
            </w:pPr>
            <w:r>
              <w:t xml:space="preserve">Cross-module writes happen through the owning module’s service function, inside the caller’s transaction (</w:t>
            </w:r>
            <w:r>
              <w:rPr>
                <w:rStyle w:val="VerbatimChar"/>
              </w:rPr>
              <w:t xml:space="preserve">tx</w:t>
            </w:r>
            <w:r>
              <w:t xml:space="preserve"> </w:t>
            </w:r>
            <w:r>
              <w:t xml:space="preserve">is passed in)</w:t>
            </w:r>
          </w:p>
        </w:tc>
        <w:tc>
          <w:tcPr/>
          <w:p>
            <w:pPr>
              <w:pStyle w:val="Compact"/>
            </w:pPr>
            <w:r>
              <w:t xml:space="preserve">Preserves atomicity while preserving ownership. This is already the shape of</w:t>
            </w:r>
            <w:r>
              <w:t xml:space="preserve"> </w:t>
            </w:r>
            <w:r>
              <w:rPr>
                <w:rStyle w:val="VerbatimChar"/>
              </w:rPr>
              <w:t xml:space="preserve">posting.ts</w:t>
            </w:r>
            <w:r>
              <w:t xml:space="preserve"> </w:t>
            </w:r>
            <w:r>
              <w:rPr>
                <w:b/>
                <w:bCs/>
              </w:rPr>
              <w:t xml:space="preserve">[VERIFIED-REPO]</w:t>
            </w:r>
          </w:p>
        </w:tc>
      </w:tr>
      <w:tr>
        <w:tc>
          <w:tcPr/>
          <w:p>
            <w:pPr>
              <w:pStyle w:val="Compact"/>
            </w:pPr>
            <w:r>
              <w:t xml:space="preserve">M5</w:t>
            </w:r>
          </w:p>
        </w:tc>
        <w:tc>
          <w:tcPr/>
          <w:p>
            <w:pPr>
              <w:pStyle w:val="Compact"/>
            </w:pPr>
            <w:r>
              <w:t xml:space="preserve">No module reads the raw Prisma client; only the tenant-scoped client from the DAL</w:t>
            </w:r>
          </w:p>
        </w:tc>
        <w:tc>
          <w:tcPr/>
          <w:p>
            <w:pPr>
              <w:pStyle w:val="Compact"/>
            </w:pPr>
            <w:r>
              <w:t xml:space="preserve">§13.4 — the isolation guarantee depends on it</w:t>
            </w:r>
          </w:p>
        </w:tc>
      </w:tr>
      <w:tr>
        <w:tc>
          <w:tcPr/>
          <w:p>
            <w:pPr>
              <w:pStyle w:val="Compact"/>
            </w:pPr>
            <w:r>
              <w:t xml:space="preserve">M6</w:t>
            </w:r>
          </w:p>
        </w:tc>
        <w:tc>
          <w:tcPr/>
          <w:p>
            <w:pPr>
              <w:pStyle w:val="Compact"/>
            </w:pPr>
            <w:r>
              <w:t xml:space="preserve">A module publishes domain events for</w:t>
            </w:r>
            <w:r>
              <w:t xml:space="preserve"> </w:t>
            </w:r>
            <w:r>
              <w:rPr>
                <w:i/>
                <w:iCs/>
              </w:rPr>
              <w:t xml:space="preserve">asynchronous</w:t>
            </w:r>
            <w:r>
              <w:t xml:space="preserve"> </w:t>
            </w:r>
            <w:r>
              <w:t xml:space="preserve">consumers; events never replace a transactional write</w:t>
            </w:r>
          </w:p>
        </w:tc>
        <w:tc>
          <w:tcPr/>
          <w:p>
            <w:pPr>
              <w:pStyle w:val="Compact"/>
            </w:pPr>
            <w:r>
              <w:t xml:space="preserve">Financial writes are not eventually consistent</w:t>
            </w:r>
          </w:p>
        </w:tc>
      </w:tr>
    </w:tbl>
    <w:p>
      <w:pPr>
        <w:pStyle w:val="BodyText"/>
      </w:pPr>
      <w:r>
        <w:rPr>
          <w:b/>
          <w:bCs/>
        </w:rPr>
        <w:t xml:space="preserve">[JUDGEMENT]</w:t>
      </w:r>
      <w:r>
        <w:t xml:space="preserve"> </w:t>
      </w:r>
      <w:r>
        <w:t xml:space="preserve">M4 is the one that matters most and the one most often violated under deadline.</w:t>
      </w:r>
      <w:r>
        <w:t xml:space="preserve"> </w:t>
      </w:r>
      <w:r>
        <w:rPr>
          <w:rStyle w:val="VerbatimChar"/>
        </w:rPr>
        <w:t xml:space="preserve">posting.ts</w:t>
      </w:r>
      <w:r>
        <w:t xml:space="preserve"> </w:t>
      </w:r>
      <w:r>
        <w:t xml:space="preserve">already demonstrates the correct pattern: it accepts</w:t>
      </w:r>
      <w:r>
        <w:t xml:space="preserve"> </w:t>
      </w:r>
      <w:r>
        <w:rPr>
          <w:rStyle w:val="VerbatimChar"/>
        </w:rPr>
        <w:t xml:space="preserve">tx: Prisma.TransactionClient</w:t>
      </w:r>
      <w:r>
        <w:t xml:space="preserve"> </w:t>
      </w:r>
      <w:r>
        <w:t xml:space="preserve">and does its work inside the caller’s transaction</w:t>
      </w:r>
      <w:r>
        <w:t xml:space="preserve"> </w:t>
      </w:r>
      <w:r>
        <w:rPr>
          <w:b/>
          <w:bCs/>
        </w:rPr>
        <w:t xml:space="preserve">[VERIFIED-REPO]</w:t>
      </w:r>
      <w:r>
        <w:t xml:space="preserve">. Every cross-module write should look like that.</w:t>
      </w:r>
    </w:p>
    <w:bookmarkEnd w:id="52"/>
    <w:bookmarkStart w:id="56" w:name="why-not-microservices"/>
    <w:p>
      <w:pPr>
        <w:pStyle w:val="Heading3"/>
      </w:pPr>
      <w:r>
        <w:t xml:space="preserve">6.3 Why not microservices</w:t>
      </w:r>
    </w:p>
    <w:p>
      <w:pPr>
        <w:pStyle w:val="FirstParagraph"/>
      </w:pPr>
      <w:r>
        <w:t xml:space="preserve">Consider posting a sales invoice. In one atomic operation it must:</w:t>
      </w:r>
    </w:p>
    <w:p>
      <w:pPr>
        <w:pStyle w:val="Compact"/>
        <w:numPr>
          <w:ilvl w:val="0"/>
          <w:numId w:val="1002"/>
        </w:numPr>
      </w:pPr>
      <w:r>
        <w:t xml:space="preserve">Allocate an invoice number from</w:t>
      </w:r>
      <w:r>
        <w:t xml:space="preserve"> </w:t>
      </w:r>
      <w:r>
        <w:rPr>
          <w:rStyle w:val="VerbatimChar"/>
        </w:rPr>
        <w:t xml:space="preserve">NumberCounter</w:t>
      </w:r>
      <w:r>
        <w:t xml:space="preserve"> </w:t>
      </w:r>
      <w:r>
        <w:t xml:space="preserve">without gaps or duplicates</w:t>
      </w:r>
    </w:p>
    <w:p>
      <w:pPr>
        <w:pStyle w:val="Compact"/>
        <w:numPr>
          <w:ilvl w:val="0"/>
          <w:numId w:val="1002"/>
        </w:numPr>
      </w:pPr>
      <w:r>
        <w:t xml:space="preserve">Write the</w:t>
      </w:r>
      <w:r>
        <w:t xml:space="preserve"> </w:t>
      </w:r>
      <w:r>
        <w:rPr>
          <w:rStyle w:val="VerbatimChar"/>
        </w:rPr>
        <w:t xml:space="preserve">Invoice</w:t>
      </w:r>
      <w:r>
        <w:t xml:space="preserve"> </w:t>
      </w:r>
      <w:r>
        <w:t xml:space="preserve">and its</w:t>
      </w:r>
      <w:r>
        <w:t xml:space="preserve"> </w:t>
      </w:r>
      <w:r>
        <w:rPr>
          <w:rStyle w:val="VerbatimChar"/>
        </w:rPr>
        <w:t xml:space="preserve">InvoiceItem</w:t>
      </w:r>
      <w:r>
        <w:t xml:space="preserve"> </w:t>
      </w:r>
      <w:r>
        <w:t xml:space="preserve">rows</w:t>
      </w:r>
    </w:p>
    <w:p>
      <w:pPr>
        <w:pStyle w:val="Compact"/>
        <w:numPr>
          <w:ilvl w:val="0"/>
          <w:numId w:val="1002"/>
        </w:numPr>
      </w:pPr>
      <w:r>
        <w:t xml:space="preserve">Compute GST — CGST/SGST or IGST by place of supply — and write</w:t>
      </w:r>
      <w:r>
        <w:t xml:space="preserve"> </w:t>
      </w:r>
      <w:r>
        <w:rPr>
          <w:rStyle w:val="VerbatimChar"/>
        </w:rPr>
        <w:t xml:space="preserve">InvoiceTax</w:t>
      </w:r>
    </w:p>
    <w:p>
      <w:pPr>
        <w:pStyle w:val="Compact"/>
        <w:numPr>
          <w:ilvl w:val="0"/>
          <w:numId w:val="1002"/>
        </w:numPr>
      </w:pPr>
      <w:r>
        <w:t xml:space="preserve">Reduce</w:t>
      </w:r>
      <w:r>
        <w:t xml:space="preserve"> </w:t>
      </w:r>
      <w:r>
        <w:rPr>
          <w:rStyle w:val="VerbatimChar"/>
        </w:rPr>
        <w:t xml:space="preserve">Stock</w:t>
      </w:r>
      <w:r>
        <w:t xml:space="preserve"> </w:t>
      </w:r>
      <w:r>
        <w:t xml:space="preserve">and write</w:t>
      </w:r>
      <w:r>
        <w:t xml:space="preserve"> </w:t>
      </w:r>
      <w:r>
        <w:rPr>
          <w:rStyle w:val="VerbatimChar"/>
        </w:rPr>
        <w:t xml:space="preserve">StockMovement</w:t>
      </w:r>
      <w:r>
        <w:t xml:space="preserve">, honouring the valuation method</w:t>
      </w:r>
    </w:p>
    <w:p>
      <w:pPr>
        <w:pStyle w:val="Compact"/>
        <w:numPr>
          <w:ilvl w:val="0"/>
          <w:numId w:val="1002"/>
        </w:numPr>
      </w:pPr>
      <w:r>
        <w:t xml:space="preserve">Create or find the party’s ledger, then write a balanced</w:t>
      </w:r>
      <w:r>
        <w:t xml:space="preserve"> </w:t>
      </w:r>
      <w:r>
        <w:rPr>
          <w:rStyle w:val="VerbatimChar"/>
        </w:rPr>
        <w:t xml:space="preserve">Voucher</w:t>
      </w:r>
      <w:r>
        <w:t xml:space="preserve"> </w:t>
      </w:r>
      <w:r>
        <w:t xml:space="preserve">with its</w:t>
      </w:r>
      <w:r>
        <w:t xml:space="preserve"> </w:t>
      </w:r>
      <w:r>
        <w:rPr>
          <w:rStyle w:val="VerbatimChar"/>
        </w:rPr>
        <w:t xml:space="preserve">VoucherEntry</w:t>
      </w:r>
      <w:r>
        <w:t xml:space="preserve"> </w:t>
      </w:r>
      <w:r>
        <w:t xml:space="preserve">rows</w:t>
      </w:r>
    </w:p>
    <w:p>
      <w:pPr>
        <w:pStyle w:val="Compact"/>
        <w:numPr>
          <w:ilvl w:val="0"/>
          <w:numId w:val="1002"/>
        </w:numPr>
      </w:pPr>
      <w:r>
        <w:t xml:space="preserve">Update ledger balances</w:t>
      </w:r>
    </w:p>
    <w:p>
      <w:pPr>
        <w:pStyle w:val="Compact"/>
        <w:numPr>
          <w:ilvl w:val="0"/>
          <w:numId w:val="1002"/>
        </w:numPr>
      </w:pPr>
      <w:r>
        <w:t xml:space="preserve">Write the</w:t>
      </w:r>
      <w:r>
        <w:t xml:space="preserve"> </w:t>
      </w:r>
      <w:r>
        <w:rPr>
          <w:rStyle w:val="VerbatimChar"/>
        </w:rPr>
        <w:t xml:space="preserve">AuditLog</w:t>
      </w:r>
    </w:p>
    <w:p>
      <w:pPr>
        <w:pStyle w:val="Compact"/>
        <w:numPr>
          <w:ilvl w:val="0"/>
          <w:numId w:val="1002"/>
        </w:numPr>
      </w:pPr>
      <w:r>
        <w:t xml:space="preserve">Enqueue e-invoice submission and email delivery</w:t>
      </w:r>
    </w:p>
    <w:p>
      <w:pPr>
        <w:pStyle w:val="FirstParagraph"/>
      </w:pPr>
      <w:r>
        <w:drawing>
          <wp:inline>
            <wp:extent cx="5334000" cy="5959928"/>
            <wp:effectExtent b="0" l="0" r="0" t="0"/>
            <wp:docPr descr="" title="" id="54" name="Picture"/>
            <a:graphic>
              <a:graphicData uri="http://schemas.openxmlformats.org/drawingml/2006/picture">
                <pic:pic>
                  <pic:nvPicPr>
                    <pic:cNvPr descr="/private/tmp/claude-501/-Users-sudipto-Desktop-projects-accubook/c277cf12-a75d-42eb-a282-70d38dbc59e8/scratchpad/d06.png" id="55" name="Picture"/>
                    <pic:cNvPicPr>
                      <a:picLocks noChangeArrowheads="1" noChangeAspect="1"/>
                    </pic:cNvPicPr>
                  </pic:nvPicPr>
                  <pic:blipFill>
                    <a:blip r:embed="rId53"/>
                    <a:stretch>
                      <a:fillRect/>
                    </a:stretch>
                  </pic:blipFill>
                  <pic:spPr bwMode="auto">
                    <a:xfrm>
                      <a:off x="0" y="0"/>
                      <a:ext cx="5334000" cy="5959928"/>
                    </a:xfrm>
                    <a:prstGeom prst="rect">
                      <a:avLst/>
                    </a:prstGeom>
                    <a:noFill/>
                    <a:ln w="9525">
                      <a:noFill/>
                      <a:headEnd/>
                      <a:tailEnd/>
                    </a:ln>
                  </pic:spPr>
                </pic:pic>
              </a:graphicData>
            </a:graphic>
          </wp:inline>
        </w:drawing>
      </w:r>
    </w:p>
    <w:p>
      <w:pPr>
        <w:pStyle w:val="BodyText"/>
      </w:pPr>
      <w:r>
        <w:rPr>
          <w:b/>
          <w:bCs/>
        </w:rPr>
        <w:t xml:space="preserve">[JUDGEMENT]</w:t>
      </w:r>
      <w:r>
        <w:t xml:space="preserve"> </w:t>
      </w:r>
      <w:r>
        <w:t xml:space="preserve">Split steps 2–8 across services and every one of those database transactions becomes a distributed saga with compensating transactions. For financial data that means a window in which the invoice exists and the ledger entry does not —</w:t>
      </w:r>
      <w:r>
        <w:t xml:space="preserve"> </w:t>
      </w:r>
      <w:r>
        <w:rPr>
          <w:b/>
          <w:bCs/>
        </w:rPr>
        <w:t xml:space="preserve">an unbalanced trial balance, visible to the customer, in a product whose entire value is that the numbers are right.</w:t>
      </w:r>
      <w:r>
        <w:t xml:space="preserve"> </w:t>
      </w:r>
      <w:r>
        <w:t xml:space="preserve">A team of 2–5 cannot operate a distributed system and ship an ERP. The monolith is not a compromise here; it is the correct architecture for a densely-coupled transactional domain.</w:t>
      </w:r>
    </w:p>
    <w:p>
      <w:pPr>
        <w:pStyle w:val="BodyText"/>
      </w:pPr>
      <w:r>
        <w:rPr>
          <w:b/>
          <w:bCs/>
        </w:rPr>
        <w:t xml:space="preserve">Reconsider when</w:t>
      </w:r>
      <w:r>
        <w:t xml:space="preserve"> </w:t>
      </w:r>
      <w:r>
        <w:t xml:space="preserve">one module has a genuinely different scaling profile — OCR/document extraction is the only realistic candidate, because it is CPU-heavy, long-running and</w:t>
      </w:r>
      <w:r>
        <w:t xml:space="preserve"> </w:t>
      </w:r>
      <w:r>
        <w:rPr>
          <w:i/>
          <w:iCs/>
        </w:rPr>
        <w:t xml:space="preserve">not</w:t>
      </w:r>
      <w:r>
        <w:t xml:space="preserve"> </w:t>
      </w:r>
      <w:r>
        <w:t xml:space="preserve">transactional with the ledger. It is already isolated behind the</w:t>
      </w:r>
      <w:r>
        <w:t xml:space="preserve"> </w:t>
      </w:r>
      <w:r>
        <w:rPr>
          <w:rStyle w:val="VerbatimChar"/>
        </w:rPr>
        <w:t xml:space="preserve">documents</w:t>
      </w:r>
      <w:r>
        <w:t xml:space="preserve"> </w:t>
      </w:r>
      <w:r>
        <w:t xml:space="preserve">module and its own queue, which is precisely what makes it extractable later without touching anything else.</w:t>
      </w:r>
    </w:p>
    <w:bookmarkEnd w:id="56"/>
    <w:bookmarkEnd w:id="57"/>
    <w:bookmarkStart w:id="67" w:name="the-control-plane"/>
    <w:p>
      <w:pPr>
        <w:pStyle w:val="Heading2"/>
      </w:pPr>
      <w:r>
        <w:t xml:space="preserve">7. The control plane</w:t>
      </w:r>
    </w:p>
    <w:bookmarkStart w:id="58" w:name="why-it-is-a-separate-database"/>
    <w:p>
      <w:pPr>
        <w:pStyle w:val="Heading3"/>
      </w:pPr>
      <w:r>
        <w:t xml:space="preserve">7.1 Why it is a separate database</w:t>
      </w:r>
    </w:p>
    <w:p>
      <w:pPr>
        <w:pStyle w:val="FirstParagraph"/>
      </w:pPr>
      <w:r>
        <w:rPr>
          <w:b/>
          <w:bCs/>
        </w:rPr>
        <w:t xml:space="preserve">[PATTERN]</w:t>
      </w:r>
      <w:r>
        <w:t xml:space="preserve"> </w:t>
      </w:r>
      <w:r>
        <w:t xml:space="preserve">The control plane governs tenants. It cannot live inside the data it governs.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Control plane</w:t>
            </w:r>
          </w:p>
        </w:tc>
        <w:tc>
          <w:tcPr/>
          <w:p>
            <w:pPr>
              <w:pStyle w:val="Compact"/>
            </w:pPr>
            <w:r>
              <w:t xml:space="preserve">Data plane</w:t>
            </w:r>
          </w:p>
        </w:tc>
      </w:tr>
      <w:tr>
        <w:tc>
          <w:tcPr/>
          <w:p>
            <w:pPr>
              <w:pStyle w:val="Compact"/>
            </w:pPr>
            <w:r>
              <w:t xml:space="preserve">Security boundary</w:t>
            </w:r>
          </w:p>
        </w:tc>
        <w:tc>
          <w:tcPr/>
          <w:p>
            <w:pPr>
              <w:pStyle w:val="Compact"/>
            </w:pPr>
            <w:r>
              <w:t xml:space="preserve">Platform staff, billing systems</w:t>
            </w:r>
          </w:p>
        </w:tc>
        <w:tc>
          <w:tcPr/>
          <w:p>
            <w:pPr>
              <w:pStyle w:val="Compact"/>
            </w:pPr>
            <w:r>
              <w:t xml:space="preserve">Tenant users only</w:t>
            </w:r>
          </w:p>
        </w:tc>
      </w:tr>
      <w:tr>
        <w:tc>
          <w:tcPr/>
          <w:p>
            <w:pPr>
              <w:pStyle w:val="Compact"/>
            </w:pPr>
            <w:r>
              <w:t xml:space="preserve">Availability class</w:t>
            </w:r>
          </w:p>
        </w:tc>
        <w:tc>
          <w:tcPr/>
          <w:p>
            <w:pPr>
              <w:pStyle w:val="Compact"/>
            </w:pPr>
            <w:r>
              <w:t xml:space="preserve">Every request depends on it → highest</w:t>
            </w:r>
          </w:p>
        </w:tc>
        <w:tc>
          <w:tcPr/>
          <w:p>
            <w:pPr>
              <w:pStyle w:val="Compact"/>
            </w:pPr>
            <w:r>
              <w:t xml:space="preserve">Degrades per placement</w:t>
            </w:r>
          </w:p>
        </w:tc>
      </w:tr>
      <w:tr>
        <w:tc>
          <w:tcPr/>
          <w:p>
            <w:pPr>
              <w:pStyle w:val="Compact"/>
            </w:pPr>
            <w:r>
              <w:t xml:space="preserve">Lifecycle</w:t>
            </w:r>
          </w:p>
        </w:tc>
        <w:tc>
          <w:tcPr/>
          <w:p>
            <w:pPr>
              <w:pStyle w:val="Compact"/>
            </w:pPr>
            <w:r>
              <w:t xml:space="preserve">Survives a placement being rebuilt</w:t>
            </w:r>
          </w:p>
        </w:tc>
        <w:tc>
          <w:tcPr/>
          <w:p>
            <w:pPr>
              <w:pStyle w:val="Compact"/>
            </w:pPr>
            <w:r>
              <w:t xml:space="preserve">Can be restored from backup</w:t>
            </w:r>
          </w:p>
        </w:tc>
      </w:tr>
      <w:tr>
        <w:tc>
          <w:tcPr/>
          <w:p>
            <w:pPr>
              <w:pStyle w:val="Compact"/>
            </w:pPr>
            <w:r>
              <w:t xml:space="preserve">Mobility</w:t>
            </w:r>
          </w:p>
        </w:tc>
        <w:tc>
          <w:tcPr/>
          <w:p>
            <w:pPr>
              <w:pStyle w:val="Compact"/>
            </w:pPr>
            <w:r>
              <w:t xml:space="preserve">Never moves</w:t>
            </w:r>
          </w:p>
        </w:tc>
        <w:tc>
          <w:tcPr/>
          <w:p>
            <w:pPr>
              <w:pStyle w:val="Compact"/>
            </w:pPr>
            <w:r>
              <w:t xml:space="preserve">Moves between placements</w:t>
            </w:r>
          </w:p>
        </w:tc>
      </w:tr>
      <w:tr>
        <w:tc>
          <w:tcPr/>
          <w:p>
            <w:pPr>
              <w:pStyle w:val="Compact"/>
            </w:pPr>
            <w:r>
              <w:t xml:space="preserve">Blast radius of loss</w:t>
            </w:r>
          </w:p>
        </w:tc>
        <w:tc>
          <w:tcPr/>
          <w:p>
            <w:pPr>
              <w:pStyle w:val="Compact"/>
            </w:pPr>
            <w:r>
              <w:t xml:space="preserve">Total — you cannot route any request</w:t>
            </w:r>
          </w:p>
        </w:tc>
        <w:tc>
          <w:tcPr/>
          <w:p>
            <w:pPr>
              <w:pStyle w:val="Compact"/>
            </w:pPr>
            <w:r>
              <w:t xml:space="preserve">One placement’s tenants</w:t>
            </w:r>
          </w:p>
        </w:tc>
      </w:tr>
      <w:tr>
        <w:tc>
          <w:tcPr/>
          <w:p>
            <w:pPr>
              <w:pStyle w:val="Compact"/>
            </w:pPr>
            <w:r>
              <w:t xml:space="preserve">Size</w:t>
            </w:r>
          </w:p>
        </w:tc>
        <w:tc>
          <w:tcPr/>
          <w:p>
            <w:pPr>
              <w:pStyle w:val="Compact"/>
            </w:pPr>
            <w:r>
              <w:t xml:space="preserve">Small — thousands of rows per table at 100k tenants</w:t>
            </w:r>
          </w:p>
        </w:tc>
        <w:tc>
          <w:tcPr/>
          <w:p>
            <w:pPr>
              <w:pStyle w:val="Compact"/>
            </w:pPr>
            <w:r>
              <w:t xml:space="preserve">Large — hundreds of millions of rows</w:t>
            </w:r>
          </w:p>
        </w:tc>
      </w:tr>
    </w:tbl>
    <w:p>
      <w:pPr>
        <w:pStyle w:val="BodyText"/>
      </w:pPr>
      <w:r>
        <w:rPr>
          <w:b/>
          <w:bCs/>
        </w:rPr>
        <w:t xml:space="preserve">[JUDGEMENT]</w:t>
      </w:r>
      <w:r>
        <w:t xml:space="preserve"> </w:t>
      </w:r>
      <w:r>
        <w:t xml:space="preserve">In V1 the two databases may live on the same cluster to save cost, provided they are separate</w:t>
      </w:r>
      <w:r>
        <w:t xml:space="preserve"> </w:t>
      </w:r>
      <w:r>
        <w:rPr>
          <w:i/>
          <w:iCs/>
        </w:rPr>
        <w:t xml:space="preserve">databases</w:t>
      </w:r>
      <w:r>
        <w:t xml:space="preserve"> </w:t>
      </w:r>
      <w:r>
        <w:t xml:space="preserve">with separate credentials and separate connection pools. What must be true from day one is that</w:t>
      </w:r>
      <w:r>
        <w:t xml:space="preserve"> </w:t>
      </w:r>
      <w:r>
        <w:rPr>
          <w:b/>
          <w:bCs/>
        </w:rPr>
        <w:t xml:space="preserve">no query joins across them.</w:t>
      </w:r>
      <w:r>
        <w:t xml:space="preserve"> </w:t>
      </w:r>
      <w:r>
        <w:t xml:space="preserve">That constraint is what allows them to be separated later without a rewrite. It should be enforced by the fact that they are different Prisma clients with different schemas — the type system then makes the join impossible to write.</w:t>
      </w:r>
    </w:p>
    <w:bookmarkEnd w:id="58"/>
    <w:bookmarkStart w:id="62" w:name="control-plane-schema"/>
    <w:p>
      <w:pPr>
        <w:pStyle w:val="Heading3"/>
      </w:pPr>
      <w:r>
        <w:t xml:space="preserve">7.2 Control-plane schema</w:t>
      </w:r>
    </w:p>
    <w:p>
      <w:pPr>
        <w:pStyle w:val="FirstParagraph"/>
      </w:pPr>
      <w:r>
        <w:drawing>
          <wp:inline>
            <wp:extent cx="5334000" cy="517071"/>
            <wp:effectExtent b="0" l="0" r="0" t="0"/>
            <wp:docPr descr="" title="" id="60" name="Picture"/>
            <a:graphic>
              <a:graphicData uri="http://schemas.openxmlformats.org/drawingml/2006/picture">
                <pic:pic>
                  <pic:nvPicPr>
                    <pic:cNvPr descr="/private/tmp/claude-501/-Users-sudipto-Desktop-projects-accubook/c277cf12-a75d-42eb-a282-70d38dbc59e8/scratchpad/d07.png" id="61" name="Picture"/>
                    <pic:cNvPicPr>
                      <a:picLocks noChangeArrowheads="1" noChangeAspect="1"/>
                    </pic:cNvPicPr>
                  </pic:nvPicPr>
                  <pic:blipFill>
                    <a:blip r:embed="rId59"/>
                    <a:stretch>
                      <a:fillRect/>
                    </a:stretch>
                  </pic:blipFill>
                  <pic:spPr bwMode="auto">
                    <a:xfrm>
                      <a:off x="0" y="0"/>
                      <a:ext cx="5334000" cy="51707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Holds</w:t>
            </w:r>
          </w:p>
        </w:tc>
        <w:tc>
          <w:tcPr/>
          <w:p>
            <w:pPr>
              <w:pStyle w:val="Compact"/>
            </w:pPr>
            <w:r>
              <w:t xml:space="preserve">Notes</w:t>
            </w:r>
          </w:p>
        </w:tc>
      </w:tr>
      <w:tr>
        <w:tc>
          <w:tcPr/>
          <w:p>
            <w:pPr>
              <w:pStyle w:val="Compact"/>
            </w:pPr>
            <w:r>
              <w:rPr>
                <w:rStyle w:val="VerbatimChar"/>
              </w:rPr>
              <w:t xml:space="preserve">tenant</w:t>
            </w:r>
          </w:p>
        </w:tc>
        <w:tc>
          <w:tcPr/>
          <w:p>
            <w:pPr>
              <w:pStyle w:val="Compact"/>
            </w:pPr>
            <w:r>
              <w:t xml:space="preserve">id, slug, legal name,</w:t>
            </w:r>
            <w:r>
              <w:t xml:space="preserve"> </w:t>
            </w:r>
            <w:r>
              <w:rPr>
                <w:b/>
                <w:bCs/>
              </w:rPr>
              <w:t xml:space="preserve">status</w:t>
            </w:r>
            <w:r>
              <w:t xml:space="preserve">, region, tier, created/suspended/deleted timestamps</w:t>
            </w:r>
          </w:p>
        </w:tc>
        <w:tc>
          <w:tcPr/>
          <w:p>
            <w:pPr>
              <w:pStyle w:val="Compact"/>
            </w:pPr>
            <w:r>
              <w:t xml:space="preserve">Status is an</w:t>
            </w:r>
            <w:r>
              <w:t xml:space="preserve"> </w:t>
            </w:r>
            <w:r>
              <w:rPr>
                <w:b/>
                <w:bCs/>
              </w:rPr>
              <w:t xml:space="preserve">enum</w:t>
            </w:r>
            <w:r>
              <w:t xml:space="preserve">:</w:t>
            </w:r>
            <w:r>
              <w:t xml:space="preserve"> </w:t>
            </w:r>
            <w:r>
              <w:rPr>
                <w:rStyle w:val="VerbatimChar"/>
              </w:rPr>
              <w:t xml:space="preserve">TRIAL · ACTIVE · PAST_DUE · SUSPENDED · CLOSING · CLOSED</w:t>
            </w:r>
            <w:r>
              <w:t xml:space="preserve">. This replaces today’s</w:t>
            </w:r>
            <w:r>
              <w:t xml:space="preserve"> </w:t>
            </w:r>
            <w:r>
              <w:rPr>
                <w:rStyle w:val="VerbatimChar"/>
              </w:rPr>
              <w:t xml:space="preserve">isActive</w:t>
            </w:r>
            <w:r>
              <w:t xml:space="preserve"> </w:t>
            </w:r>
            <w:r>
              <w:t xml:space="preserve">boolean</w:t>
            </w:r>
            <w:r>
              <w:t xml:space="preserve"> </w:t>
            </w:r>
            <w:r>
              <w:rPr>
                <w:b/>
                <w:bCs/>
              </w:rPr>
              <w:t xml:space="preserve">[VERIFIED-REPO]</w:t>
            </w:r>
            <w:r>
              <w:t xml:space="preserve">, which cannot express</w:t>
            </w:r>
            <w:r>
              <w:t xml:space="preserve"> </w:t>
            </w:r>
            <w:r>
              <w:t xml:space="preserve">“past due but readable”</w:t>
            </w:r>
          </w:p>
        </w:tc>
      </w:tr>
      <w:tr>
        <w:tc>
          <w:tcPr/>
          <w:p>
            <w:pPr>
              <w:pStyle w:val="Compact"/>
            </w:pPr>
            <w:r>
              <w:rPr>
                <w:rStyle w:val="VerbatimChar"/>
              </w:rPr>
              <w:t xml:space="preserve">user_identity</w:t>
            </w:r>
          </w:p>
        </w:tc>
        <w:tc>
          <w:tcPr/>
          <w:p>
            <w:pPr>
              <w:pStyle w:val="Compact"/>
            </w:pPr>
            <w:r>
              <w:t xml:space="preserve">id, email (citext, unique), name, MFA state, last login</w:t>
            </w:r>
          </w:p>
        </w:tc>
        <w:tc>
          <w:tcPr/>
          <w:p>
            <w:pPr>
              <w:pStyle w:val="Compact"/>
            </w:pPr>
            <w:r>
              <w:t xml:space="preserve">Global. One human, one row, regardless of how many tenants they serve</w:t>
            </w:r>
          </w:p>
        </w:tc>
      </w:tr>
      <w:tr>
        <w:tc>
          <w:tcPr/>
          <w:p>
            <w:pPr>
              <w:pStyle w:val="Compact"/>
            </w:pPr>
            <w:r>
              <w:rPr>
                <w:rStyle w:val="VerbatimChar"/>
              </w:rPr>
              <w:t xml:space="preserve">credential</w:t>
            </w:r>
          </w:p>
        </w:tc>
        <w:tc>
          <w:tcPr/>
          <w:p>
            <w:pPr>
              <w:pStyle w:val="Compact"/>
            </w:pPr>
            <w:r>
              <w:t xml:space="preserve">identity_id, provider, hashed secret, rotation state</w:t>
            </w:r>
          </w:p>
        </w:tc>
        <w:tc>
          <w:tcPr/>
          <w:p>
            <w:pPr>
              <w:pStyle w:val="Compact"/>
            </w:pPr>
            <w:r>
              <w:t xml:space="preserve">Separated so that adding SSO/OIDC later touches one table</w:t>
            </w:r>
          </w:p>
        </w:tc>
      </w:tr>
      <w:tr>
        <w:tc>
          <w:tcPr/>
          <w:p>
            <w:pPr>
              <w:pStyle w:val="Compact"/>
            </w:pPr>
            <w:r>
              <w:rPr>
                <w:rStyle w:val="VerbatimChar"/>
              </w:rPr>
              <w:t xml:space="preserve">membership</w:t>
            </w:r>
          </w:p>
        </w:tc>
        <w:tc>
          <w:tcPr/>
          <w:p>
            <w:pPr>
              <w:pStyle w:val="Compact"/>
            </w:pPr>
            <w:r>
              <w:t xml:space="preserve">tenant_id, identity_id, role_id, branch scope, status</w:t>
            </w:r>
          </w:p>
        </w:tc>
        <w:tc>
          <w:tcPr/>
          <w:p>
            <w:pPr>
              <w:pStyle w:val="Compact"/>
            </w:pPr>
            <w:r>
              <w:rPr>
                <w:b/>
                <w:bCs/>
              </w:rPr>
              <w:t xml:space="preserve">The only source of tenant authority.</w:t>
            </w:r>
            <w:r>
              <w:t xml:space="preserve"> </w:t>
            </w:r>
            <w:r>
              <w:rPr>
                <w:rStyle w:val="VerbatimChar"/>
              </w:rPr>
              <w:t xml:space="preserve">@@unique(tenant_id, identity_id)</w:t>
            </w:r>
          </w:p>
        </w:tc>
      </w:tr>
      <w:tr>
        <w:tc>
          <w:tcPr/>
          <w:p>
            <w:pPr>
              <w:pStyle w:val="Compact"/>
            </w:pPr>
            <w:r>
              <w:rPr>
                <w:rStyle w:val="VerbatimChar"/>
              </w:rPr>
              <w:t xml:space="preserve">role</w:t>
            </w:r>
          </w:p>
        </w:tc>
        <w:tc>
          <w:tcPr/>
          <w:p>
            <w:pPr>
              <w:pStyle w:val="Compact"/>
            </w:pPr>
            <w:r>
              <w:t xml:space="preserve">tenant_id</w:t>
            </w:r>
            <w:r>
              <w:t xml:space="preserve"> </w:t>
            </w:r>
            <w:r>
              <w:rPr>
                <w:b/>
                <w:bCs/>
              </w:rPr>
              <w:t xml:space="preserve">(nullable = system role)</w:t>
            </w:r>
            <w:r>
              <w:t xml:space="preserve">, name, permissions JSON, is_system</w:t>
            </w:r>
          </w:p>
        </w:tc>
        <w:tc>
          <w:tcPr/>
          <w:p>
            <w:pPr>
              <w:pStyle w:val="Compact"/>
            </w:pPr>
            <w:r>
              <w:t xml:space="preserve">Nullable tenant_id is the system-vs-tenant split that fixes the live defect in</w:t>
            </w:r>
            <w:r>
              <w:t xml:space="preserve"> </w:t>
            </w:r>
            <w:r>
              <w:rPr>
                <w:b/>
                <w:bCs/>
              </w:rPr>
              <w:t xml:space="preserve">[A §2.6]</w:t>
            </w:r>
          </w:p>
        </w:tc>
      </w:tr>
      <w:tr>
        <w:tc>
          <w:tcPr/>
          <w:p>
            <w:pPr>
              <w:pStyle w:val="Compact"/>
            </w:pPr>
            <w:r>
              <w:rPr>
                <w:rStyle w:val="VerbatimChar"/>
              </w:rPr>
              <w:t xml:space="preserve">plan</w:t>
            </w:r>
            <w:r>
              <w:t xml:space="preserve">,</w:t>
            </w:r>
            <w:r>
              <w:t xml:space="preserve"> </w:t>
            </w:r>
            <w:r>
              <w:rPr>
                <w:rStyle w:val="VerbatimChar"/>
              </w:rPr>
              <w:t xml:space="preserve">plan_feature</w:t>
            </w:r>
            <w:r>
              <w:t xml:space="preserve">,</w:t>
            </w:r>
            <w:r>
              <w:t xml:space="preserve"> </w:t>
            </w:r>
            <w:r>
              <w:rPr>
                <w:rStyle w:val="VerbatimChar"/>
              </w:rPr>
              <w:t xml:space="preserve">plan_limit</w:t>
            </w:r>
          </w:p>
        </w:tc>
        <w:tc>
          <w:tcPr/>
          <w:p>
            <w:pPr>
              <w:pStyle w:val="Compact"/>
            </w:pPr>
            <w:r>
              <w:t xml:space="preserve">Catalogue: what is sold, which features, which caps</w:t>
            </w:r>
          </w:p>
        </w:tc>
        <w:tc>
          <w:tcPr/>
          <w:p>
            <w:pPr>
              <w:pStyle w:val="Compact"/>
            </w:pPr>
            <w:r>
              <w:t xml:space="preserve">Data, never code</w:t>
            </w:r>
          </w:p>
        </w:tc>
      </w:tr>
      <w:tr>
        <w:tc>
          <w:tcPr/>
          <w:p>
            <w:pPr>
              <w:pStyle w:val="Compact"/>
            </w:pPr>
            <w:r>
              <w:rPr>
                <w:rStyle w:val="VerbatimChar"/>
              </w:rPr>
              <w:t xml:space="preserve">subscription</w:t>
            </w:r>
          </w:p>
        </w:tc>
        <w:tc>
          <w:tcPr/>
          <w:p>
            <w:pPr>
              <w:pStyle w:val="Compact"/>
            </w:pPr>
            <w:r>
              <w:t xml:space="preserve">tenant, plan, status, period, trial end, external ref</w:t>
            </w:r>
          </w:p>
        </w:tc>
        <w:tc>
          <w:tcPr/>
          <w:p>
            <w:pPr>
              <w:pStyle w:val="Compact"/>
            </w:pPr>
            <w:r>
              <w:t xml:space="preserve">Razorpay subscription id lives here</w:t>
            </w:r>
          </w:p>
        </w:tc>
      </w:tr>
      <w:tr>
        <w:tc>
          <w:tcPr/>
          <w:p>
            <w:pPr>
              <w:pStyle w:val="Compact"/>
            </w:pPr>
            <w:r>
              <w:rPr>
                <w:rStyle w:val="VerbatimChar"/>
              </w:rPr>
              <w:t xml:space="preserve">entitlement</w:t>
            </w:r>
          </w:p>
        </w:tc>
        <w:tc>
          <w:tcPr/>
          <w:p>
            <w:pPr>
              <w:pStyle w:val="Compact"/>
            </w:pPr>
            <w:r>
              <w:t xml:space="preserve">tenant, key, value, source (</w:t>
            </w:r>
            <w:r>
              <w:rPr>
                <w:rStyle w:val="VerbatimChar"/>
              </w:rPr>
              <w:t xml:space="preserve">PLAN</w:t>
            </w:r>
            <w:r>
              <w:t xml:space="preserve"> </w:t>
            </w:r>
            <w:r>
              <w:t xml:space="preserve">/</w:t>
            </w:r>
            <w:r>
              <w:t xml:space="preserve"> </w:t>
            </w:r>
            <w:r>
              <w:rPr>
                <w:rStyle w:val="VerbatimChar"/>
              </w:rPr>
              <w:t xml:space="preserve">OVERRIDE</w:t>
            </w:r>
            <w:r>
              <w:t xml:space="preserve"> </w:t>
            </w:r>
            <w:r>
              <w:t xml:space="preserve">/</w:t>
            </w:r>
            <w:r>
              <w:t xml:space="preserve"> </w:t>
            </w:r>
            <w:r>
              <w:rPr>
                <w:rStyle w:val="VerbatimChar"/>
              </w:rPr>
              <w:t xml:space="preserve">TRIAL</w:t>
            </w:r>
            <w:r>
              <w:t xml:space="preserve"> </w:t>
            </w:r>
            <w:r>
              <w:t xml:space="preserve">/</w:t>
            </w:r>
            <w:r>
              <w:t xml:space="preserve"> </w:t>
            </w:r>
            <w:r>
              <w:rPr>
                <w:rStyle w:val="VerbatimChar"/>
              </w:rPr>
              <w:t xml:space="preserve">PROMO</w:t>
            </w:r>
            <w:r>
              <w:t xml:space="preserve">), expiry</w:t>
            </w:r>
          </w:p>
        </w:tc>
        <w:tc>
          <w:tcPr/>
          <w:p>
            <w:pPr>
              <w:pStyle w:val="Compact"/>
            </w:pPr>
            <w:r>
              <w:rPr>
                <w:b/>
                <w:bCs/>
              </w:rPr>
              <w:t xml:space="preserve">Materialised.</w:t>
            </w:r>
            <w:r>
              <w:t xml:space="preserve"> </w:t>
            </w:r>
            <w:r>
              <w:t xml:space="preserve">Answers</w:t>
            </w:r>
            <w:r>
              <w:t xml:space="preserve"> </w:t>
            </w:r>
            <w:r>
              <w:t xml:space="preserve">“why does this tenant have this?”</w:t>
            </w:r>
            <w:r>
              <w:t xml:space="preserve"> </w:t>
            </w:r>
            <w:r>
              <w:t xml:space="preserve">— the audit question §24.2</w:t>
            </w:r>
          </w:p>
        </w:tc>
      </w:tr>
      <w:tr>
        <w:tc>
          <w:tcPr/>
          <w:p>
            <w:pPr>
              <w:pStyle w:val="Compact"/>
            </w:pPr>
            <w:r>
              <w:rPr>
                <w:rStyle w:val="VerbatimChar"/>
              </w:rPr>
              <w:t xml:space="preserve">usage_counter</w:t>
            </w:r>
          </w:p>
        </w:tc>
        <w:tc>
          <w:tcPr/>
          <w:p>
            <w:pPr>
              <w:pStyle w:val="Compact"/>
            </w:pPr>
            <w:r>
              <w:t xml:space="preserve">tenant, metric, period, value</w:t>
            </w:r>
          </w:p>
        </w:tc>
        <w:tc>
          <w:tcPr/>
          <w:p>
            <w:pPr>
              <w:pStyle w:val="Compact"/>
            </w:pPr>
            <w:r>
              <w:t xml:space="preserve">Incremented transactionally with the business write</w:t>
            </w:r>
          </w:p>
        </w:tc>
      </w:tr>
      <w:tr>
        <w:tc>
          <w:tcPr/>
          <w:p>
            <w:pPr>
              <w:pStyle w:val="Compact"/>
            </w:pPr>
            <w:r>
              <w:rPr>
                <w:rStyle w:val="VerbatimChar"/>
              </w:rPr>
              <w:t xml:space="preserve">placement</w:t>
            </w:r>
          </w:p>
        </w:tc>
        <w:tc>
          <w:tcPr/>
          <w:p>
            <w:pPr>
              <w:pStyle w:val="Compact"/>
            </w:pPr>
            <w:r>
              <w:t xml:space="preserve">id (</w:t>
            </w:r>
            <w:r>
              <w:rPr>
                <w:rStyle w:val="VerbatimChar"/>
              </w:rPr>
              <w:t xml:space="preserve">POOL-01</w:t>
            </w:r>
            <w:r>
              <w:t xml:space="preserve">), kind (</w:t>
            </w:r>
            <w:r>
              <w:rPr>
                <w:rStyle w:val="VerbatimChar"/>
              </w:rPr>
              <w:t xml:space="preserve">POOL</w:t>
            </w:r>
            <w:r>
              <w:t xml:space="preserve">/</w:t>
            </w:r>
            <w:r>
              <w:rPr>
                <w:rStyle w:val="VerbatimChar"/>
              </w:rPr>
              <w:t xml:space="preserve">BRIDGE</w:t>
            </w:r>
            <w:r>
              <w:t xml:space="preserve">/</w:t>
            </w:r>
            <w:r>
              <w:rPr>
                <w:rStyle w:val="VerbatimChar"/>
              </w:rPr>
              <w:t xml:space="preserve">SILO</w:t>
            </w:r>
            <w:r>
              <w:t xml:space="preserve">), region, connection secret ref, status, capacity</w:t>
            </w:r>
          </w:p>
        </w:tc>
        <w:tc>
          <w:tcPr/>
          <w:p>
            <w:pPr>
              <w:pStyle w:val="Compact"/>
            </w:pPr>
            <w:r>
              <w:t xml:space="preserve">The registry §17 reads</w:t>
            </w:r>
          </w:p>
        </w:tc>
      </w:tr>
      <w:tr>
        <w:tc>
          <w:tcPr/>
          <w:p>
            <w:pPr>
              <w:pStyle w:val="Compact"/>
            </w:pPr>
            <w:r>
              <w:rPr>
                <w:rStyle w:val="VerbatimChar"/>
              </w:rPr>
              <w:t xml:space="preserve">placement_assignment</w:t>
            </w:r>
          </w:p>
        </w:tc>
        <w:tc>
          <w:tcPr/>
          <w:p>
            <w:pPr>
              <w:pStyle w:val="Compact"/>
            </w:pPr>
            <w:r>
              <w:t xml:space="preserve">tenant → placement, since, migration state</w:t>
            </w:r>
          </w:p>
        </w:tc>
        <w:tc>
          <w:tcPr/>
          <w:p>
            <w:pPr>
              <w:pStyle w:val="Compact"/>
            </w:pPr>
            <w:r>
              <w:t xml:space="preserve">The indirection of</w:t>
            </w:r>
            <w:r>
              <w:t xml:space="preserve"> </w:t>
            </w:r>
            <w:r>
              <w:rPr>
                <w:b/>
                <w:bCs/>
              </w:rPr>
              <w:t xml:space="preserve">I8</w:t>
            </w:r>
          </w:p>
        </w:tc>
      </w:tr>
      <w:tr>
        <w:tc>
          <w:tcPr/>
          <w:p>
            <w:pPr>
              <w:pStyle w:val="Compact"/>
            </w:pPr>
            <w:r>
              <w:rPr>
                <w:rStyle w:val="VerbatimChar"/>
              </w:rPr>
              <w:t xml:space="preserve">migration_state</w:t>
            </w:r>
          </w:p>
        </w:tc>
        <w:tc>
          <w:tcPr/>
          <w:p>
            <w:pPr>
              <w:pStyle w:val="Compact"/>
            </w:pPr>
            <w:r>
              <w:t xml:space="preserve">placement, applied migration, checksum, applied_at</w:t>
            </w:r>
          </w:p>
        </w:tc>
        <w:tc>
          <w:tcPr/>
          <w:p>
            <w:pPr>
              <w:pStyle w:val="Compact"/>
            </w:pPr>
            <w:r>
              <w:t xml:space="preserve">Drift detection across placements §17.6</w:t>
            </w:r>
          </w:p>
        </w:tc>
      </w:tr>
      <w:tr>
        <w:tc>
          <w:tcPr/>
          <w:p>
            <w:pPr>
              <w:pStyle w:val="Compact"/>
            </w:pPr>
            <w:r>
              <w:rPr>
                <w:rStyle w:val="VerbatimChar"/>
              </w:rPr>
              <w:t xml:space="preserve">tenant_health</w:t>
            </w:r>
          </w:p>
        </w:tc>
        <w:tc>
          <w:tcPr/>
          <w:p>
            <w:pPr>
              <w:pStyle w:val="Compact"/>
            </w:pPr>
            <w:r>
              <w:t xml:space="preserve">tenant, computed score, error rate, p95, storage, job backlog, updated_at</w:t>
            </w:r>
          </w:p>
        </w:tc>
        <w:tc>
          <w:tcPr/>
          <w:p>
            <w:pPr>
              <w:pStyle w:val="Compact"/>
            </w:pPr>
            <w:r>
              <w:t xml:space="preserve">Rows, not metric labels — §27.3</w:t>
            </w:r>
          </w:p>
        </w:tc>
      </w:tr>
      <w:tr>
        <w:tc>
          <w:tcPr/>
          <w:p>
            <w:pPr>
              <w:pStyle w:val="Compact"/>
            </w:pPr>
            <w:r>
              <w:rPr>
                <w:rStyle w:val="VerbatimChar"/>
              </w:rPr>
              <w:t xml:space="preserve">support_grant</w:t>
            </w:r>
          </w:p>
        </w:tc>
        <w:tc>
          <w:tcPr/>
          <w:p>
            <w:pPr>
              <w:pStyle w:val="Compact"/>
            </w:pPr>
            <w:r>
              <w:t xml:space="preserve">tenant, identity, scope, reason, granted_by, expires_at, consent ref</w:t>
            </w:r>
          </w:p>
        </w:tc>
        <w:tc>
          <w:tcPr/>
          <w:p>
            <w:pPr>
              <w:pStyle w:val="Compact"/>
            </w:pPr>
            <w:r>
              <w:t xml:space="preserve">Break-glass, time-boxed, audited</w:t>
            </w:r>
          </w:p>
        </w:tc>
      </w:tr>
      <w:tr>
        <w:tc>
          <w:tcPr/>
          <w:p>
            <w:pPr>
              <w:pStyle w:val="Compact"/>
            </w:pPr>
            <w:r>
              <w:rPr>
                <w:rStyle w:val="VerbatimChar"/>
              </w:rPr>
              <w:t xml:space="preserve">platform_audit_log</w:t>
            </w:r>
          </w:p>
        </w:tc>
        <w:tc>
          <w:tcPr/>
          <w:p>
            <w:pPr>
              <w:pStyle w:val="Compact"/>
            </w:pPr>
            <w:r>
              <w:t xml:space="preserve">actor, action, target tenant, before/after, at</w:t>
            </w:r>
          </w:p>
        </w:tc>
        <w:tc>
          <w:tcPr/>
          <w:p>
            <w:pPr>
              <w:pStyle w:val="Compact"/>
            </w:pPr>
            <w:r>
              <w:t xml:space="preserve">Append-only. Records what</w:t>
            </w:r>
            <w:r>
              <w:t xml:space="preserve"> </w:t>
            </w:r>
            <w:r>
              <w:rPr>
                <w:i/>
                <w:iCs/>
              </w:rPr>
              <w:t xml:space="preserve">staff</w:t>
            </w:r>
            <w:r>
              <w:t xml:space="preserve"> </w:t>
            </w:r>
            <w:r>
              <w:t xml:space="preserve">did, separate from tenant audit</w:t>
            </w:r>
          </w:p>
        </w:tc>
      </w:tr>
    </w:tbl>
    <w:p>
      <w:pPr>
        <w:pStyle w:val="BodyText"/>
      </w:pPr>
      <w:r>
        <w:rPr>
          <w:b/>
          <w:bCs/>
        </w:rPr>
        <w:t xml:space="preserve">[JUDGEMENT]</w:t>
      </w:r>
      <w:r>
        <w:t xml:space="preserve"> </w:t>
      </w:r>
      <w:r>
        <w:t xml:space="preserve">Three notes on this schema.</w:t>
      </w:r>
    </w:p>
    <w:p>
      <w:pPr>
        <w:pStyle w:val="BodyText"/>
      </w:pPr>
      <w:r>
        <w:rPr>
          <w:b/>
          <w:bCs/>
        </w:rPr>
        <w:t xml:space="preserve">Status must be an enum, everywhere.</w:t>
      </w:r>
      <w:r>
        <w:t xml:space="preserve"> </w:t>
      </w:r>
      <w:r>
        <w:rPr>
          <w:b/>
          <w:bCs/>
        </w:rPr>
        <w:t xml:space="preserve">[VERIFIED-REPO]</w:t>
      </w:r>
      <w:r>
        <w:t xml:space="preserve"> </w:t>
      </w:r>
      <w:r>
        <w:t xml:space="preserve">the current schema has</w:t>
      </w:r>
      <w:r>
        <w:t xml:space="preserve"> </w:t>
      </w:r>
      <w:r>
        <w:rPr>
          <w:b/>
          <w:bCs/>
        </w:rPr>
        <w:t xml:space="preserve">zero</w:t>
      </w:r>
      <w:r>
        <w:t xml:space="preserve"> </w:t>
      </w:r>
      <w:r>
        <w:t xml:space="preserve">Prisma enums and every status is free text —</w:t>
      </w:r>
      <w:r>
        <w:t xml:space="preserve"> </w:t>
      </w:r>
      <w:r>
        <w:rPr>
          <w:rStyle w:val="VerbatimChar"/>
        </w:rPr>
        <w:t xml:space="preserve">Voucher.status</w:t>
      </w:r>
      <w:r>
        <w:t xml:space="preserve">,</w:t>
      </w:r>
      <w:r>
        <w:t xml:space="preserve"> </w:t>
      </w:r>
      <w:r>
        <w:rPr>
          <w:rStyle w:val="VerbatimChar"/>
        </w:rPr>
        <w:t xml:space="preserve">Organization.isActive</w:t>
      </w:r>
      <w:r>
        <w:t xml:space="preserve">, and so on. Free-text status is how</w:t>
      </w:r>
      <w:r>
        <w:t xml:space="preserve"> </w:t>
      </w:r>
      <w:r>
        <w:rPr>
          <w:rStyle w:val="VerbatimChar"/>
        </w:rPr>
        <w:t xml:space="preserve">"CANCELLED"</w:t>
      </w:r>
      <w:r>
        <w:t xml:space="preserve"> </w:t>
      </w:r>
      <w:r>
        <w:t xml:space="preserve">and</w:t>
      </w:r>
      <w:r>
        <w:t xml:space="preserve"> </w:t>
      </w:r>
      <w:r>
        <w:rPr>
          <w:rStyle w:val="VerbatimChar"/>
        </w:rPr>
        <w:t xml:space="preserve">"CANCELED"</w:t>
      </w:r>
      <w:r>
        <w:t xml:space="preserve"> </w:t>
      </w:r>
      <w:r>
        <w:t xml:space="preserve">end up in the same column and a filter silently misses rows. In an accounting system that is a wrong report, not a cosmetic bug. Enum or</w:t>
      </w:r>
      <w:r>
        <w:t xml:space="preserve"> </w:t>
      </w:r>
      <w:r>
        <w:rPr>
          <w:rStyle w:val="VerbatimChar"/>
        </w:rPr>
        <w:t xml:space="preserve">CHECK</w:t>
      </w:r>
      <w:r>
        <w:t xml:space="preserve"> </w:t>
      </w:r>
      <w:r>
        <w:t xml:space="preserve">constraint, on every status column, in both planes.</w:t>
      </w:r>
    </w:p>
    <w:p>
      <w:pPr>
        <w:pStyle w:val="BodyText"/>
      </w:pPr>
      <w:r>
        <w:rPr>
          <w:rStyle w:val="VerbatimChar"/>
          <w:b/>
          <w:bCs/>
        </w:rPr>
        <w:t xml:space="preserve">role.tenant_id</w:t>
      </w:r>
      <w:r>
        <w:rPr>
          <w:b/>
          <w:bCs/>
        </w:rPr>
        <w:t xml:space="preserve"> </w:t>
      </w:r>
      <w:r>
        <w:rPr>
          <w:b/>
          <w:bCs/>
        </w:rPr>
        <w:t xml:space="preserve">nullable is doing real work.</w:t>
      </w:r>
      <w:r>
        <w:t xml:space="preserve"> </w:t>
      </w:r>
      <w:r>
        <w:rPr>
          <w:rStyle w:val="VerbatimChar"/>
        </w:rPr>
        <w:t xml:space="preserve">NULL</w:t>
      </w:r>
      <w:r>
        <w:t xml:space="preserve"> </w:t>
      </w:r>
      <w:r>
        <w:t xml:space="preserve">means a system role shipped by AccuBook; non-null means a tenant’s own. Today</w:t>
      </w:r>
      <w:r>
        <w:t xml:space="preserve"> </w:t>
      </w:r>
      <w:r>
        <w:rPr>
          <w:rStyle w:val="VerbatimChar"/>
        </w:rPr>
        <w:t xml:space="preserve">Role</w:t>
      </w:r>
      <w:r>
        <w:t xml:space="preserve"> </w:t>
      </w:r>
      <w:r>
        <w:t xml:space="preserve">is entirely global</w:t>
      </w:r>
      <w:r>
        <w:t xml:space="preserve"> </w:t>
      </w:r>
      <w:r>
        <w:rPr>
          <w:b/>
          <w:bCs/>
        </w:rPr>
        <w:t xml:space="preserve">[VERIFIED-REPO]</w:t>
      </w:r>
      <w:r>
        <w:t xml:space="preserve">, which means a custom role created by one tenant is assignable by every other tenant and editing it silently changes their permissions. Migration</w:t>
      </w:r>
      <w:r>
        <w:t xml:space="preserve"> </w:t>
      </w:r>
      <w:r>
        <w:rPr>
          <w:rStyle w:val="VerbatimChar"/>
        </w:rPr>
        <w:t xml:space="preserve">17_hr_masters_per_tenant</w:t>
      </w:r>
      <w:r>
        <w:t xml:space="preserve"> </w:t>
      </w:r>
      <w:r>
        <w:t xml:space="preserve">already applied this exact pattern to</w:t>
      </w:r>
      <w:r>
        <w:t xml:space="preserve"> </w:t>
      </w:r>
      <w:r>
        <w:rPr>
          <w:rStyle w:val="VerbatimChar"/>
        </w:rPr>
        <w:t xml:space="preserve">Department</w:t>
      </w:r>
      <w:r>
        <w:t xml:space="preserve"> </w:t>
      </w:r>
      <w:r>
        <w:t xml:space="preserve">and</w:t>
      </w:r>
      <w:r>
        <w:t xml:space="preserve"> </w:t>
      </w:r>
      <w:r>
        <w:rPr>
          <w:rStyle w:val="VerbatimChar"/>
        </w:rPr>
        <w:t xml:space="preserve">Designation</w:t>
      </w:r>
      <w:r>
        <w:t xml:space="preserve"> </w:t>
      </w:r>
      <w:r>
        <w:t xml:space="preserve">— the same fix, applied to</w:t>
      </w:r>
      <w:r>
        <w:t xml:space="preserve"> </w:t>
      </w:r>
      <w:r>
        <w:rPr>
          <w:rStyle w:val="VerbatimChar"/>
        </w:rPr>
        <w:t xml:space="preserve">Role</w:t>
      </w:r>
      <w:r>
        <w:t xml:space="preserve">,</w:t>
      </w:r>
      <w:r>
        <w:t xml:space="preserve"> </w:t>
      </w:r>
      <w:r>
        <w:rPr>
          <w:rStyle w:val="VerbatimChar"/>
        </w:rPr>
        <w:t xml:space="preserve">VoucherType</w:t>
      </w:r>
      <w:r>
        <w:t xml:space="preserve"> </w:t>
      </w:r>
      <w:r>
        <w:t xml:space="preserve">and</w:t>
      </w:r>
      <w:r>
        <w:t xml:space="preserve"> </w:t>
      </w:r>
      <w:r>
        <w:rPr>
          <w:rStyle w:val="VerbatimChar"/>
        </w:rPr>
        <w:t xml:space="preserve">UnitOfMeasure</w:t>
      </w:r>
      <w:r>
        <w:t xml:space="preserve">.</w:t>
      </w:r>
    </w:p>
    <w:p>
      <w:pPr>
        <w:pStyle w:val="BodyText"/>
      </w:pPr>
      <w:r>
        <w:rPr>
          <w:b/>
          <w:bCs/>
        </w:rPr>
        <w:t xml:space="preserve">Entitlements are materialised rather than computed.</w:t>
      </w:r>
      <w:r>
        <w:t xml:space="preserve"> </w:t>
      </w:r>
      <w:r>
        <w:t xml:space="preserve">The alternative — resolving plan → features on every request — makes overrides, trials and promotional grants impossible to express and impossible to audit. §24 develops this.</w:t>
      </w:r>
    </w:p>
    <w:bookmarkEnd w:id="62"/>
    <w:bookmarkStart w:id="66" w:name="Xe4e0a651c86bfb38213d7daa2e81bf4afbc1c1f"/>
    <w:p>
      <w:pPr>
        <w:pStyle w:val="Heading3"/>
      </w:pPr>
      <w:r>
        <w:t xml:space="preserve">7.3 Placement resolution and control-plane availability</w:t>
      </w:r>
    </w:p>
    <w:p>
      <w:pPr>
        <w:pStyle w:val="FirstParagraph"/>
      </w:pPr>
      <w:r>
        <w:t xml:space="preserve">Every request reads the control plane. That makes it the highest-availability component in the system and, untreated, a total single point of failure.</w:t>
      </w:r>
    </w:p>
    <w:p>
      <w:pPr>
        <w:pStyle w:val="BodyText"/>
      </w:pPr>
      <w:r>
        <w:drawing>
          <wp:inline>
            <wp:extent cx="5334000" cy="3401785"/>
            <wp:effectExtent b="0" l="0" r="0" t="0"/>
            <wp:docPr descr="" title="" id="64" name="Picture"/>
            <a:graphic>
              <a:graphicData uri="http://schemas.openxmlformats.org/drawingml/2006/picture">
                <pic:pic>
                  <pic:nvPicPr>
                    <pic:cNvPr descr="/private/tmp/claude-501/-Users-sudipto-Desktop-projects-accubook/c277cf12-a75d-42eb-a282-70d38dbc59e8/scratchpad/d08.png" id="65" name="Picture"/>
                    <pic:cNvPicPr>
                      <a:picLocks noChangeArrowheads="1" noChangeAspect="1"/>
                    </pic:cNvPicPr>
                  </pic:nvPicPr>
                  <pic:blipFill>
                    <a:blip r:embed="rId63"/>
                    <a:stretch>
                      <a:fillRect/>
                    </a:stretch>
                  </pic:blipFill>
                  <pic:spPr bwMode="auto">
                    <a:xfrm>
                      <a:off x="0" y="0"/>
                      <a:ext cx="5334000" cy="3401785"/>
                    </a:xfrm>
                    <a:prstGeom prst="rect">
                      <a:avLst/>
                    </a:prstGeom>
                    <a:noFill/>
                    <a:ln w="9525">
                      <a:noFill/>
                      <a:headEnd/>
                      <a:tailEnd/>
                    </a:ln>
                  </pic:spPr>
                </pic:pic>
              </a:graphicData>
            </a:graphic>
          </wp:inline>
        </w:drawing>
      </w:r>
    </w:p>
    <w:p>
      <w:pPr>
        <w:pStyle w:val="BodyText"/>
      </w:pPr>
      <w:r>
        <w:rPr>
          <w:b/>
          <w:bCs/>
        </w:rPr>
        <w:t xml:space="preserve">[JUDGEMENT]</w:t>
      </w:r>
      <w:r>
        <w:t xml:space="preserve"> </w:t>
      </w:r>
      <w:r>
        <w:rPr>
          <w:b/>
          <w:bCs/>
        </w:rPr>
        <w:t xml:space="preserve">Stale-while-error is the design decision that stops the control plane being a total outage.</w:t>
      </w:r>
      <w:r>
        <w:t xml:space="preserve"> </w:t>
      </w:r>
      <w:r>
        <w:t xml:space="preserve">Tenant status, placement and entitlements change rarely — a tenant’s plan does not change between two requests. Serving a 24-hour-stale copy when the Platform DB is unreachable converts</w:t>
      </w:r>
      <w:r>
        <w:t xml:space="preserve"> </w:t>
      </w:r>
      <w:r>
        <w:t xml:space="preserve">“AccuBook is down”</w:t>
      </w:r>
      <w:r>
        <w:t xml:space="preserve"> </w:t>
      </w:r>
      <w:r>
        <w:t xml:space="preserve">into</w:t>
      </w:r>
      <w:r>
        <w:t xml:space="preserve"> </w:t>
      </w:r>
      <w:r>
        <w:t xml:space="preserve">“AccuBook cannot change plans right now”</w:t>
      </w:r>
      <w:r>
        <w:t xml:space="preserve">. The cost is bounded and explicit: a suspended tenant may retain access for up to the stale TTL.</w:t>
      </w:r>
      <w:r>
        <w:t xml:space="preserve"> </w:t>
      </w:r>
      <w:r>
        <w:rPr>
          <w:b/>
          <w:bCs/>
        </w:rPr>
        <w:t xml:space="preserve">[JUDGEMENT]</w:t>
      </w:r>
      <w:r>
        <w:t xml:space="preserve"> </w:t>
      </w:r>
      <w:r>
        <w:t xml:space="preserve">For a suspension driven by non-payment that is an acceptable trade; for a suspension driven by abuse it is not — so abuse suspensions must also write a deny-list entry that is checked separately and fails closed.</w:t>
      </w:r>
    </w:p>
    <w:bookmarkEnd w:id="66"/>
    <w:bookmarkEnd w:id="67"/>
    <w:bookmarkStart w:id="75" w:name="the-data-plane"/>
    <w:p>
      <w:pPr>
        <w:pStyle w:val="Heading2"/>
      </w:pPr>
      <w:r>
        <w:t xml:space="preserve">8. The data plane</w:t>
      </w:r>
    </w:p>
    <w:bookmarkStart w:id="71" w:name="layout"/>
    <w:p>
      <w:pPr>
        <w:pStyle w:val="Heading3"/>
      </w:pPr>
      <w:r>
        <w:t xml:space="preserve">8.1 Layout</w:t>
      </w:r>
    </w:p>
    <w:p>
      <w:pPr>
        <w:pStyle w:val="FirstParagraph"/>
      </w:pPr>
      <w:r>
        <w:t xml:space="preserve">One PostgreSQL database per placement, holding every tenant’s data in shared tables.</w:t>
      </w:r>
    </w:p>
    <w:p>
      <w:pPr>
        <w:pStyle w:val="BodyText"/>
      </w:pPr>
      <w:r>
        <w:drawing>
          <wp:inline>
            <wp:extent cx="5334000" cy="3415392"/>
            <wp:effectExtent b="0" l="0" r="0" t="0"/>
            <wp:docPr descr="" title="" id="69" name="Picture"/>
            <a:graphic>
              <a:graphicData uri="http://schemas.openxmlformats.org/drawingml/2006/picture">
                <pic:pic>
                  <pic:nvPicPr>
                    <pic:cNvPr descr="/private/tmp/claude-501/-Users-sudipto-Desktop-projects-accubook/c277cf12-a75d-42eb-a282-70d38dbc59e8/scratchpad/d09.png" id="70" name="Picture"/>
                    <pic:cNvPicPr>
                      <a:picLocks noChangeArrowheads="1" noChangeAspect="1"/>
                    </pic:cNvPicPr>
                  </pic:nvPicPr>
                  <pic:blipFill>
                    <a:blip r:embed="rId68"/>
                    <a:stretch>
                      <a:fillRect/>
                    </a:stretch>
                  </pic:blipFill>
                  <pic:spPr bwMode="auto">
                    <a:xfrm>
                      <a:off x="0" y="0"/>
                      <a:ext cx="5334000" cy="3415392"/>
                    </a:xfrm>
                    <a:prstGeom prst="rect">
                      <a:avLst/>
                    </a:prstGeom>
                    <a:noFill/>
                    <a:ln w="9525">
                      <a:noFill/>
                      <a:headEnd/>
                      <a:tailEnd/>
                    </a:ln>
                  </pic:spPr>
                </pic:pic>
              </a:graphicData>
            </a:graphic>
          </wp:inline>
        </w:drawing>
      </w:r>
    </w:p>
    <w:bookmarkEnd w:id="71"/>
    <w:bookmarkStart w:id="72" w:name="the-tenant-key-invariant-i1"/>
    <w:p>
      <w:pPr>
        <w:pStyle w:val="Heading3"/>
      </w:pPr>
      <w:r>
        <w:t xml:space="preserve">8.2 The tenant key — invariant I1</w:t>
      </w:r>
    </w:p>
    <w:p>
      <w:pPr>
        <w:pStyle w:val="FirstParagraph"/>
      </w:pPr>
      <w:r>
        <w:rPr>
          <w:b/>
          <w:bCs/>
        </w:rPr>
        <w:t xml:space="preserve">Every tenant-owned table carries</w:t>
      </w:r>
      <w:r>
        <w:rPr>
          <w:b/>
          <w:bCs/>
        </w:rPr>
        <w:t xml:space="preserve"> </w:t>
      </w:r>
      <w:r>
        <w:rPr>
          <w:rStyle w:val="VerbatimChar"/>
          <w:b/>
          <w:bCs/>
        </w:rPr>
        <w:t xml:space="preserve">organizationId</w:t>
      </w:r>
      <w:r>
        <w:rPr>
          <w:b/>
          <w:bCs/>
        </w:rPr>
        <w:t xml:space="preserve"> </w:t>
      </w:r>
      <w:r>
        <w:rPr>
          <w:b/>
          <w:bCs/>
        </w:rPr>
        <w:t xml:space="preserve">directly.</w:t>
      </w:r>
      <w:r>
        <w:t xml:space="preserve"> </w:t>
      </w:r>
      <w:r>
        <w:t xml:space="preserve">Not through a parent, not through a join — in its own row.</w:t>
      </w:r>
    </w:p>
    <w:p>
      <w:pPr>
        <w:pStyle w:val="BodyText"/>
      </w:pPr>
      <w:r>
        <w:rPr>
          <w:b/>
          <w:bCs/>
        </w:rPr>
        <w:t xml:space="preserve">[VERIFIED-REPO]</w:t>
      </w:r>
      <w:r>
        <w:t xml:space="preserve"> </w:t>
      </w:r>
      <w:r>
        <w:t xml:space="preserve">Today 41 of 74 models carry it and 33 do not. Those 33 divide three ways, and conflating them is the most common mistake in this kind of migration: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Models</w:t>
            </w:r>
          </w:p>
        </w:tc>
        <w:tc>
          <w:tcPr/>
          <w:p>
            <w:pPr>
              <w:pStyle w:val="Compact"/>
            </w:pPr>
            <w:r>
              <w:t xml:space="preserve">Treatment</w:t>
            </w:r>
          </w:p>
        </w:tc>
      </w:tr>
      <w:tr>
        <w:tc>
          <w:tcPr/>
          <w:p>
            <w:pPr>
              <w:pStyle w:val="Compact"/>
            </w:pPr>
            <w:r>
              <w:rPr>
                <w:b/>
                <w:bCs/>
              </w:rPr>
              <w:t xml:space="preserve">Platform / identity</w:t>
            </w:r>
          </w:p>
        </w:tc>
        <w:tc>
          <w:tcPr/>
          <w:p>
            <w:pPr>
              <w:pStyle w:val="Compact"/>
            </w:pPr>
            <w:r>
              <w:rPr>
                <w:rStyle w:val="VerbatimChar"/>
              </w:rPr>
              <w:t xml:space="preserve">User</w:t>
            </w:r>
            <w:r>
              <w:t xml:space="preserve">,</w:t>
            </w:r>
            <w:r>
              <w:t xml:space="preserve"> </w:t>
            </w:r>
            <w:r>
              <w:rPr>
                <w:rStyle w:val="VerbatimChar"/>
              </w:rPr>
              <w:t xml:space="preserve">Account</w:t>
            </w:r>
            <w:r>
              <w:t xml:space="preserve">,</w:t>
            </w:r>
            <w:r>
              <w:t xml:space="preserve"> </w:t>
            </w:r>
            <w:r>
              <w:rPr>
                <w:rStyle w:val="VerbatimChar"/>
              </w:rPr>
              <w:t xml:space="preserve">Session</w:t>
            </w:r>
            <w:r>
              <w:t xml:space="preserve">,</w:t>
            </w:r>
            <w:r>
              <w:t xml:space="preserve"> </w:t>
            </w:r>
            <w:r>
              <w:rPr>
                <w:rStyle w:val="VerbatimChar"/>
              </w:rPr>
              <w:t xml:space="preserve">VerificationToken</w:t>
            </w:r>
            <w:r>
              <w:t xml:space="preserve">,</w:t>
            </w:r>
            <w:r>
              <w:t xml:space="preserve"> </w:t>
            </w:r>
            <w:r>
              <w:rPr>
                <w:rStyle w:val="VerbatimChar"/>
              </w:rPr>
              <w:t xml:space="preserve">Organization</w:t>
            </w:r>
          </w:p>
        </w:tc>
        <w:tc>
          <w:tcPr/>
          <w:p>
            <w:pPr>
              <w:pStyle w:val="Compact"/>
            </w:pPr>
            <w:r>
              <w:t xml:space="preserve">Move to the control plane (§7.2)</w:t>
            </w:r>
          </w:p>
        </w:tc>
      </w:tr>
      <w:tr>
        <w:tc>
          <w:tcPr/>
          <w:p>
            <w:pPr>
              <w:pStyle w:val="Compact"/>
            </w:pPr>
            <w:r>
              <w:rPr>
                <w:b/>
                <w:bCs/>
              </w:rPr>
              <w:t xml:space="preserve">Genuinely global reference</w:t>
            </w:r>
          </w:p>
        </w:tc>
        <w:tc>
          <w:tcPr/>
          <w:p>
            <w:pPr>
              <w:pStyle w:val="Compact"/>
            </w:pPr>
            <w:r>
              <w:rPr>
                <w:rStyle w:val="VerbatimChar"/>
              </w:rPr>
              <w:t xml:space="preserve">Currency</w:t>
            </w:r>
            <w:r>
              <w:t xml:space="preserve">,</w:t>
            </w:r>
            <w:r>
              <w:t xml:space="preserve"> </w:t>
            </w:r>
            <w:r>
              <w:rPr>
                <w:rStyle w:val="VerbatimChar"/>
              </w:rPr>
              <w:t xml:space="preserve">ExchangeRate</w:t>
            </w:r>
          </w:p>
        </w:tc>
        <w:tc>
          <w:tcPr/>
          <w:p>
            <w:pPr>
              <w:pStyle w:val="Compact"/>
            </w:pPr>
            <w:r>
              <w:t xml:space="preserve">Stay global. Read-only to tenants, no RLS policy needed, only a grant</w:t>
            </w:r>
          </w:p>
        </w:tc>
      </w:tr>
      <w:tr>
        <w:tc>
          <w:tcPr/>
          <w:p>
            <w:pPr>
              <w:pStyle w:val="Compact"/>
            </w:pPr>
            <w:r>
              <w:rPr>
                <w:b/>
                <w:bCs/>
              </w:rPr>
              <w:t xml:space="preserve">Tenant-owned, scoped only via a parent</w:t>
            </w:r>
          </w:p>
        </w:tc>
        <w:tc>
          <w:tcPr/>
          <w:p>
            <w:pPr>
              <w:pStyle w:val="Compact"/>
            </w:pPr>
            <w:r>
              <w:rPr>
                <w:rStyle w:val="VerbatimChar"/>
              </w:rPr>
              <w:t xml:space="preserve">VoucherEntry</w:t>
            </w:r>
            <w:r>
              <w:t xml:space="preserve">,</w:t>
            </w:r>
            <w:r>
              <w:t xml:space="preserve"> </w:t>
            </w:r>
            <w:r>
              <w:rPr>
                <w:rStyle w:val="VerbatimChar"/>
              </w:rPr>
              <w:t xml:space="preserve">InvoiceItem</w:t>
            </w:r>
            <w:r>
              <w:t xml:space="preserve">,</w:t>
            </w:r>
            <w:r>
              <w:t xml:space="preserve"> </w:t>
            </w:r>
            <w:r>
              <w:rPr>
                <w:rStyle w:val="VerbatimChar"/>
              </w:rPr>
              <w:t xml:space="preserve">InvoiceTax</w:t>
            </w:r>
            <w:r>
              <w:t xml:space="preserve">,</w:t>
            </w:r>
            <w:r>
              <w:t xml:space="preserve"> </w:t>
            </w:r>
            <w:r>
              <w:rPr>
                <w:rStyle w:val="VerbatimChar"/>
              </w:rPr>
              <w:t xml:space="preserve">BillItem</w:t>
            </w:r>
            <w:r>
              <w:t xml:space="preserve">,</w:t>
            </w:r>
            <w:r>
              <w:t xml:space="preserve"> </w:t>
            </w:r>
            <w:r>
              <w:rPr>
                <w:rStyle w:val="VerbatimChar"/>
              </w:rPr>
              <w:t xml:space="preserve">BillTax</w:t>
            </w:r>
            <w:r>
              <w:t xml:space="preserve">,</w:t>
            </w:r>
            <w:r>
              <w:t xml:space="preserve"> </w:t>
            </w:r>
            <w:r>
              <w:rPr>
                <w:rStyle w:val="VerbatimChar"/>
              </w:rPr>
              <w:t xml:space="preserve">InvoicePayment</w:t>
            </w:r>
            <w:r>
              <w:t xml:space="preserve">,</w:t>
            </w:r>
            <w:r>
              <w:t xml:space="preserve"> </w:t>
            </w:r>
            <w:r>
              <w:rPr>
                <w:rStyle w:val="VerbatimChar"/>
              </w:rPr>
              <w:t xml:space="preserve">Stock</w:t>
            </w:r>
            <w:r>
              <w:t xml:space="preserve">,</w:t>
            </w:r>
            <w:r>
              <w:t xml:space="preserve"> </w:t>
            </w:r>
            <w:r>
              <w:rPr>
                <w:rStyle w:val="VerbatimChar"/>
              </w:rPr>
              <w:t xml:space="preserve">Batch</w:t>
            </w:r>
            <w:r>
              <w:t xml:space="preserve">,</w:t>
            </w:r>
            <w:r>
              <w:t xml:space="preserve"> </w:t>
            </w:r>
            <w:r>
              <w:rPr>
                <w:rStyle w:val="VerbatimChar"/>
              </w:rPr>
              <w:t xml:space="preserve">StockMovement</w:t>
            </w:r>
            <w:r>
              <w:t xml:space="preserve">,</w:t>
            </w:r>
            <w:r>
              <w:t xml:space="preserve"> </w:t>
            </w:r>
            <w:r>
              <w:rPr>
                <w:rStyle w:val="VerbatimChar"/>
              </w:rPr>
              <w:t xml:space="preserve">SalesOrderItem</w:t>
            </w:r>
            <w:r>
              <w:t xml:space="preserve">,</w:t>
            </w:r>
            <w:r>
              <w:t xml:space="preserve"> </w:t>
            </w:r>
            <w:r>
              <w:rPr>
                <w:rStyle w:val="VerbatimChar"/>
              </w:rPr>
              <w:t xml:space="preserve">QuotationItem</w:t>
            </w:r>
            <w:r>
              <w:t xml:space="preserve">,</w:t>
            </w:r>
            <w:r>
              <w:t xml:space="preserve"> </w:t>
            </w:r>
            <w:r>
              <w:rPr>
                <w:rStyle w:val="VerbatimChar"/>
              </w:rPr>
              <w:t xml:space="preserve">PurchaseOrderItem</w:t>
            </w:r>
            <w:r>
              <w:t xml:space="preserve">,</w:t>
            </w:r>
            <w:r>
              <w:t xml:space="preserve"> </w:t>
            </w:r>
            <w:r>
              <w:rPr>
                <w:rStyle w:val="VerbatimChar"/>
              </w:rPr>
              <w:t xml:space="preserve">BomItem</w:t>
            </w:r>
            <w:r>
              <w:t xml:space="preserve">,</w:t>
            </w:r>
            <w:r>
              <w:t xml:space="preserve"> </w:t>
            </w:r>
            <w:r>
              <w:rPr>
                <w:rStyle w:val="VerbatimChar"/>
              </w:rPr>
              <w:t xml:space="preserve">ItemUnit</w:t>
            </w:r>
            <w:r>
              <w:t xml:space="preserve">,</w:t>
            </w:r>
            <w:r>
              <w:t xml:space="preserve"> </w:t>
            </w:r>
            <w:r>
              <w:rPr>
                <w:rStyle w:val="VerbatimChar"/>
              </w:rPr>
              <w:t xml:space="preserve">BankTransaction</w:t>
            </w:r>
            <w:r>
              <w:t xml:space="preserve">,</w:t>
            </w:r>
            <w:r>
              <w:t xml:space="preserve"> </w:t>
            </w:r>
            <w:r>
              <w:rPr>
                <w:rStyle w:val="VerbatimChar"/>
              </w:rPr>
              <w:t xml:space="preserve">BankReconciliation</w:t>
            </w:r>
            <w:r>
              <w:t xml:space="preserve">,</w:t>
            </w:r>
            <w:r>
              <w:t xml:space="preserve"> </w:t>
            </w:r>
            <w:r>
              <w:rPr>
                <w:rStyle w:val="VerbatimChar"/>
              </w:rPr>
              <w:t xml:space="preserve">Attendance</w:t>
            </w:r>
            <w:r>
              <w:t xml:space="preserve">,</w:t>
            </w:r>
            <w:r>
              <w:t xml:space="preserve"> </w:t>
            </w:r>
            <w:r>
              <w:rPr>
                <w:rStyle w:val="VerbatimChar"/>
              </w:rPr>
              <w:t xml:space="preserve">Leave</w:t>
            </w:r>
            <w:r>
              <w:t xml:space="preserve">,</w:t>
            </w:r>
            <w:r>
              <w:t xml:space="preserve"> </w:t>
            </w:r>
            <w:r>
              <w:rPr>
                <w:rStyle w:val="VerbatimChar"/>
              </w:rPr>
              <w:t xml:space="preserve">Payslip</w:t>
            </w:r>
            <w:r>
              <w:t xml:space="preserve">,</w:t>
            </w:r>
            <w:r>
              <w:t xml:space="preserve"> </w:t>
            </w:r>
            <w:r>
              <w:rPr>
                <w:rStyle w:val="VerbatimChar"/>
              </w:rPr>
              <w:t xml:space="preserve">ExpenseClaim</w:t>
            </w:r>
            <w:r>
              <w:t xml:space="preserve">,</w:t>
            </w:r>
            <w:r>
              <w:t xml:space="preserve"> </w:t>
            </w:r>
            <w:r>
              <w:rPr>
                <w:rStyle w:val="VerbatimChar"/>
              </w:rPr>
              <w:t xml:space="preserve">BudgetLine</w:t>
            </w:r>
            <w:r>
              <w:t xml:space="preserve">,</w:t>
            </w:r>
            <w:r>
              <w:t xml:space="preserve"> </w:t>
            </w:r>
            <w:r>
              <w:rPr>
                <w:rStyle w:val="VerbatimChar"/>
              </w:rPr>
              <w:t xml:space="preserve">ApprovalWorkflowStep</w:t>
            </w:r>
            <w:r>
              <w:t xml:space="preserve">,</w:t>
            </w:r>
            <w:r>
              <w:t xml:space="preserve"> </w:t>
            </w:r>
            <w:r>
              <w:rPr>
                <w:rStyle w:val="VerbatimChar"/>
              </w:rPr>
              <w:t xml:space="preserve">FiscalPeriod</w:t>
            </w:r>
          </w:p>
        </w:tc>
        <w:tc>
          <w:tcPr/>
          <w:p>
            <w:pPr>
              <w:pStyle w:val="Compact"/>
            </w:pPr>
            <w:r>
              <w:rPr>
                <w:b/>
                <w:bCs/>
              </w:rPr>
              <w:t xml:space="preserve">Backfill</w:t>
            </w:r>
            <w:r>
              <w:rPr>
                <w:b/>
                <w:bCs/>
              </w:rPr>
              <w:t xml:space="preserve"> </w:t>
            </w:r>
            <w:r>
              <w:rPr>
                <w:rStyle w:val="VerbatimChar"/>
                <w:b/>
                <w:bCs/>
              </w:rPr>
              <w:t xml:space="preserve">organizationId</w:t>
            </w:r>
          </w:p>
        </w:tc>
      </w:tr>
      <w:tr>
        <w:tc>
          <w:tcPr/>
          <w:p>
            <w:pPr>
              <w:pStyle w:val="Compact"/>
            </w:pPr>
            <w:r>
              <w:rPr>
                <w:b/>
                <w:bCs/>
              </w:rPr>
              <w:t xml:space="preserve">Global but tenant-shaped — a live defect</w:t>
            </w:r>
          </w:p>
        </w:tc>
        <w:tc>
          <w:tcPr/>
          <w:p>
            <w:pPr>
              <w:pStyle w:val="Compact"/>
            </w:pPr>
            <w:r>
              <w:rPr>
                <w:rStyle w:val="VerbatimChar"/>
              </w:rPr>
              <w:t xml:space="preserve">Role</w:t>
            </w:r>
            <w:r>
              <w:t xml:space="preserve">,</w:t>
            </w:r>
            <w:r>
              <w:t xml:space="preserve"> </w:t>
            </w:r>
            <w:r>
              <w:rPr>
                <w:rStyle w:val="VerbatimChar"/>
              </w:rPr>
              <w:t xml:space="preserve">VoucherType</w:t>
            </w:r>
            <w:r>
              <w:t xml:space="preserve">,</w:t>
            </w:r>
            <w:r>
              <w:t xml:space="preserve"> </w:t>
            </w:r>
            <w:r>
              <w:rPr>
                <w:rStyle w:val="VerbatimChar"/>
              </w:rPr>
              <w:t xml:space="preserve">UnitOfMeasure</w:t>
            </w:r>
          </w:p>
        </w:tc>
        <w:tc>
          <w:tcPr/>
          <w:p>
            <w:pPr>
              <w:pStyle w:val="Compact"/>
            </w:pPr>
            <w:r>
              <w:t xml:space="preserve">Split system vs tenant-owned (§7.2)</w:t>
            </w:r>
          </w:p>
        </w:tc>
      </w:tr>
    </w:tbl>
    <w:p>
      <w:pPr>
        <w:pStyle w:val="BodyText"/>
      </w:pPr>
      <w:r>
        <w:rPr>
          <w:b/>
          <w:bCs/>
        </w:rPr>
        <w:t xml:space="preserve">[JUDGEMENT]</w:t>
      </w:r>
      <w:r>
        <w:t xml:space="preserve"> </w:t>
      </w:r>
      <w:r>
        <w:rPr>
          <w:rStyle w:val="VerbatimChar"/>
        </w:rPr>
        <w:t xml:space="preserve">VoucherEntry</w:t>
      </w:r>
      <w:r>
        <w:t xml:space="preserve"> </w:t>
      </w:r>
      <w:r>
        <w:t xml:space="preserve">is the general-ledger detail table — the single most sensitive table in an accounting system — and it currently has no tenant column at all. Its tenancy is inferred by joining to</w:t>
      </w:r>
      <w:r>
        <w:t xml:space="preserve"> </w:t>
      </w:r>
      <w:r>
        <w:rPr>
          <w:rStyle w:val="VerbatimChar"/>
        </w:rPr>
        <w:t xml:space="preserve">vouchers</w:t>
      </w:r>
      <w:r>
        <w:t xml:space="preserve">. An RLS policy</w:t>
      </w:r>
      <w:r>
        <w:t xml:space="preserve"> </w:t>
      </w:r>
      <w:r>
        <w:rPr>
          <w:i/>
          <w:iCs/>
        </w:rPr>
        <w:t xml:space="preserve">can</w:t>
      </w:r>
      <w:r>
        <w:t xml:space="preserve"> </w:t>
      </w:r>
      <w:r>
        <w:t xml:space="preserve">be written as a subquery join, but it is evaluated per row, it defeats index-only scans, and it makes the most-queried table in the system the slowest. Denormalising</w:t>
      </w:r>
      <w:r>
        <w:t xml:space="preserve"> </w:t>
      </w:r>
      <w:r>
        <w:rPr>
          <w:rStyle w:val="VerbatimChar"/>
        </w:rPr>
        <w:t xml:space="preserve">organizationId</w:t>
      </w:r>
      <w:r>
        <w:t xml:space="preserve"> </w:t>
      </w:r>
      <w:r>
        <w:t xml:space="preserve">onto it is not a compromise; it is the correct design.</w:t>
      </w:r>
    </w:p>
    <w:p>
      <w:pPr>
        <w:pStyle w:val="BodyText"/>
      </w:pPr>
      <w:r>
        <w:t xml:space="preserve">The objection to denormalisation is that it can drift — a child could carry a different</w:t>
      </w:r>
      <w:r>
        <w:t xml:space="preserve"> </w:t>
      </w:r>
      <w:r>
        <w:rPr>
          <w:rStyle w:val="VerbatimChar"/>
        </w:rPr>
        <w:t xml:space="preserve">organizationId</w:t>
      </w:r>
      <w:r>
        <w:t xml:space="preserve"> </w:t>
      </w:r>
      <w:r>
        <w:t xml:space="preserve">from its parent. §8.3 makes that structurally impossible.</w:t>
      </w:r>
    </w:p>
    <w:bookmarkEnd w:id="72"/>
    <w:bookmarkStart w:id="73" w:name="X1bc22f88c39c8513b98a64857c02d8903c27bfa"/>
    <w:p>
      <w:pPr>
        <w:pStyle w:val="Heading3"/>
      </w:pPr>
      <w:r>
        <w:t xml:space="preserve">8.3 Composite foreign keys make drift impossible</w:t>
      </w:r>
    </w:p>
    <w:p>
      <w:pPr>
        <w:pStyle w:val="SourceCode"/>
      </w:pPr>
      <w:r>
        <w:rPr>
          <w:rStyle w:val="CommentTok"/>
        </w:rPr>
        <w:t xml:space="preserve">-- The parent's tenant key is part of a unique key it can be referenced by</w:t>
      </w:r>
      <w:r>
        <w:br/>
      </w:r>
      <w:r>
        <w:rPr>
          <w:rStyle w:val="KeywordTok"/>
        </w:rPr>
        <w:t xml:space="preserve">ALTER</w:t>
      </w:r>
      <w:r>
        <w:rPr>
          <w:rStyle w:val="NormalTok"/>
        </w:rPr>
        <w:t xml:space="preserve"> </w:t>
      </w:r>
      <w:r>
        <w:rPr>
          <w:rStyle w:val="KeywordTok"/>
        </w:rPr>
        <w:t xml:space="preserve">TABLE</w:t>
      </w:r>
      <w:r>
        <w:rPr>
          <w:rStyle w:val="NormalTok"/>
        </w:rPr>
        <w:t xml:space="preserve"> vouchers </w:t>
      </w:r>
      <w:r>
        <w:rPr>
          <w:rStyle w:val="KeywordTok"/>
        </w:rPr>
        <w:t xml:space="preserve">ADD</w:t>
      </w:r>
      <w:r>
        <w:rPr>
          <w:rStyle w:val="NormalTok"/>
        </w:rPr>
        <w:t xml:space="preserve"> </w:t>
      </w:r>
      <w:r>
        <w:rPr>
          <w:rStyle w:val="KeywordTok"/>
        </w:rPr>
        <w:t xml:space="preserve">CONSTRAINT</w:t>
      </w:r>
      <w:r>
        <w:rPr>
          <w:rStyle w:val="NormalTok"/>
        </w:rPr>
        <w:t xml:space="preserve"> vouchers_org_id_uk</w:t>
      </w:r>
      <w:r>
        <w:br/>
      </w:r>
      <w:r>
        <w:rPr>
          <w:rStyle w:val="NormalTok"/>
        </w:rPr>
        <w:t xml:space="preserve">  </w:t>
      </w:r>
      <w:r>
        <w:rPr>
          <w:rStyle w:val="KeywordTok"/>
        </w:rPr>
        <w:t xml:space="preserve">UNIQUE</w:t>
      </w:r>
      <w:r>
        <w:rPr>
          <w:rStyle w:val="NormalTok"/>
        </w:rPr>
        <w:t xml:space="preserve"> (</w:t>
      </w:r>
      <w:r>
        <w:rPr>
          <w:rStyle w:val="OtherTok"/>
        </w:rPr>
        <w:t xml:space="preserve">"organizationId"</w:t>
      </w:r>
      <w:r>
        <w:rPr>
          <w:rStyle w:val="NormalTok"/>
        </w:rPr>
        <w:t xml:space="preserve">, </w:t>
      </w:r>
      <w:r>
        <w:rPr>
          <w:rStyle w:val="KeywordTok"/>
        </w:rPr>
        <w:t xml:space="preserve">id</w:t>
      </w:r>
      <w:r>
        <w:rPr>
          <w:rStyle w:val="NormalTok"/>
        </w:rPr>
        <w:t xml:space="preserve">);</w:t>
      </w:r>
      <w:r>
        <w:br/>
      </w:r>
      <w:r>
        <w:br/>
      </w:r>
      <w:r>
        <w:rPr>
          <w:rStyle w:val="CommentTok"/>
        </w:rPr>
        <w:t xml:space="preserve">-- The child references BOTH columns together</w:t>
      </w:r>
      <w:r>
        <w:br/>
      </w:r>
      <w:r>
        <w:rPr>
          <w:rStyle w:val="KeywordTok"/>
        </w:rPr>
        <w:t xml:space="preserve">ALTER</w:t>
      </w:r>
      <w:r>
        <w:rPr>
          <w:rStyle w:val="NormalTok"/>
        </w:rPr>
        <w:t xml:space="preserve"> </w:t>
      </w:r>
      <w:r>
        <w:rPr>
          <w:rStyle w:val="KeywordTok"/>
        </w:rPr>
        <w:t xml:space="preserve">TABLE</w:t>
      </w:r>
      <w:r>
        <w:rPr>
          <w:rStyle w:val="NormalTok"/>
        </w:rPr>
        <w:t xml:space="preserve"> voucher_entries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OtherTok"/>
        </w:rPr>
        <w:t xml:space="preserve">"organizationId"</w:t>
      </w:r>
      <w:r>
        <w:rPr>
          <w:rStyle w:val="NormalTok"/>
        </w:rPr>
        <w:t xml:space="preserve"> TEXT,      </w:t>
      </w:r>
      <w:r>
        <w:rPr>
          <w:rStyle w:val="CommentTok"/>
        </w:rPr>
        <w:t xml:space="preserve">-- expand: nullable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voucher_entries_parent_fk</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OtherTok"/>
        </w:rPr>
        <w:t xml:space="preserve">"organizationId"</w:t>
      </w:r>
      <w:r>
        <w:rPr>
          <w:rStyle w:val="NormalTok"/>
        </w:rPr>
        <w:t xml:space="preserve">, </w:t>
      </w:r>
      <w:r>
        <w:rPr>
          <w:rStyle w:val="OtherTok"/>
        </w:rPr>
        <w:t xml:space="preserve">"voucherId"</w:t>
      </w:r>
      <w:r>
        <w:rPr>
          <w:rStyle w:val="NormalTok"/>
        </w:rPr>
        <w:t xml:space="preserve">)</w:t>
      </w:r>
      <w:r>
        <w:br/>
      </w:r>
      <w:r>
        <w:rPr>
          <w:rStyle w:val="NormalTok"/>
        </w:rPr>
        <w:t xml:space="preserve">    </w:t>
      </w:r>
      <w:r>
        <w:rPr>
          <w:rStyle w:val="KeywordTok"/>
        </w:rPr>
        <w:t xml:space="preserve">REFERENCES</w:t>
      </w:r>
      <w:r>
        <w:rPr>
          <w:rStyle w:val="NormalTok"/>
        </w:rPr>
        <w:t xml:space="preserve"> vouchers (</w:t>
      </w:r>
      <w:r>
        <w:rPr>
          <w:rStyle w:val="OtherTok"/>
        </w:rPr>
        <w:t xml:space="preserve">"organizationId"</w:t>
      </w:r>
      <w:r>
        <w:rPr>
          <w:rStyle w:val="NormalTok"/>
        </w:rPr>
        <w:t xml:space="preserve">, </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br/>
      </w:r>
      <w:r>
        <w:rPr>
          <w:rStyle w:val="CommentTok"/>
        </w:rPr>
        <w:t xml:space="preserve">-- After backfill: contract</w:t>
      </w:r>
      <w:r>
        <w:br/>
      </w:r>
      <w:r>
        <w:rPr>
          <w:rStyle w:val="KeywordTok"/>
        </w:rPr>
        <w:t xml:space="preserve">ALTER</w:t>
      </w:r>
      <w:r>
        <w:rPr>
          <w:rStyle w:val="NormalTok"/>
        </w:rPr>
        <w:t xml:space="preserve"> </w:t>
      </w:r>
      <w:r>
        <w:rPr>
          <w:rStyle w:val="KeywordTok"/>
        </w:rPr>
        <w:t xml:space="preserve">TABLE</w:t>
      </w:r>
      <w:r>
        <w:rPr>
          <w:rStyle w:val="NormalTok"/>
        </w:rPr>
        <w:t xml:space="preserve"> voucher_entries </w:t>
      </w:r>
      <w:r>
        <w:rPr>
          <w:rStyle w:val="KeywordTok"/>
        </w:rPr>
        <w:t xml:space="preserve">ALTER</w:t>
      </w:r>
      <w:r>
        <w:rPr>
          <w:rStyle w:val="NormalTok"/>
        </w:rPr>
        <w:t xml:space="preserve"> </w:t>
      </w:r>
      <w:r>
        <w:rPr>
          <w:rStyle w:val="KeywordTok"/>
        </w:rPr>
        <w:t xml:space="preserve">COLUMN</w:t>
      </w:r>
      <w:r>
        <w:rPr>
          <w:rStyle w:val="NormalTok"/>
        </w:rPr>
        <w:t xml:space="preserve"> </w:t>
      </w:r>
      <w:r>
        <w:rPr>
          <w:rStyle w:val="OtherTok"/>
        </w:rPr>
        <w:t xml:space="preserve">"organizationId"</w:t>
      </w:r>
      <w:r>
        <w:rPr>
          <w:rStyle w:val="NormalTok"/>
        </w:rPr>
        <w:t xml:space="preserve"> </w:t>
      </w:r>
      <w:r>
        <w:rPr>
          <w:rStyle w:val="KeywordTok"/>
        </w:rPr>
        <w:t xml:space="preserve">SET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
          <w:bCs/>
        </w:rPr>
        <w:t xml:space="preserve">[PATTERN]</w:t>
      </w:r>
      <w:r>
        <w:t xml:space="preserve"> </w:t>
      </w:r>
      <w:r>
        <w:t xml:space="preserve">With this constraint in place, a</w:t>
      </w:r>
      <w:r>
        <w:t xml:space="preserve"> </w:t>
      </w:r>
      <w:r>
        <w:rPr>
          <w:rStyle w:val="VerbatimChar"/>
        </w:rPr>
        <w:t xml:space="preserve">voucher_entry</w:t>
      </w:r>
      <w:r>
        <w:t xml:space="preserve"> </w:t>
      </w:r>
      <w:r>
        <w:t xml:space="preserve">whose</w:t>
      </w:r>
      <w:r>
        <w:t xml:space="preserve"> </w:t>
      </w:r>
      <w:r>
        <w:rPr>
          <w:rStyle w:val="VerbatimChar"/>
        </w:rPr>
        <w:t xml:space="preserve">organizationId</w:t>
      </w:r>
      <w:r>
        <w:t xml:space="preserve"> </w:t>
      </w:r>
      <w:r>
        <w:t xml:space="preserve">differs from its voucher’s</w:t>
      </w:r>
      <w:r>
        <w:t xml:space="preserve"> </w:t>
      </w:r>
      <w:r>
        <w:rPr>
          <w:b/>
          <w:bCs/>
        </w:rPr>
        <w:t xml:space="preserve">cannot be inserted</w:t>
      </w:r>
      <w:r>
        <w:t xml:space="preserve"> </w:t>
      </w:r>
      <w:r>
        <w:t xml:space="preserve">— the database rejects it. The denormalised column is not a copy that might drift; it is a column the database keeps consistent. Apply the same pattern to all 22 tables.</w:t>
      </w:r>
    </w:p>
    <w:p>
      <w:pPr>
        <w:pStyle w:val="BodyText"/>
      </w:pPr>
      <w:r>
        <w:rPr>
          <w:b/>
          <w:bCs/>
        </w:rPr>
        <w:t xml:space="preserve">[JUDGEMENT]</w:t>
      </w:r>
      <w:r>
        <w:t xml:space="preserve"> </w:t>
      </w:r>
      <w:r>
        <w:t xml:space="preserve">This constraint also does something subtler and more valuable: it makes the</w:t>
      </w:r>
      <w:r>
        <w:t xml:space="preserve"> </w:t>
      </w:r>
      <w:r>
        <w:rPr>
          <w:b/>
          <w:bCs/>
        </w:rPr>
        <w:t xml:space="preserve">single-tenant export of §33.4 provably complete.</w:t>
      </w:r>
      <w:r>
        <w:t xml:space="preserve"> </w:t>
      </w:r>
      <w:r>
        <w:t xml:space="preserve">Every tenant-owned row is reachable by</w:t>
      </w:r>
      <w:r>
        <w:t xml:space="preserve"> </w:t>
      </w:r>
      <w:r>
        <w:rPr>
          <w:rStyle w:val="VerbatimChar"/>
        </w:rPr>
        <w:t xml:space="preserve">WHERE "organizationId" = $1</w:t>
      </w:r>
      <w:r>
        <w:t xml:space="preserve"> </w:t>
      </w:r>
      <w:r>
        <w:t xml:space="preserve">on its own table, with no traversal. That is what makes</w:t>
      </w:r>
      <w:r>
        <w:t xml:space="preserve"> </w:t>
      </w:r>
      <w:r>
        <w:t xml:space="preserve">“restore one tenant”</w:t>
      </w:r>
      <w:r>
        <w:t xml:space="preserve"> </w:t>
      </w:r>
      <w:r>
        <w:t xml:space="preserve">and</w:t>
      </w:r>
      <w:r>
        <w:t xml:space="preserve"> </w:t>
      </w:r>
      <w:r>
        <w:t xml:space="preserve">“erase one tenant under DPDP”</w:t>
      </w:r>
      <w:r>
        <w:t xml:space="preserve"> </w:t>
      </w:r>
      <w:r>
        <w:t xml:space="preserve">tractable in a pooled database — the property that SILO is usually credited with and that most pooled designs genuinely lack.</w:t>
      </w:r>
    </w:p>
    <w:bookmarkEnd w:id="73"/>
    <w:bookmarkStart w:id="74" w:name="indexing-the-salesforce-lesson-applied"/>
    <w:p>
      <w:pPr>
        <w:pStyle w:val="Heading3"/>
      </w:pPr>
      <w:r>
        <w:t xml:space="preserve">8.4 Indexing — the Salesforce lesson, applied</w:t>
      </w:r>
    </w:p>
    <w:p>
      <w:pPr>
        <w:pStyle w:val="FirstParagraph"/>
      </w:pPr>
      <w:r>
        <w:rPr>
          <w:b/>
          <w:bCs/>
        </w:rPr>
        <w:t xml:space="preserve">[PATTERN]</w:t>
      </w:r>
      <w:r>
        <w:t xml:space="preserve"> </w:t>
      </w:r>
      <w:r>
        <w:t xml:space="preserve">In a pooled database,</w:t>
      </w:r>
      <w:r>
        <w:t xml:space="preserve"> </w:t>
      </w:r>
      <w:r>
        <w:rPr>
          <w:rStyle w:val="VerbatimChar"/>
          <w:b/>
          <w:bCs/>
        </w:rPr>
        <w:t xml:space="preserve">organizationId</w:t>
      </w:r>
      <w:r>
        <w:rPr>
          <w:b/>
          <w:bCs/>
        </w:rPr>
        <w:t xml:space="preserve"> </w:t>
      </w:r>
      <w:r>
        <w:rPr>
          <w:b/>
          <w:bCs/>
        </w:rPr>
        <w:t xml:space="preserve">leads every index on a tenant table.</w:t>
      </w:r>
      <w:r>
        <w:t xml:space="preserve"> </w:t>
      </w:r>
      <w:r>
        <w:t xml:space="preserve">Not</w:t>
      </w:r>
      <w:r>
        <w:t xml:space="preserve"> </w:t>
      </w:r>
      <w:r>
        <w:t xml:space="preserve">“there is an index on organizationId”</w:t>
      </w:r>
      <w:r>
        <w:t xml:space="preserve"> </w:t>
      </w:r>
      <w:r>
        <w:t xml:space="preserve">— it is the</w:t>
      </w:r>
      <w:r>
        <w:t xml:space="preserve"> </w:t>
      </w:r>
      <w:r>
        <w:rPr>
          <w:i/>
          <w:iCs/>
        </w:rPr>
        <w:t xml:space="preserve">first column</w:t>
      </w:r>
      <w:r>
        <w:t xml:space="preserve"> </w:t>
      </w:r>
      <w:r>
        <w:t xml:space="preserve">of the composite index that serves each access pattern.</w:t>
      </w:r>
    </w:p>
    <w:p>
      <w:pPr>
        <w:pStyle w:val="SourceCode"/>
      </w:pPr>
      <w:r>
        <w:rPr>
          <w:rStyle w:val="CommentTok"/>
        </w:rPr>
        <w:t xml:space="preserve">-- Wrong: an index on date alone scans across all tenants, then filters</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vouchers (</w:t>
      </w:r>
      <w:r>
        <w:rPr>
          <w:rStyle w:val="DataTypeTok"/>
        </w:rPr>
        <w:t xml:space="preserve">date</w:t>
      </w:r>
      <w:r>
        <w:rPr>
          <w:rStyle w:val="NormalTok"/>
        </w:rPr>
        <w:t xml:space="preserve">);</w:t>
      </w:r>
      <w:r>
        <w:br/>
      </w:r>
      <w:r>
        <w:br/>
      </w:r>
      <w:r>
        <w:rPr>
          <w:rStyle w:val="CommentTok"/>
        </w:rPr>
        <w:t xml:space="preserve">-- Right: the tenant is the first partition of the B-tree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vouchers (</w:t>
      </w:r>
      <w:r>
        <w:rPr>
          <w:rStyle w:val="OtherTok"/>
        </w:rPr>
        <w:t xml:space="preserve">"organizationId"</w:t>
      </w:r>
      <w:r>
        <w:rPr>
          <w:rStyle w:val="NormalTok"/>
        </w:rPr>
        <w:t xml:space="preserve">, </w:t>
      </w:r>
      <w:r>
        <w:rPr>
          <w:rStyle w:val="DataTypeTok"/>
        </w:rPr>
        <w:t xml:space="preserve">date</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vouchers (</w:t>
      </w:r>
      <w:r>
        <w:rPr>
          <w:rStyle w:val="OtherTok"/>
        </w:rPr>
        <w:t xml:space="preserve">"organizationId"</w:t>
      </w:r>
      <w:r>
        <w:rPr>
          <w:rStyle w:val="NormalTok"/>
        </w:rPr>
        <w:t xml:space="preserve">, status) </w:t>
      </w:r>
      <w:r>
        <w:rPr>
          <w:rStyle w:val="KeywordTok"/>
        </w:rPr>
        <w:t xml:space="preserve">WHERE</w:t>
      </w:r>
      <w:r>
        <w:rPr>
          <w:rStyle w:val="NormalTok"/>
        </w:rPr>
        <w:t xml:space="preserve"> </w:t>
      </w:r>
      <w:r>
        <w:rPr>
          <w:rStyle w:val="OtherTok"/>
        </w:rPr>
        <w:t xml:space="preserve">"isPosted"</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voucher_entries (</w:t>
      </w:r>
      <w:r>
        <w:rPr>
          <w:rStyle w:val="OtherTok"/>
        </w:rPr>
        <w:t xml:space="preserve">"organizationId"</w:t>
      </w:r>
      <w:r>
        <w:rPr>
          <w:rStyle w:val="NormalTok"/>
        </w:rPr>
        <w:t xml:space="preserve">, </w:t>
      </w:r>
      <w:r>
        <w:rPr>
          <w:rStyle w:val="OtherTok"/>
        </w:rPr>
        <w:t xml:space="preserve">"ledgerId"</w:t>
      </w:r>
      <w:r>
        <w:rPr>
          <w:rStyle w:val="NormalTok"/>
        </w:rPr>
        <w:t xml:space="preserve">, </w:t>
      </w:r>
      <w:r>
        <w:rPr>
          <w:rStyle w:val="OtherTok"/>
        </w:rPr>
        <w:t xml:space="preserve">"voucherId"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invoices (</w:t>
      </w:r>
      <w:r>
        <w:rPr>
          <w:rStyle w:val="OtherTok"/>
        </w:rPr>
        <w:t xml:space="preserve">"organizationId"</w:t>
      </w:r>
      <w:r>
        <w:rPr>
          <w:rStyle w:val="NormalTok"/>
        </w:rPr>
        <w:t xml:space="preserve">, </w:t>
      </w:r>
      <w:r>
        <w:rPr>
          <w:rStyle w:val="OtherTok"/>
        </w:rPr>
        <w:t xml:space="preserve">"partyId"</w:t>
      </w:r>
      <w:r>
        <w:rPr>
          <w:rStyle w:val="NormalTok"/>
        </w:rPr>
        <w:t xml:space="preserve">, </w:t>
      </w:r>
      <w:r>
        <w:rPr>
          <w:rStyle w:val="OtherTok"/>
        </w:rPr>
        <w:t xml:space="preserve">"dueDate"</w:t>
      </w:r>
      <w:r>
        <w:rPr>
          <w:rStyle w:val="NormalTok"/>
        </w:rPr>
        <w:t xml:space="preserve">)</w:t>
      </w:r>
      <w:r>
        <w:br/>
      </w:r>
      <w:r>
        <w:rPr>
          <w:rStyle w:val="NormalTok"/>
        </w:rPr>
        <w:t xml:space="preserve">  </w:t>
      </w:r>
      <w:r>
        <w:rPr>
          <w:rStyle w:val="KeywordTok"/>
        </w:rPr>
        <w:t xml:space="preserve">WHERE</w:t>
      </w:r>
      <w:r>
        <w:rPr>
          <w:rStyle w:val="NormalTok"/>
        </w:rPr>
        <w:t xml:space="preserve"> status </w:t>
      </w:r>
      <w:r>
        <w:rPr>
          <w:rStyle w:val="OperatorTok"/>
        </w:rPr>
        <w:t xml:space="preserve">&lt;&gt;</w:t>
      </w:r>
      <w:r>
        <w:rPr>
          <w:rStyle w:val="NormalTok"/>
        </w:rPr>
        <w:t xml:space="preserve"> </w:t>
      </w:r>
      <w:r>
        <w:rPr>
          <w:rStyle w:val="StringTok"/>
        </w:rPr>
        <w:t xml:space="preserve">'PAID'</w:t>
      </w:r>
      <w:r>
        <w:rPr>
          <w:rStyle w:val="NormalTok"/>
        </w:rPr>
        <w:t xml:space="preserve">;   </w:t>
      </w:r>
      <w:r>
        <w:rPr>
          <w:rStyle w:val="CommentTok"/>
        </w:rPr>
        <w:t xml:space="preserve">-- partial: ageing reports never see paid rows</w:t>
      </w:r>
    </w:p>
    <w:p>
      <w:pPr>
        <w:pStyle w:val="FirstParagraph"/>
      </w:pPr>
      <w:r>
        <w:rPr>
          <w:b/>
          <w:bCs/>
        </w:rPr>
        <w:t xml:space="preserve">[VERIFIED-REPO]</w:t>
      </w:r>
      <w:r>
        <w:t xml:space="preserve"> </w:t>
      </w:r>
      <w:r>
        <w:t xml:space="preserve">The existing schema already does this correctly in several places —</w:t>
      </w:r>
      <w:r>
        <w:t xml:space="preserve"> </w:t>
      </w:r>
      <w:r>
        <w:rPr>
          <w:rStyle w:val="VerbatimChar"/>
        </w:rPr>
        <w:t xml:space="preserve">@@index([organizationId, date])</w:t>
      </w:r>
      <w:r>
        <w:t xml:space="preserve">,</w:t>
      </w:r>
      <w:r>
        <w:t xml:space="preserve"> </w:t>
      </w:r>
      <w:r>
        <w:rPr>
          <w:rStyle w:val="VerbatimChar"/>
        </w:rPr>
        <w:t xml:space="preserve">@@index([organizationId, status])</w:t>
      </w:r>
      <w:r>
        <w:t xml:space="preserve"> </w:t>
      </w:r>
      <w:r>
        <w:t xml:space="preserve">on</w:t>
      </w:r>
      <w:r>
        <w:t xml:space="preserve"> </w:t>
      </w:r>
      <w:r>
        <w:rPr>
          <w:rStyle w:val="VerbatimChar"/>
        </w:rPr>
        <w:t xml:space="preserve">Voucher</w:t>
      </w:r>
      <w:r>
        <w:t xml:space="preserve">,</w:t>
      </w:r>
      <w:r>
        <w:t xml:space="preserve"> </w:t>
      </w:r>
      <w:r>
        <w:rPr>
          <w:rStyle w:val="VerbatimChar"/>
        </w:rPr>
        <w:t xml:space="preserve">@@index([organizationId, groupId])</w:t>
      </w:r>
      <w:r>
        <w:t xml:space="preserve"> </w:t>
      </w:r>
      <w:r>
        <w:t xml:space="preserve">on</w:t>
      </w:r>
      <w:r>
        <w:t xml:space="preserve"> </w:t>
      </w:r>
      <w:r>
        <w:rPr>
          <w:rStyle w:val="VerbatimChar"/>
        </w:rPr>
        <w:t xml:space="preserve">Ledger</w:t>
      </w:r>
      <w:r>
        <w:t xml:space="preserve">. The rule needs to become universal and CI-enforced (§26.6), including on the 22 newly-backfilled tables.</w:t>
      </w:r>
    </w:p>
    <w:p>
      <w:pPr>
        <w:pStyle w:val="BodyText"/>
      </w:pPr>
      <w:r>
        <w:rPr>
          <w:b/>
          <w:bCs/>
        </w:rPr>
        <w:t xml:space="preserve">Why this matters more under RLS:</w:t>
      </w:r>
      <w:r>
        <w:t xml:space="preserve"> </w:t>
      </w:r>
      <w:r>
        <w:t xml:space="preserve">the RLS policy adds</w:t>
      </w:r>
      <w:r>
        <w:t xml:space="preserve"> </w:t>
      </w:r>
      <w:r>
        <w:rPr>
          <w:rStyle w:val="VerbatimChar"/>
        </w:rPr>
        <w:t xml:space="preserve">organizationId = current_setting('app.current_org')</w:t>
      </w:r>
      <w:r>
        <w:t xml:space="preserve"> </w:t>
      </w:r>
      <w:r>
        <w:t xml:space="preserve">to every query. If that column leads the index, the policy is</w:t>
      </w:r>
      <w:r>
        <w:t xml:space="preserve"> </w:t>
      </w:r>
      <w:r>
        <w:rPr>
          <w:i/>
          <w:iCs/>
        </w:rPr>
        <w:t xml:space="preserve">free</w:t>
      </w:r>
      <w:r>
        <w:t xml:space="preserve"> </w:t>
      </w:r>
      <w:r>
        <w:t xml:space="preserve">— it selects the B-tree subtree the query needed anyway. If it does not, the policy becomes a filter applied after a wider scan.</w:t>
      </w:r>
      <w:r>
        <w:t xml:space="preserve"> </w:t>
      </w:r>
      <w:r>
        <w:rPr>
          <w:b/>
          <w:bCs/>
        </w:rPr>
        <w:t xml:space="preserve">[JUDGEMENT]</w:t>
      </w:r>
      <w:r>
        <w:t xml:space="preserve"> </w:t>
      </w:r>
      <w:r>
        <w:t xml:space="preserve">Correct indexing is what makes the RLS overhead budget of ≤5 ms p95 (§13.6) achievable; without it, RLS will be measured as slow and blamed for a problem it did not cause.</w:t>
      </w:r>
    </w:p>
    <w:bookmarkEnd w:id="74"/>
    <w:bookmarkEnd w:id="75"/>
    <w:bookmarkStart w:id="80" w:name="the-request-lifecycle"/>
    <w:p>
      <w:pPr>
        <w:pStyle w:val="Heading2"/>
      </w:pPr>
      <w:r>
        <w:t xml:space="preserve">9. The request lifecycle</w:t>
      </w:r>
    </w:p>
    <w:p>
      <w:pPr>
        <w:pStyle w:val="FirstParagraph"/>
      </w:pPr>
      <w:r>
        <w:t xml:space="preserve">Every authenticated request passes five gates, in this fixed order. Each one fails closed.</w:t>
      </w:r>
    </w:p>
    <w:p>
      <w:pPr>
        <w:pStyle w:val="BodyText"/>
      </w:pPr>
      <w:r>
        <w:drawing>
          <wp:inline>
            <wp:extent cx="5334000" cy="4245428"/>
            <wp:effectExtent b="0" l="0" r="0" t="0"/>
            <wp:docPr descr="" title="" id="77" name="Picture"/>
            <a:graphic>
              <a:graphicData uri="http://schemas.openxmlformats.org/drawingml/2006/picture">
                <pic:pic>
                  <pic:nvPicPr>
                    <pic:cNvPr descr="/private/tmp/claude-501/-Users-sudipto-Desktop-projects-accubook/c277cf12-a75d-42eb-a282-70d38dbc59e8/scratchpad/d10.png" id="78" name="Picture"/>
                    <pic:cNvPicPr>
                      <a:picLocks noChangeArrowheads="1" noChangeAspect="1"/>
                    </pic:cNvPicPr>
                  </pic:nvPicPr>
                  <pic:blipFill>
                    <a:blip r:embed="rId76"/>
                    <a:stretch>
                      <a:fillRect/>
                    </a:stretch>
                  </pic:blipFill>
                  <pic:spPr bwMode="auto">
                    <a:xfrm>
                      <a:off x="0" y="0"/>
                      <a:ext cx="5334000" cy="4245428"/>
                    </a:xfrm>
                    <a:prstGeom prst="rect">
                      <a:avLst/>
                    </a:prstGeom>
                    <a:noFill/>
                    <a:ln w="9525">
                      <a:noFill/>
                      <a:headEnd/>
                      <a:tailEnd/>
                    </a:ln>
                  </pic:spPr>
                </pic:pic>
              </a:graphicData>
            </a:graphic>
          </wp:inline>
        </w:drawing>
      </w:r>
    </w:p>
    <w:bookmarkStart w:id="79" w:name="gate-properties"/>
    <w:p>
      <w:pPr>
        <w:pStyle w:val="Heading3"/>
      </w:pPr>
      <w:r>
        <w:t xml:space="preserve">9.1 Gate properties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Fails closed by</w:t>
            </w:r>
          </w:p>
        </w:tc>
        <w:tc>
          <w:tcPr/>
          <w:p>
            <w:pPr>
              <w:pStyle w:val="Compact"/>
            </w:pPr>
            <w:r>
              <w:t xml:space="preserve">Cost</w:t>
            </w:r>
          </w:p>
        </w:tc>
        <w:tc>
          <w:tcPr/>
          <w:p>
            <w:pPr>
              <w:pStyle w:val="Compact"/>
            </w:pPr>
            <w:r>
              <w:t xml:space="preserve">Cached</w:t>
            </w:r>
          </w:p>
        </w:tc>
      </w:tr>
      <w:tr>
        <w:tc>
          <w:tcPr/>
          <w:p>
            <w:pPr>
              <w:pStyle w:val="Compact"/>
            </w:pPr>
            <w:r>
              <w:t xml:space="preserve">1 Authentication</w:t>
            </w:r>
          </w:p>
        </w:tc>
        <w:tc>
          <w:tcPr/>
          <w:p>
            <w:pPr>
              <w:pStyle w:val="Compact"/>
            </w:pPr>
            <w:r>
              <w:t xml:space="preserve">No session and no valid key → 401</w:t>
            </w:r>
          </w:p>
        </w:tc>
        <w:tc>
          <w:tcPr/>
          <w:p>
            <w:pPr>
              <w:pStyle w:val="Compact"/>
            </w:pPr>
            <w:r>
              <w:t xml:space="preserve">~0 (JWT verify) or one lookup (API key)</w:t>
            </w:r>
          </w:p>
        </w:tc>
        <w:tc>
          <w:tcPr/>
          <w:p>
            <w:pPr>
              <w:pStyle w:val="Compact"/>
            </w:pPr>
            <w:r>
              <w:t xml:space="preserve">Key hash → identity, 60 s</w:t>
            </w:r>
          </w:p>
        </w:tc>
      </w:tr>
      <w:tr>
        <w:tc>
          <w:tcPr/>
          <w:p>
            <w:pPr>
              <w:pStyle w:val="Compact"/>
            </w:pPr>
            <w:r>
              <w:t xml:space="preserve">2 Tenant context</w:t>
            </w:r>
          </w:p>
        </w:tc>
        <w:tc>
          <w:tcPr/>
          <w:p>
            <w:pPr>
              <w:pStyle w:val="Compact"/>
            </w:pPr>
            <w:r>
              <w:t xml:space="preserve">No membership →</w:t>
            </w:r>
            <w:r>
              <w:t xml:space="preserve"> </w:t>
            </w:r>
            <w:r>
              <w:rPr>
                <w:b/>
                <w:bCs/>
              </w:rPr>
              <w:t xml:space="preserve">404</w:t>
            </w:r>
          </w:p>
        </w:tc>
        <w:tc>
          <w:tcPr/>
          <w:p>
            <w:pPr>
              <w:pStyle w:val="Compact"/>
            </w:pPr>
            <w:r>
              <w:t xml:space="preserve">One cached read</w:t>
            </w:r>
          </w:p>
        </w:tc>
        <w:tc>
          <w:tcPr/>
          <w:p>
            <w:pPr>
              <w:pStyle w:val="Compact"/>
            </w:pPr>
            <w:r>
              <w:t xml:space="preserve">Yes, 60 s + 24 h stale</w:t>
            </w:r>
          </w:p>
        </w:tc>
      </w:tr>
      <w:tr>
        <w:tc>
          <w:tcPr/>
          <w:p>
            <w:pPr>
              <w:pStyle w:val="Compact"/>
            </w:pPr>
            <w:r>
              <w:t xml:space="preserve">3 Authorization</w:t>
            </w:r>
          </w:p>
        </w:tc>
        <w:tc>
          <w:tcPr/>
          <w:p>
            <w:pPr>
              <w:pStyle w:val="Compact"/>
            </w:pPr>
            <w:r>
              <w:t xml:space="preserve">Unregistered</w:t>
            </w:r>
            <w:r>
              <w:t xml:space="preserve"> </w:t>
            </w:r>
            <w:r>
              <w:rPr>
                <w:rStyle w:val="VerbatimChar"/>
              </w:rPr>
              <w:t xml:space="preserve">(path, method)</w:t>
            </w:r>
            <w:r>
              <w:t xml:space="preserve"> </w:t>
            </w:r>
            <w:r>
              <w:t xml:space="preserve">→</w:t>
            </w:r>
            <w:r>
              <w:t xml:space="preserve"> </w:t>
            </w:r>
            <w:r>
              <w:rPr>
                <w:b/>
                <w:bCs/>
              </w:rPr>
              <w:t xml:space="preserve">403, not 200</w:t>
            </w:r>
          </w:p>
        </w:tc>
        <w:tc>
          <w:tcPr/>
          <w:p>
            <w:pPr>
              <w:pStyle w:val="Compact"/>
            </w:pPr>
            <w:r>
              <w:t xml:space="preserve">In-memory map</w:t>
            </w:r>
          </w:p>
        </w:tc>
        <w:tc>
          <w:tcPr/>
          <w:p>
            <w:pPr>
              <w:pStyle w:val="Compact"/>
            </w:pPr>
            <w:r>
              <w:t xml:space="preserve">Permissions on the membership</w:t>
            </w:r>
          </w:p>
        </w:tc>
      </w:tr>
      <w:tr>
        <w:tc>
          <w:tcPr/>
          <w:p>
            <w:pPr>
              <w:pStyle w:val="Compact"/>
            </w:pPr>
            <w:r>
              <w:t xml:space="preserve">4 Entitlement</w:t>
            </w:r>
          </w:p>
        </w:tc>
        <w:tc>
          <w:tcPr/>
          <w:p>
            <w:pPr>
              <w:pStyle w:val="Compact"/>
            </w:pPr>
            <w:r>
              <w:t xml:space="preserve">Feature absent or limit exhausted → 402/429</w:t>
            </w:r>
          </w:p>
        </w:tc>
        <w:tc>
          <w:tcPr/>
          <w:p>
            <w:pPr>
              <w:pStyle w:val="Compact"/>
            </w:pPr>
            <w:r>
              <w:t xml:space="preserve">One cached read</w:t>
            </w:r>
          </w:p>
        </w:tc>
        <w:tc>
          <w:tcPr/>
          <w:p>
            <w:pPr>
              <w:pStyle w:val="Compact"/>
            </w:pPr>
            <w:r>
              <w:t xml:space="preserve">Yes, 60 s + 24 h stale</w:t>
            </w:r>
          </w:p>
        </w:tc>
      </w:tr>
      <w:tr>
        <w:tc>
          <w:tcPr/>
          <w:p>
            <w:pPr>
              <w:pStyle w:val="Compact"/>
            </w:pPr>
            <w:r>
              <w:t xml:space="preserve">5 Placement</w:t>
            </w:r>
          </w:p>
        </w:tc>
        <w:tc>
          <w:tcPr/>
          <w:p>
            <w:pPr>
              <w:pStyle w:val="Compact"/>
            </w:pPr>
            <w:r>
              <w:t xml:space="preserve">No assignment → 503</w:t>
            </w:r>
          </w:p>
        </w:tc>
        <w:tc>
          <w:tcPr/>
          <w:p>
            <w:pPr>
              <w:pStyle w:val="Compact"/>
            </w:pPr>
            <w:r>
              <w:t xml:space="preserve">One cached read</w:t>
            </w:r>
          </w:p>
        </w:tc>
        <w:tc>
          <w:tcPr/>
          <w:p>
            <w:pPr>
              <w:pStyle w:val="Compact"/>
            </w:pPr>
            <w:r>
              <w:t xml:space="preserve">Yes, 5 min</w:t>
            </w:r>
          </w:p>
        </w:tc>
      </w:tr>
    </w:tbl>
    <w:p>
      <w:pPr>
        <w:pStyle w:val="BodyText"/>
      </w:pPr>
      <w:r>
        <w:rPr>
          <w:b/>
          <w:bCs/>
        </w:rPr>
        <w:t xml:space="preserve">[VERIFIED-REPO]</w:t>
      </w:r>
      <w:r>
        <w:t xml:space="preserve"> </w:t>
      </w:r>
      <w:r>
        <w:t xml:space="preserve">Gates 1 and 3 already exist and are well built.</w:t>
      </w:r>
      <w:r>
        <w:t xml:space="preserve"> </w:t>
      </w:r>
      <w:r>
        <w:rPr>
          <w:rStyle w:val="VerbatimChar"/>
        </w:rPr>
        <w:t xml:space="preserve">withOrgAuth</w:t>
      </w:r>
      <w:r>
        <w:t xml:space="preserve"> </w:t>
      </w:r>
      <w:r>
        <w:t xml:space="preserve">performs session-or-API-key authentication, membership lookup,</w:t>
      </w:r>
      <w:r>
        <w:t xml:space="preserve"> </w:t>
      </w:r>
      <w:r>
        <w:rPr>
          <w:rStyle w:val="VerbatimChar"/>
        </w:rPr>
        <w:t xml:space="preserve">isActive</w:t>
      </w:r>
      <w:r>
        <w:t xml:space="preserve">, same-origin CSRF on mutating session requests, and a role-permission check derived from</w:t>
      </w:r>
      <w:r>
        <w:t xml:space="preserve"> </w:t>
      </w:r>
      <w:r>
        <w:rPr>
          <w:rStyle w:val="VerbatimChar"/>
        </w:rPr>
        <w:t xml:space="preserve">(pathname, method)</w:t>
      </w:r>
      <w:r>
        <w:t xml:space="preserve"> </w:t>
      </w:r>
      <w:r>
        <w:t xml:space="preserve">via</w:t>
      </w:r>
      <w:r>
        <w:t xml:space="preserve"> </w:t>
      </w:r>
      <w:r>
        <w:rPr>
          <w:rStyle w:val="VerbatimChar"/>
        </w:rPr>
        <w:t xml:space="preserve">resolveScopeTarget</w:t>
      </w:r>
      <w:r>
        <w:t xml:space="preserve"> </w:t>
      </w:r>
      <w:r>
        <w:t xml:space="preserve">— in one place, for all 110 org-scoped routes, with</w:t>
      </w:r>
      <w:r>
        <w:t xml:space="preserve"> </w:t>
      </w:r>
      <w:r>
        <w:rPr>
          <w:b/>
          <w:bCs/>
        </w:rPr>
        <w:t xml:space="preserve">zero</w:t>
      </w:r>
      <w:r>
        <w:t xml:space="preserve"> </w:t>
      </w:r>
      <w:r>
        <w:rPr>
          <w:rStyle w:val="VerbatimChar"/>
        </w:rPr>
        <w:t xml:space="preserve">skipRoleCheck</w:t>
      </w:r>
      <w:r>
        <w:t xml:space="preserve"> </w:t>
      </w:r>
      <w:r>
        <w:t xml:space="preserve">opt-outs. Critically,</w:t>
      </w:r>
      <w:r>
        <w:t xml:space="preserve"> </w:t>
      </w:r>
      <w:r>
        <w:rPr>
          <w:b/>
          <w:bCs/>
        </w:rPr>
        <w:t xml:space="preserve">a path not registered in</w:t>
      </w:r>
      <w:r>
        <w:rPr>
          <w:b/>
          <w:bCs/>
        </w:rPr>
        <w:t xml:space="preserve"> </w:t>
      </w:r>
      <w:r>
        <w:rPr>
          <w:rStyle w:val="VerbatimChar"/>
          <w:b/>
          <w:bCs/>
        </w:rPr>
        <w:t xml:space="preserve">API_RESOURCE_MAP</w:t>
      </w:r>
      <w:r>
        <w:rPr>
          <w:b/>
          <w:bCs/>
        </w:rPr>
        <w:t xml:space="preserve"> </w:t>
      </w:r>
      <w:r>
        <w:rPr>
          <w:b/>
          <w:bCs/>
        </w:rPr>
        <w:t xml:space="preserve">returns 403, not 200.</w:t>
      </w:r>
      <w:r>
        <w:t xml:space="preserve"> </w:t>
      </w:r>
      <w:r>
        <w:t xml:space="preserve">Fail-closed by construction is rare and must be preserved through every change in this document.</w:t>
      </w:r>
    </w:p>
    <w:p>
      <w:pPr>
        <w:pStyle w:val="BodyText"/>
      </w:pPr>
      <w:r>
        <w:rPr>
          <w:b/>
          <w:bCs/>
        </w:rPr>
        <w:t xml:space="preserve">[JUDGEMENT]</w:t>
      </w:r>
      <w:r>
        <w:t xml:space="preserve"> </w:t>
      </w:r>
      <w:r>
        <w:rPr>
          <w:b/>
          <w:bCs/>
        </w:rPr>
        <w:t xml:space="preserve">404-not-403 is a deliberate design choice, not an oversight.</w:t>
      </w:r>
      <w:r>
        <w:t xml:space="preserve"> </w:t>
      </w:r>
      <w:r>
        <w:t xml:space="preserve">Returning 403 for</w:t>
      </w:r>
      <w:r>
        <w:t xml:space="preserve"> </w:t>
      </w:r>
      <w:r>
        <w:t xml:space="preserve">“this tenant exists but you may not see it”</w:t>
      </w:r>
      <w:r>
        <w:t xml:space="preserve"> </w:t>
      </w:r>
      <w:r>
        <w:t xml:space="preserve">is an existence oracle: an attacker enumerates organisation IDs and learns which are real. The codebase already applies this reasoning in</w:t>
      </w:r>
      <w:r>
        <w:t xml:space="preserve"> </w:t>
      </w:r>
      <w:r>
        <w:rPr>
          <w:rStyle w:val="VerbatimChar"/>
        </w:rPr>
        <w:t xml:space="preserve">findForeignReferences</w:t>
      </w:r>
      <w:r>
        <w:t xml:space="preserve">, which returns the same answer for</w:t>
      </w:r>
      <w:r>
        <w:t xml:space="preserve"> </w:t>
      </w:r>
      <w:r>
        <w:t xml:space="preserve">“belongs to another tenant”</w:t>
      </w:r>
      <w:r>
        <w:t xml:space="preserve"> </w:t>
      </w:r>
      <w:r>
        <w:t xml:space="preserve">and</w:t>
      </w:r>
      <w:r>
        <w:t xml:space="preserve"> </w:t>
      </w:r>
      <w:r>
        <w:t xml:space="preserve">“does not exist”</w:t>
      </w:r>
      <w:r>
        <w:t xml:space="preserve"> </w:t>
      </w:r>
      <w:r>
        <w:rPr>
          <w:b/>
          <w:bCs/>
        </w:rPr>
        <w:t xml:space="preserve">[VERIFIED-REPO]</w:t>
      </w:r>
      <w:r>
        <w:t xml:space="preserve">. Make it uniform across all five gates.</w:t>
      </w:r>
    </w:p>
    <w:bookmarkEnd w:id="79"/>
    <w:bookmarkEnd w:id="80"/>
    <w:bookmarkStart w:id="84" w:name="identity-and-authentication"/>
    <w:p>
      <w:pPr>
        <w:pStyle w:val="Heading2"/>
      </w:pPr>
      <w:r>
        <w:t xml:space="preserve">10. Identity and authentication</w:t>
      </w:r>
    </w:p>
    <w:p>
      <w:pPr>
        <w:pStyle w:val="FirstParagraph"/>
      </w:pPr>
      <w:r>
        <w:drawing>
          <wp:inline>
            <wp:extent cx="5334000" cy="2197553"/>
            <wp:effectExtent b="0" l="0" r="0" t="0"/>
            <wp:docPr descr="" title="" id="82" name="Picture"/>
            <a:graphic>
              <a:graphicData uri="http://schemas.openxmlformats.org/drawingml/2006/picture">
                <pic:pic>
                  <pic:nvPicPr>
                    <pic:cNvPr descr="/private/tmp/claude-501/-Users-sudipto-Desktop-projects-accubook/c277cf12-a75d-42eb-a282-70d38dbc59e8/scratchpad/d11.png" id="83" name="Picture"/>
                    <pic:cNvPicPr>
                      <a:picLocks noChangeArrowheads="1" noChangeAspect="1"/>
                    </pic:cNvPicPr>
                  </pic:nvPicPr>
                  <pic:blipFill>
                    <a:blip r:embed="rId81"/>
                    <a:stretch>
                      <a:fillRect/>
                    </a:stretch>
                  </pic:blipFill>
                  <pic:spPr bwMode="auto">
                    <a:xfrm>
                      <a:off x="0" y="0"/>
                      <a:ext cx="5334000" cy="219755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Reason</w:t>
            </w:r>
          </w:p>
        </w:tc>
      </w:tr>
      <w:tr>
        <w:tc>
          <w:tcPr/>
          <w:p>
            <w:pPr>
              <w:pStyle w:val="Compact"/>
            </w:pPr>
            <w:r>
              <w:t xml:space="preserve">Identity scope</w:t>
            </w:r>
          </w:p>
        </w:tc>
        <w:tc>
          <w:tcPr/>
          <w:p>
            <w:pPr>
              <w:pStyle w:val="Compact"/>
            </w:pPr>
            <w:r>
              <w:rPr>
                <w:b/>
                <w:bCs/>
              </w:rPr>
              <w:t xml:space="preserve">Global</w:t>
            </w:r>
            <w:r>
              <w:t xml:space="preserve"> </w:t>
            </w:r>
            <w:r>
              <w:t xml:space="preserve">— one human, one identity, many memberships</w:t>
            </w:r>
          </w:p>
        </w:tc>
        <w:tc>
          <w:tcPr/>
          <w:p>
            <w:pPr>
              <w:pStyle w:val="Compact"/>
            </w:pPr>
            <w:r>
              <w:t xml:space="preserve">The CA use case of §4. Also how Zoho works</w:t>
            </w:r>
          </w:p>
        </w:tc>
      </w:tr>
      <w:tr>
        <w:tc>
          <w:tcPr/>
          <w:p>
            <w:pPr>
              <w:pStyle w:val="Compact"/>
            </w:pPr>
            <w:r>
              <w:t xml:space="preserve">Session token</w:t>
            </w:r>
          </w:p>
        </w:tc>
        <w:tc>
          <w:tcPr/>
          <w:p>
            <w:pPr>
              <w:pStyle w:val="Compact"/>
            </w:pPr>
            <w:r>
              <w:t xml:space="preserve">Short-lived JWT holding</w:t>
            </w:r>
            <w:r>
              <w:t xml:space="preserve"> </w:t>
            </w:r>
            <w:r>
              <w:rPr>
                <w:b/>
                <w:bCs/>
              </w:rPr>
              <w:t xml:space="preserve">identity only</w:t>
            </w:r>
            <w:r>
              <w:t xml:space="preserve"> </w:t>
            </w:r>
            <w:r>
              <w:t xml:space="preserve">— never tenant, never role, never permissions</w:t>
            </w:r>
          </w:p>
        </w:tc>
        <w:tc>
          <w:tcPr/>
          <w:p>
            <w:pPr>
              <w:pStyle w:val="Compact"/>
            </w:pPr>
            <w:r>
              <w:rPr>
                <w:b/>
                <w:bCs/>
              </w:rPr>
              <w:t xml:space="preserve">I2.</w:t>
            </w:r>
            <w:r>
              <w:t xml:space="preserve"> </w:t>
            </w:r>
            <w:r>
              <w:t xml:space="preserve">A tenant claim in a token is a claim you cannot revoke. Membership is read per request, from cache</w:t>
            </w:r>
          </w:p>
        </w:tc>
      </w:tr>
      <w:tr>
        <w:tc>
          <w:tcPr/>
          <w:p>
            <w:pPr>
              <w:pStyle w:val="Compact"/>
            </w:pPr>
            <w:r>
              <w:t xml:space="preserve">Tenant switching</w:t>
            </w:r>
          </w:p>
        </w:tc>
        <w:tc>
          <w:tcPr/>
          <w:p>
            <w:pPr>
              <w:pStyle w:val="Compact"/>
            </w:pPr>
            <w:r>
              <w:t xml:space="preserve">A request-scoped change; no re-login</w:t>
            </w:r>
          </w:p>
        </w:tc>
        <w:tc>
          <w:tcPr/>
          <w:p>
            <w:pPr>
              <w:pStyle w:val="Compact"/>
            </w:pPr>
            <w:r>
              <w:t xml:space="preserve">The tenant is in the URL path; the membership check is per request anyway</w:t>
            </w:r>
          </w:p>
        </w:tc>
      </w:tr>
      <w:tr>
        <w:tc>
          <w:tcPr/>
          <w:p>
            <w:pPr>
              <w:pStyle w:val="Compact"/>
            </w:pPr>
            <w:r>
              <w:t xml:space="preserve">MFA</w:t>
            </w:r>
          </w:p>
        </w:tc>
        <w:tc>
          <w:tcPr/>
          <w:p>
            <w:pPr>
              <w:pStyle w:val="Compact"/>
            </w:pPr>
            <w:r>
              <w:t xml:space="preserve">TOTP at Stage 1; enforced by tenant policy at Stage 2</w:t>
            </w:r>
          </w:p>
        </w:tc>
        <w:tc>
          <w:tcPr/>
          <w:p>
            <w:pPr>
              <w:pStyle w:val="Compact"/>
            </w:pPr>
            <w:r>
              <w:t xml:space="preserve">Accounting data; table stakes for any business customer</w:t>
            </w:r>
          </w:p>
        </w:tc>
      </w:tr>
      <w:tr>
        <w:tc>
          <w:tcPr/>
          <w:p>
            <w:pPr>
              <w:pStyle w:val="Compact"/>
            </w:pPr>
            <w:r>
              <w:t xml:space="preserve">Rate limiting</w:t>
            </w:r>
          </w:p>
        </w:tc>
        <w:tc>
          <w:tcPr/>
          <w:p>
            <w:pPr>
              <w:pStyle w:val="Compact"/>
            </w:pPr>
            <w:r>
              <w:t xml:space="preserve">Sign-in, password reset, API-key auth, registration</w:t>
            </w:r>
          </w:p>
        </w:tc>
        <w:tc>
          <w:tcPr/>
          <w:p>
            <w:pPr>
              <w:pStyle w:val="Compact"/>
            </w:pPr>
            <w:r>
              <w:rPr>
                <w:b/>
                <w:bCs/>
              </w:rPr>
              <w:t xml:space="preserve">[VERIFIED-REPO]</w:t>
            </w:r>
            <w:r>
              <w:t xml:space="preserve"> </w:t>
            </w:r>
            <w:r>
              <w:t xml:space="preserve">only registration is limited today. Sign-in is the credential-stuffing target</w:t>
            </w:r>
          </w:p>
        </w:tc>
      </w:tr>
      <w:tr>
        <w:tc>
          <w:tcPr/>
          <w:p>
            <w:pPr>
              <w:pStyle w:val="Compact"/>
            </w:pPr>
            <w:r>
              <w:t xml:space="preserve">API keys</w:t>
            </w:r>
          </w:p>
        </w:tc>
        <w:tc>
          <w:tcPr/>
          <w:p>
            <w:pPr>
              <w:pStyle w:val="Compact"/>
            </w:pPr>
            <w:r>
              <w:t xml:space="preserve">Hashed at rest; scopes</w:t>
            </w:r>
            <w:r>
              <w:t xml:space="preserve"> </w:t>
            </w:r>
            <w:r>
              <w:rPr>
                <w:b/>
                <w:bCs/>
              </w:rPr>
              <w:t xml:space="preserve">intersected with the creating user’s role</w:t>
            </w:r>
            <w:r>
              <w:t xml:space="preserve">; per-key rate limit; rotation and revocation</w:t>
            </w:r>
          </w:p>
        </w:tc>
        <w:tc>
          <w:tcPr/>
          <w:p>
            <w:pPr>
              <w:pStyle w:val="Compact"/>
            </w:pPr>
            <w:r>
              <w:rPr>
                <w:b/>
                <w:bCs/>
              </w:rPr>
              <w:t xml:space="preserve">[VERIFIED-REPO]</w:t>
            </w:r>
            <w:r>
              <w:t xml:space="preserve"> </w:t>
            </w:r>
            <w:r>
              <w:t xml:space="preserve">the intersection is already implemented — it closes the standard privilege-escalation-by-key-minting hole</w:t>
            </w:r>
          </w:p>
        </w:tc>
      </w:tr>
      <w:tr>
        <w:tc>
          <w:tcPr/>
          <w:p>
            <w:pPr>
              <w:pStyle w:val="Compact"/>
            </w:pPr>
            <w:r>
              <w:t xml:space="preserve">SSO/OIDC</w:t>
            </w:r>
          </w:p>
        </w:tc>
        <w:tc>
          <w:tcPr/>
          <w:p>
            <w:pPr>
              <w:pStyle w:val="Compact"/>
            </w:pPr>
            <w:r>
              <w:t xml:space="preserve">Deferred; the</w:t>
            </w:r>
            <w:r>
              <w:t xml:space="preserve"> </w:t>
            </w:r>
            <w:r>
              <w:rPr>
                <w:rStyle w:val="VerbatimChar"/>
              </w:rPr>
              <w:t xml:space="preserve">credential</w:t>
            </w:r>
            <w:r>
              <w:t xml:space="preserve"> </w:t>
            </w:r>
            <w:r>
              <w:t xml:space="preserve">split makes it additive</w:t>
            </w:r>
          </w:p>
        </w:tc>
        <w:tc>
          <w:tcPr/>
          <w:p>
            <w:pPr>
              <w:pStyle w:val="Compact"/>
            </w:pPr>
            <w:r>
              <w:t xml:space="preserve">No SMB demand yet; larger tenants will ask at Stage 3</w:t>
            </w:r>
          </w:p>
        </w:tc>
      </w:tr>
    </w:tbl>
    <w:p>
      <w:pPr>
        <w:pStyle w:val="BodyText"/>
      </w:pPr>
      <w:r>
        <w:rPr>
          <w:b/>
          <w:bCs/>
        </w:rPr>
        <w:t xml:space="preserve">[JUDGEMENT]</w:t>
      </w:r>
      <w:r>
        <w:t xml:space="preserve"> </w:t>
      </w:r>
      <w:r>
        <w:t xml:space="preserve">The</w:t>
      </w:r>
      <w:r>
        <w:t xml:space="preserve"> </w:t>
      </w:r>
      <w:r>
        <w:t xml:space="preserve">“never put tenant in the token”</w:t>
      </w:r>
      <w:r>
        <w:t xml:space="preserve"> </w:t>
      </w:r>
      <w:r>
        <w:t xml:space="preserve">rule is worth stating as strongly as possible. A JWT with</w:t>
      </w:r>
      <w:r>
        <w:t xml:space="preserve"> </w:t>
      </w:r>
      <w:r>
        <w:rPr>
          <w:rStyle w:val="VerbatimChar"/>
        </w:rPr>
        <w:t xml:space="preserve">orgId</w:t>
      </w:r>
      <w:r>
        <w:t xml:space="preserve"> </w:t>
      </w:r>
      <w:r>
        <w:t xml:space="preserve">inside it is a bearer credential for a tenant that remains valid after the membership is revoked, until it expires. Reading membership per request costs one cached lookup and makes revocation immediate.</w:t>
      </w:r>
    </w:p>
    <w:bookmarkEnd w:id="84"/>
    <w:bookmarkStart w:id="88" w:name="authorization"/>
    <w:p>
      <w:pPr>
        <w:pStyle w:val="Heading2"/>
      </w:pPr>
      <w:r>
        <w:t xml:space="preserve">11. Authorization</w:t>
      </w:r>
    </w:p>
    <w:p>
      <w:pPr>
        <w:pStyle w:val="FirstParagraph"/>
      </w:pPr>
      <w:r>
        <w:t xml:space="preserve">Four independent dimensions, all data-driven, evaluated at Gate 3.</w:t>
      </w:r>
    </w:p>
    <w:p>
      <w:pPr>
        <w:pStyle w:val="BodyText"/>
      </w:pPr>
      <w:r>
        <w:drawing>
          <wp:inline>
            <wp:extent cx="1920240" cy="6943476"/>
            <wp:effectExtent b="0" l="0" r="0" t="0"/>
            <wp:docPr descr="" title="" id="86" name="Picture"/>
            <a:graphic>
              <a:graphicData uri="http://schemas.openxmlformats.org/drawingml/2006/picture">
                <pic:pic>
                  <pic:nvPicPr>
                    <pic:cNvPr descr="/private/tmp/claude-501/-Users-sudipto-Desktop-projects-accubook/c277cf12-a75d-42eb-a282-70d38dbc59e8/scratchpad/d12.png" id="87" name="Picture"/>
                    <pic:cNvPicPr>
                      <a:picLocks noChangeArrowheads="1" noChangeAspect="1"/>
                    </pic:cNvPicPr>
                  </pic:nvPicPr>
                  <pic:blipFill>
                    <a:blip r:embed="rId85"/>
                    <a:stretch>
                      <a:fillRect/>
                    </a:stretch>
                  </pic:blipFill>
                  <pic:spPr bwMode="auto">
                    <a:xfrm>
                      <a:off x="0" y="0"/>
                      <a:ext cx="1920240" cy="694347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Where it lives</w:t>
            </w:r>
          </w:p>
        </w:tc>
        <w:tc>
          <w:tcPr/>
          <w:p>
            <w:pPr>
              <w:pStyle w:val="Compact"/>
            </w:pPr>
            <w:r>
              <w:t xml:space="preserve">Notes</w:t>
            </w:r>
          </w:p>
        </w:tc>
      </w:tr>
      <w:tr>
        <w:tc>
          <w:tcPr/>
          <w:p>
            <w:pPr>
              <w:pStyle w:val="Compact"/>
            </w:pPr>
            <w:r>
              <w:t xml:space="preserve">Membership</w:t>
            </w:r>
          </w:p>
        </w:tc>
        <w:tc>
          <w:tcPr/>
          <w:p>
            <w:pPr>
              <w:pStyle w:val="Compact"/>
            </w:pPr>
            <w:r>
              <w:t xml:space="preserve">Control plane</w:t>
            </w:r>
          </w:p>
        </w:tc>
        <w:tc>
          <w:tcPr/>
          <w:p>
            <w:pPr>
              <w:pStyle w:val="Compact"/>
            </w:pPr>
            <w:r>
              <w:t xml:space="preserve">The only source of tenant authority</w:t>
            </w:r>
          </w:p>
        </w:tc>
      </w:tr>
      <w:tr>
        <w:tc>
          <w:tcPr/>
          <w:p>
            <w:pPr>
              <w:pStyle w:val="Compact"/>
            </w:pPr>
            <w:r>
              <w:t xml:space="preserve">Tenant status</w:t>
            </w:r>
          </w:p>
        </w:tc>
        <w:tc>
          <w:tcPr/>
          <w:p>
            <w:pPr>
              <w:pStyle w:val="Compact"/>
            </w:pPr>
            <w:r>
              <w:t xml:space="preserve">Control plane</w:t>
            </w:r>
          </w:p>
        </w:tc>
        <w:tc>
          <w:tcPr/>
          <w:p>
            <w:pPr>
              <w:pStyle w:val="Compact"/>
            </w:pPr>
            <w:r>
              <w:rPr>
                <w:rStyle w:val="VerbatimChar"/>
              </w:rPr>
              <w:t xml:space="preserve">PAST_DUE</w:t>
            </w:r>
            <w:r>
              <w:t xml:space="preserve"> </w:t>
            </w:r>
            <w:r>
              <w:t xml:space="preserve">must mean</w:t>
            </w:r>
            <w:r>
              <w:t xml:space="preserve"> </w:t>
            </w:r>
            <w:r>
              <w:rPr>
                <w:b/>
                <w:bCs/>
              </w:rPr>
              <w:t xml:space="preserve">read-only</w:t>
            </w:r>
            <w:r>
              <w:t xml:space="preserve">, not locked out — a customer who cannot see their own books will not pay you to unlock them</w:t>
            </w:r>
            <w:r>
              <w:t xml:space="preserve"> </w:t>
            </w:r>
            <w:r>
              <w:rPr>
                <w:b/>
                <w:bCs/>
              </w:rPr>
              <w:t xml:space="preserve">[JUDGEMENT]</w:t>
            </w:r>
          </w:p>
        </w:tc>
      </w:tr>
      <w:tr>
        <w:tc>
          <w:tcPr/>
          <w:p>
            <w:pPr>
              <w:pStyle w:val="Compact"/>
            </w:pPr>
            <w:r>
              <w:t xml:space="preserve">Permission</w:t>
            </w:r>
          </w:p>
        </w:tc>
        <w:tc>
          <w:tcPr/>
          <w:p>
            <w:pPr>
              <w:pStyle w:val="Compact"/>
            </w:pPr>
            <w:r>
              <w:rPr>
                <w:rStyle w:val="VerbatimChar"/>
              </w:rPr>
              <w:t xml:space="preserve">role.permissions</w:t>
            </w:r>
            <w:r>
              <w:t xml:space="preserve"> </w:t>
            </w:r>
            <w:r>
              <w:t xml:space="preserve">JSON, resolved from a</w:t>
            </w:r>
            <w:r>
              <w:t xml:space="preserve"> </w:t>
            </w:r>
            <w:r>
              <w:rPr>
                <w:rStyle w:val="VerbatimChar"/>
              </w:rPr>
              <w:t xml:space="preserve">(path, method)</w:t>
            </w:r>
            <w:r>
              <w:t xml:space="preserve"> </w:t>
            </w:r>
            <w:r>
              <w:t xml:space="preserve">map</w:t>
            </w:r>
          </w:p>
        </w:tc>
        <w:tc>
          <w:tcPr/>
          <w:p>
            <w:pPr>
              <w:pStyle w:val="Compact"/>
            </w:pPr>
            <w:r>
              <w:rPr>
                <w:b/>
                <w:bCs/>
              </w:rPr>
              <w:t xml:space="preserve">[VERIFIED-REPO]</w:t>
            </w:r>
            <w:r>
              <w:t xml:space="preserve"> </w:t>
            </w:r>
            <w:r>
              <w:t xml:space="preserve">already implemented via</w:t>
            </w:r>
            <w:r>
              <w:t xml:space="preserve"> </w:t>
            </w:r>
            <w:r>
              <w:rPr>
                <w:rStyle w:val="VerbatimChar"/>
              </w:rPr>
              <w:t xml:space="preserve">API_RESOURCE_MAP</w:t>
            </w:r>
            <w:r>
              <w:t xml:space="preserve"> </w:t>
            </w:r>
            <w:r>
              <w:t xml:space="preserve">+</w:t>
            </w:r>
            <w:r>
              <w:t xml:space="preserve"> </w:t>
            </w:r>
            <w:r>
              <w:rPr>
                <w:rStyle w:val="VerbatimChar"/>
              </w:rPr>
              <w:t xml:space="preserve">resolveScopeTarget</w:t>
            </w:r>
          </w:p>
        </w:tc>
      </w:tr>
      <w:tr>
        <w:tc>
          <w:tcPr/>
          <w:p>
            <w:pPr>
              <w:pStyle w:val="Compact"/>
            </w:pPr>
            <w:r>
              <w:t xml:space="preserve">Branch scope</w:t>
            </w:r>
          </w:p>
        </w:tc>
        <w:tc>
          <w:tcPr/>
          <w:p>
            <w:pPr>
              <w:pStyle w:val="Compact"/>
            </w:pPr>
            <w:r>
              <w:rPr>
                <w:rStyle w:val="VerbatimChar"/>
              </w:rPr>
              <w:t xml:space="preserve">membership.branchIds</w:t>
            </w:r>
            <w:r>
              <w:t xml:space="preserve"> </w:t>
            </w:r>
            <w:r>
              <w:rPr>
                <w:b/>
                <w:bCs/>
              </w:rPr>
              <w:t xml:space="preserve">[VERIFIED-REPO]</w:t>
            </w:r>
          </w:p>
        </w:tc>
        <w:tc>
          <w:tcPr/>
          <w:p>
            <w:pPr>
              <w:pStyle w:val="Compact"/>
            </w:pPr>
            <w:r>
              <w:t xml:space="preserve">Multi-branch tenants need this; it is currently checked inconsistently across modules</w:t>
            </w:r>
          </w:p>
        </w:tc>
      </w:tr>
      <w:tr>
        <w:tc>
          <w:tcPr/>
          <w:p>
            <w:pPr>
              <w:pStyle w:val="Compact"/>
            </w:pPr>
            <w:r>
              <w:t xml:space="preserve">Row visibility</w:t>
            </w:r>
          </w:p>
        </w:tc>
        <w:tc>
          <w:tcPr/>
          <w:p>
            <w:pPr>
              <w:pStyle w:val="Compact"/>
            </w:pPr>
            <w:r>
              <w:t xml:space="preserve">The database (§13)</w:t>
            </w:r>
          </w:p>
        </w:tc>
        <w:tc>
          <w:tcPr/>
          <w:p>
            <w:pPr>
              <w:pStyle w:val="Compact"/>
            </w:pPr>
            <w:r>
              <w:t xml:space="preserve">The floor beneath all four</w:t>
            </w:r>
          </w:p>
        </w:tc>
      </w:tr>
    </w:tbl>
    <w:p>
      <w:pPr>
        <w:pStyle w:val="BodyText"/>
      </w:pPr>
      <w:r>
        <w:rPr>
          <w:b/>
          <w:bCs/>
        </w:rPr>
        <w:t xml:space="preserve">Permission naming:</w:t>
      </w:r>
      <w:r>
        <w:t xml:space="preserve"> </w:t>
      </w:r>
      <w:r>
        <w:rPr>
          <w:rStyle w:val="VerbatimChar"/>
        </w:rPr>
        <w:t xml:space="preserve">module.resource.action</w:t>
      </w:r>
      <w:r>
        <w:t xml:space="preserve"> </w:t>
      </w:r>
      <w:r>
        <w:t xml:space="preserve">—</w:t>
      </w:r>
      <w:r>
        <w:t xml:space="preserve"> </w:t>
      </w:r>
      <w:r>
        <w:rPr>
          <w:rStyle w:val="VerbatimChar"/>
        </w:rPr>
        <w:t xml:space="preserve">ledger.voucher.post</w:t>
      </w:r>
      <w:r>
        <w:t xml:space="preserve">,</w:t>
      </w:r>
      <w:r>
        <w:t xml:space="preserve"> </w:t>
      </w:r>
      <w:r>
        <w:rPr>
          <w:rStyle w:val="VerbatimChar"/>
        </w:rPr>
        <w:t xml:space="preserve">receivables.invoice.approve</w:t>
      </w:r>
      <w:r>
        <w:t xml:space="preserve">,</w:t>
      </w:r>
      <w:r>
        <w:t xml:space="preserve"> </w:t>
      </w:r>
      <w:r>
        <w:rPr>
          <w:rStyle w:val="VerbatimChar"/>
        </w:rPr>
        <w:t xml:space="preserve">payroll.payslip.read</w:t>
      </w:r>
      <w:r>
        <w:t xml:space="preserve">. A CI test asserts that</w:t>
      </w:r>
      <w:r>
        <w:t xml:space="preserve"> </w:t>
      </w:r>
      <w:r>
        <w:rPr>
          <w:b/>
          <w:bCs/>
        </w:rPr>
        <w:t xml:space="preserve">every</w:t>
      </w:r>
      <w:r>
        <w:t xml:space="preserve"> </w:t>
      </w:r>
      <w:r>
        <w:rPr>
          <w:rStyle w:val="VerbatimChar"/>
        </w:rPr>
        <w:t xml:space="preserve">(path, method)</w:t>
      </w:r>
      <w:r>
        <w:t xml:space="preserve"> </w:t>
      </w:r>
      <w:r>
        <w:t xml:space="preserve">in the router resolves to a permission in the map; an unmapped route fails the build rather than silently returning 403 in production.</w:t>
      </w:r>
    </w:p>
    <w:p>
      <w:pPr>
        <w:pStyle w:val="BodyText"/>
      </w:pPr>
      <w:r>
        <w:rPr>
          <w:b/>
          <w:bCs/>
        </w:rPr>
        <w:t xml:space="preserve">[JUDGEMENT]</w:t>
      </w:r>
      <w:r>
        <w:t xml:space="preserve"> </w:t>
      </w:r>
      <w:r>
        <w:t xml:space="preserve">Never</w:t>
      </w:r>
      <w:r>
        <w:t xml:space="preserve"> </w:t>
      </w:r>
      <w:r>
        <w:rPr>
          <w:rStyle w:val="VerbatimChar"/>
        </w:rPr>
        <w:t xml:space="preserve">if (role === 'ADMIN')</w:t>
      </w:r>
      <w:r>
        <w:t xml:space="preserve"> </w:t>
      </w:r>
      <w:r>
        <w:t xml:space="preserve">and never</w:t>
      </w:r>
      <w:r>
        <w:t xml:space="preserve"> </w:t>
      </w:r>
      <w:r>
        <w:rPr>
          <w:rStyle w:val="VerbatimChar"/>
        </w:rPr>
        <w:t xml:space="preserve">if (plan === 'PRO')</w:t>
      </w:r>
      <w:r>
        <w:t xml:space="preserve">. Both are the same mistake — a business rule compiled into a deployment. Roles are rows; entitlements are rows. This is the Salesforce lesson from §2.1 and it is the difference between a plan change being a</w:t>
      </w:r>
      <w:r>
        <w:t xml:space="preserve"> </w:t>
      </w:r>
      <w:r>
        <w:rPr>
          <w:rStyle w:val="VerbatimChar"/>
        </w:rPr>
        <w:t xml:space="preserve">UPDATE</w:t>
      </w:r>
      <w:r>
        <w:t xml:space="preserve"> </w:t>
      </w:r>
      <w:r>
        <w:t xml:space="preserve">and being a release.</w:t>
      </w:r>
    </w:p>
    <w:bookmarkEnd w:id="88"/>
    <w:bookmarkStart w:id="92" w:name="tenant-context-propagation"/>
    <w:p>
      <w:pPr>
        <w:pStyle w:val="Heading2"/>
      </w:pPr>
      <w:r>
        <w:t xml:space="preserve">12. Tenant context propagation</w:t>
      </w:r>
    </w:p>
    <w:p>
      <w:pPr>
        <w:pStyle w:val="FirstParagraph"/>
      </w:pPr>
      <w:r>
        <w:t xml:space="preserve">The problem: between the membership check and the SQL statement there are dozens of function calls. The tenant must reach the database without being threaded through every signature — because a parameter that must be passed everywhere will eventually not be passed somewhere.</w:t>
      </w:r>
    </w:p>
    <w:p>
      <w:pPr>
        <w:pStyle w:val="BodyText"/>
      </w:pPr>
      <w:r>
        <w:drawing>
          <wp:inline>
            <wp:extent cx="2697480" cy="6948883"/>
            <wp:effectExtent b="0" l="0" r="0" t="0"/>
            <wp:docPr descr="" title="" id="90" name="Picture"/>
            <a:graphic>
              <a:graphicData uri="http://schemas.openxmlformats.org/drawingml/2006/picture">
                <pic:pic>
                  <pic:nvPicPr>
                    <pic:cNvPr descr="/private/tmp/claude-501/-Users-sudipto-Desktop-projects-accubook/c277cf12-a75d-42eb-a282-70d38dbc59e8/scratchpad/d13.png" id="91" name="Picture"/>
                    <pic:cNvPicPr>
                      <a:picLocks noChangeArrowheads="1" noChangeAspect="1"/>
                    </pic:cNvPicPr>
                  </pic:nvPicPr>
                  <pic:blipFill>
                    <a:blip r:embed="rId89"/>
                    <a:stretch>
                      <a:fillRect/>
                    </a:stretch>
                  </pic:blipFill>
                  <pic:spPr bwMode="auto">
                    <a:xfrm>
                      <a:off x="0" y="0"/>
                      <a:ext cx="2697480" cy="694888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Reason</w:t>
            </w:r>
          </w:p>
        </w:tc>
      </w:tr>
      <w:tr>
        <w:tc>
          <w:tcPr/>
          <w:p>
            <w:pPr>
              <w:pStyle w:val="Compact"/>
            </w:pPr>
            <w:r>
              <w:t xml:space="preserve">Mechanism</w:t>
            </w:r>
          </w:p>
        </w:tc>
        <w:tc>
          <w:tcPr/>
          <w:p>
            <w:pPr>
              <w:pStyle w:val="Compact"/>
            </w:pPr>
            <w:r>
              <w:rPr>
                <w:rStyle w:val="VerbatimChar"/>
              </w:rPr>
              <w:t xml:space="preserve">AsyncLocalStorage</w:t>
            </w:r>
          </w:p>
        </w:tc>
        <w:tc>
          <w:tcPr/>
          <w:p>
            <w:pPr>
              <w:pStyle w:val="Compact"/>
            </w:pPr>
            <w:r>
              <w:rPr>
                <w:b/>
                <w:bCs/>
              </w:rPr>
              <w:t xml:space="preserve">[JUDGEMENT]</w:t>
            </w:r>
            <w:r>
              <w:t xml:space="preserve"> </w:t>
            </w:r>
            <w:r>
              <w:t xml:space="preserve">Forgetting to thread a parameter yields</w:t>
            </w:r>
            <w:r>
              <w:t xml:space="preserve"> </w:t>
            </w:r>
            <w:r>
              <w:rPr>
                <w:i/>
                <w:iCs/>
              </w:rPr>
              <w:t xml:space="preserve">no</w:t>
            </w:r>
            <w:r>
              <w:t xml:space="preserve"> </w:t>
            </w:r>
            <w:r>
              <w:t xml:space="preserve">tenant, which throws — rather than the</w:t>
            </w:r>
            <w:r>
              <w:t xml:space="preserve"> </w:t>
            </w:r>
            <w:r>
              <w:rPr>
                <w:i/>
                <w:iCs/>
              </w:rPr>
              <w:t xml:space="preserve">previous</w:t>
            </w:r>
            <w:r>
              <w:t xml:space="preserve"> </w:t>
            </w:r>
            <w:r>
              <w:t xml:space="preserve">tenant, which leaks. Fail-loud beats fail-silent</w:t>
            </w:r>
          </w:p>
        </w:tc>
      </w:tr>
      <w:tr>
        <w:tc>
          <w:tcPr/>
          <w:p>
            <w:pPr>
              <w:pStyle w:val="Compact"/>
            </w:pPr>
            <w:r>
              <w:t xml:space="preserve">Propagation to SQL</w:t>
            </w:r>
          </w:p>
        </w:tc>
        <w:tc>
          <w:tcPr/>
          <w:p>
            <w:pPr>
              <w:pStyle w:val="Compact"/>
            </w:pPr>
            <w:r>
              <w:rPr>
                <w:rStyle w:val="VerbatimChar"/>
              </w:rPr>
              <w:t xml:space="preserve">set_config('app.current_org', …, **true**)</w:t>
            </w:r>
            <w:r>
              <w:t xml:space="preserve"> </w:t>
            </w:r>
            <w:r>
              <w:t xml:space="preserve">— the third argument is</w:t>
            </w:r>
            <w:r>
              <w:t xml:space="preserve"> </w:t>
            </w:r>
            <w:r>
              <w:rPr>
                <w:rStyle w:val="VerbatimChar"/>
              </w:rPr>
              <w:t xml:space="preserve">is_local</w:t>
            </w:r>
          </w:p>
        </w:tc>
        <w:tc>
          <w:tcPr/>
          <w:p>
            <w:pPr>
              <w:pStyle w:val="Compact"/>
            </w:pPr>
            <w:r>
              <w:rPr>
                <w:b/>
                <w:bCs/>
              </w:rPr>
              <w:t xml:space="preserve">Transaction-local.</w:t>
            </w:r>
            <w:r>
              <w:t xml:space="preserve"> </w:t>
            </w:r>
            <w:r>
              <w:t xml:space="preserve">This is what makes it safe behind a transaction-mode pooler, where connections are shared between tenants between transactions</w:t>
            </w:r>
          </w:p>
        </w:tc>
      </w:tr>
      <w:tr>
        <w:tc>
          <w:tcPr/>
          <w:p>
            <w:pPr>
              <w:pStyle w:val="Compact"/>
            </w:pPr>
            <w:r>
              <w:t xml:space="preserve">Every query in a transaction</w:t>
            </w:r>
          </w:p>
        </w:tc>
        <w:tc>
          <w:tcPr/>
          <w:p>
            <w:pPr>
              <w:pStyle w:val="Compact"/>
            </w:pPr>
            <w:r>
              <w:t xml:space="preserve">Yes, including single reads</w:t>
            </w:r>
          </w:p>
        </w:tc>
        <w:tc>
          <w:tcPr/>
          <w:p>
            <w:pPr>
              <w:pStyle w:val="Compact"/>
            </w:pPr>
            <w:r>
              <w:t xml:space="preserve">Without a transaction there is no scope for the setting to live in</w:t>
            </w:r>
          </w:p>
        </w:tc>
      </w:tr>
      <w:tr>
        <w:tc>
          <w:tcPr/>
          <w:p>
            <w:pPr>
              <w:pStyle w:val="Compact"/>
            </w:pPr>
            <w:r>
              <w:t xml:space="preserve">Jobs</w:t>
            </w:r>
          </w:p>
        </w:tc>
        <w:tc>
          <w:tcPr/>
          <w:p>
            <w:pPr>
              <w:pStyle w:val="Compact"/>
            </w:pPr>
            <w:r>
              <w:rPr>
                <w:rStyle w:val="VerbatimChar"/>
              </w:rPr>
              <w:t xml:space="preserve">tenant_id</w:t>
            </w:r>
            <w:r>
              <w:t xml:space="preserve"> </w:t>
            </w:r>
            <w:r>
              <w:t xml:space="preserve">is a NOT NULL column on</w:t>
            </w:r>
            <w:r>
              <w:t xml:space="preserve"> </w:t>
            </w:r>
            <w:r>
              <w:rPr>
                <w:rStyle w:val="VerbatimChar"/>
              </w:rPr>
              <w:t xml:space="preserve">jobs</w:t>
            </w:r>
            <w:r>
              <w:t xml:space="preserve">, plus a</w:t>
            </w:r>
            <w:r>
              <w:t xml:space="preserve"> </w:t>
            </w:r>
            <w:r>
              <w:rPr>
                <w:rStyle w:val="VerbatimChar"/>
              </w:rPr>
              <w:t xml:space="preserve">CHECK</w:t>
            </w:r>
            <w:r>
              <w:t xml:space="preserve"> </w:t>
            </w:r>
            <w:r>
              <w:t xml:space="preserve">that scope is declared</w:t>
            </w:r>
          </w:p>
        </w:tc>
        <w:tc>
          <w:tcPr/>
          <w:p>
            <w:pPr>
              <w:pStyle w:val="Compact"/>
            </w:pPr>
            <w:r>
              <w:rPr>
                <w:b/>
                <w:bCs/>
              </w:rPr>
              <w:t xml:space="preserve">[PATTERN]</w:t>
            </w:r>
            <w:r>
              <w:t xml:space="preserve"> </w:t>
            </w:r>
            <w:r>
              <w:t xml:space="preserve">A background job running in the wrong tenant is the least-tested breach path in most SaaS</w:t>
            </w:r>
          </w:p>
        </w:tc>
      </w:tr>
      <w:tr>
        <w:tc>
          <w:tcPr/>
          <w:p>
            <w:pPr>
              <w:pStyle w:val="Compact"/>
            </w:pPr>
            <w:r>
              <w:t xml:space="preserve">Platform-scoped jobs</w:t>
            </w:r>
          </w:p>
        </w:tc>
        <w:tc>
          <w:tcPr/>
          <w:p>
            <w:pPr>
              <w:pStyle w:val="Compact"/>
            </w:pPr>
            <w:r>
              <w:t xml:space="preserve">Must declare</w:t>
            </w:r>
            <w:r>
              <w:t xml:space="preserve"> </w:t>
            </w:r>
            <w:r>
              <w:rPr>
                <w:rStyle w:val="VerbatimChar"/>
              </w:rPr>
              <w:t xml:space="preserve">tenant_scope = 'PLATFORM'</w:t>
            </w:r>
            <w:r>
              <w:t xml:space="preserve"> </w:t>
            </w:r>
            <w:r>
              <w:t xml:space="preserve">explicitly</w:t>
            </w:r>
          </w:p>
        </w:tc>
        <w:tc>
          <w:tcPr/>
          <w:p>
            <w:pPr>
              <w:pStyle w:val="Compact"/>
            </w:pPr>
            <w:r>
              <w:rPr>
                <w:b/>
                <w:bCs/>
              </w:rPr>
              <w:t xml:space="preserve">[VERIFIED-REPO]</w:t>
            </w:r>
            <w:r>
              <w:t xml:space="preserve"> </w:t>
            </w:r>
            <w:r>
              <w:t xml:space="preserve">the two current crons (</w:t>
            </w:r>
            <w:r>
              <w:rPr>
                <w:rStyle w:val="VerbatimChar"/>
              </w:rPr>
              <w:t xml:space="preserve">check-overdue</w:t>
            </w:r>
            <w:r>
              <w:t xml:space="preserve">,</w:t>
            </w:r>
            <w:r>
              <w:t xml:space="preserve"> </w:t>
            </w:r>
            <w:r>
              <w:rPr>
                <w:rStyle w:val="VerbatimChar"/>
              </w:rPr>
              <w:t xml:space="preserve">run-recurring</w:t>
            </w:r>
            <w:r>
              <w:t xml:space="preserve">) iterate all tenants — legitimate, but it must be a declared intent rather than an omission</w:t>
            </w:r>
          </w:p>
        </w:tc>
      </w:tr>
    </w:tbl>
    <w:p>
      <w:pPr>
        <w:pStyle w:val="BodyText"/>
      </w:pPr>
      <w:r>
        <w:rPr>
          <w:b/>
          <w:bCs/>
        </w:rPr>
        <w:t xml:space="preserve">The failure mode this design chooses:</w:t>
      </w:r>
      <w:r>
        <w:t xml:space="preserve"> </w:t>
      </w:r>
      <w:r>
        <w:t xml:space="preserve">if context is lost,</w:t>
      </w:r>
      <w:r>
        <w:t xml:space="preserve"> </w:t>
      </w:r>
      <w:r>
        <w:rPr>
          <w:rStyle w:val="VerbatimChar"/>
        </w:rPr>
        <w:t xml:space="preserve">current_setting('app.current_org', true)</w:t>
      </w:r>
      <w:r>
        <w:t xml:space="preserve"> </w:t>
      </w:r>
      <w:r>
        <w:t xml:space="preserve">returns NULL, the RLS policy matches nothing, and the query returns</w:t>
      </w:r>
      <w:r>
        <w:t xml:space="preserve"> </w:t>
      </w:r>
      <w:r>
        <w:rPr>
          <w:b/>
          <w:bCs/>
        </w:rPr>
        <w:t xml:space="preserve">zero rows</w:t>
      </w:r>
      <w:r>
        <w:t xml:space="preserve">. A visibly broken feature in the developer’s own tenant, not an invisible breach in someone else’s.</w:t>
      </w:r>
      <w:r>
        <w:t xml:space="preserve"> </w:t>
      </w:r>
      <w:r>
        <w:rPr>
          <w:b/>
          <w:bCs/>
        </w:rPr>
        <w:t xml:space="preserve">[JUDGEMENT]</w:t>
      </w:r>
      <w:r>
        <w:t xml:space="preserve"> </w:t>
      </w:r>
      <w:r>
        <w:t xml:space="preserve">Choosing</w:t>
      </w:r>
      <w:r>
        <w:t xml:space="preserve"> </w:t>
      </w:r>
      <w:r>
        <w:rPr>
          <w:i/>
          <w:iCs/>
        </w:rPr>
        <w:t xml:space="preserve">which way</w:t>
      </w:r>
      <w:r>
        <w:t xml:space="preserve"> </w:t>
      </w:r>
      <w:r>
        <w:t xml:space="preserve">a system fails is the most consequential decision in isolation design.</w:t>
      </w:r>
    </w:p>
    <w:bookmarkEnd w:id="92"/>
    <w:bookmarkStart w:id="100" w:name="data-isolation-the-rls-design"/>
    <w:p>
      <w:pPr>
        <w:pStyle w:val="Heading2"/>
      </w:pPr>
      <w:r>
        <w:t xml:space="preserve">13. Data isolation — the RLS design</w:t>
      </w:r>
    </w:p>
    <w:bookmarkStart w:id="93" w:name="why-the-application-guard-is-not-enough"/>
    <w:p>
      <w:pPr>
        <w:pStyle w:val="Heading3"/>
      </w:pPr>
      <w:r>
        <w:t xml:space="preserve">13.1 Why the application guard is not enough</w:t>
      </w:r>
    </w:p>
    <w:p>
      <w:pPr>
        <w:pStyle w:val="FirstParagraph"/>
      </w:pPr>
      <w:r>
        <w:t xml:space="preserve">The existing guard is good — §9.1. It is still not sufficient, for exactly one reason:</w:t>
      </w:r>
      <w:r>
        <w:t xml:space="preserve"> </w:t>
      </w:r>
      <w:r>
        <w:rPr>
          <w:rStyle w:val="VerbatimChar"/>
          <w:b/>
          <w:bCs/>
        </w:rPr>
        <w:t xml:space="preserve">withOrgAuth</w:t>
      </w:r>
      <w:r>
        <w:rPr>
          <w:b/>
          <w:bCs/>
        </w:rPr>
        <w:t xml:space="preserve"> </w:t>
      </w:r>
      <w:r>
        <w:rPr>
          <w:b/>
          <w:bCs/>
        </w:rPr>
        <w:t xml:space="preserve">proves who the caller is and which tenant they may act in. It cannot prove that the query the handler then writes stays inside that tenant.</w:t>
      </w:r>
    </w:p>
    <w:p>
      <w:pPr>
        <w:pStyle w:val="SourceCode"/>
      </w:pPr>
      <w:r>
        <w:rPr>
          <w:rStyle w:val="CommentTok"/>
        </w:rPr>
        <w:t xml:space="preserve">// Compiles. Passes withOrgAuth. Passes code review at 3 a.m.</w:t>
      </w:r>
      <w:r>
        <w:br/>
      </w:r>
      <w:r>
        <w:rPr>
          <w:rStyle w:val="CommentTok"/>
        </w:rPr>
        <w:t xml:space="preserve">// Returns every tenant's overdue invoices.</w:t>
      </w:r>
      <w:r>
        <w:br/>
      </w:r>
      <w:r>
        <w:rPr>
          <w:rStyle w:val="KeywordTok"/>
        </w:rPr>
        <w:t xml:space="preserve">const</w:t>
      </w:r>
      <w:r>
        <w:rPr>
          <w:rStyle w:val="NormalTok"/>
        </w:rPr>
        <w:t xml:space="preserve"> invoices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invoice</w:t>
      </w:r>
      <w:r>
        <w:rPr>
          <w:rStyle w:val="OperatorTok"/>
        </w:rPr>
        <w:t xml:space="preserve">.</w:t>
      </w:r>
      <w:r>
        <w:rPr>
          <w:rStyle w:val="FunctionTok"/>
        </w:rPr>
        <w:t xml:space="preserve">findMany</w:t>
      </w:r>
      <w:r>
        <w:rPr>
          <w:rStyle w:val="NormalTok"/>
        </w:rPr>
        <w:t xml:space="preserve">({ where</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"OVERDUE"</w:t>
      </w:r>
      <w:r>
        <w:rPr>
          <w:rStyle w:val="NormalTok"/>
        </w:rPr>
        <w:t xml:space="preserve"> } })</w:t>
      </w:r>
      <w:r>
        <w:rPr>
          <w:rStyle w:val="OperatorTok"/>
        </w:rPr>
        <w:t xml:space="preserve">;</w:t>
      </w:r>
    </w:p>
    <w:p>
      <w:pPr>
        <w:pStyle w:val="FirstParagraph"/>
      </w:pPr>
      <w:r>
        <w:t xml:space="preserve">Nothing in the type system prevents this. Nothing in the linter prevents it. The repository already contains</w:t>
      </w:r>
      <w:r>
        <w:t xml:space="preserve"> </w:t>
      </w:r>
      <w:r>
        <w:rPr>
          <w:rStyle w:val="VerbatimChar"/>
        </w:rPr>
        <w:t xml:space="preserve">findForeignReferences</w:t>
      </w:r>
      <w:r>
        <w:t xml:space="preserve"> </w:t>
      </w:r>
      <w:r>
        <w:rPr>
          <w:b/>
          <w:bCs/>
        </w:rPr>
        <w:t xml:space="preserve">[VERIFIED-REPO]</w:t>
      </w:r>
      <w:r>
        <w:t xml:space="preserve">, written precisely because someone recognised this bug class for client-supplied foreign keys — the right instinct, applied at one layer. RLS applies it at every layer: raw SQL, reports, background jobs, exports, and the code not yet written.</w:t>
      </w:r>
    </w:p>
    <w:p>
      <w:pPr>
        <w:pStyle w:val="BodyText"/>
      </w:pPr>
      <w:r>
        <w:rPr>
          <w:b/>
          <w:bCs/>
        </w:rPr>
        <w:t xml:space="preserve">With RLS, that query returns zero rows.</w:t>
      </w:r>
    </w:p>
    <w:bookmarkEnd w:id="93"/>
    <w:bookmarkStart w:id="94" w:name="role-model"/>
    <w:p>
      <w:pPr>
        <w:pStyle w:val="Heading3"/>
      </w:pPr>
      <w:r>
        <w:t xml:space="preserve">13.2 Role model</w:t>
      </w:r>
    </w:p>
    <w:p>
      <w:pPr>
        <w:pStyle w:val="FirstParagraph"/>
      </w:pPr>
      <w:r>
        <w:t xml:space="preserve">Four database roles, each with the minimum it needs.</w:t>
      </w:r>
      <w:r>
        <w:t xml:space="preserve"> </w:t>
      </w:r>
      <w:r>
        <w:rPr>
          <w:b/>
          <w:bCs/>
        </w:rPr>
        <w:t xml:space="preserve">[PATTERN]</w:t>
      </w:r>
    </w:p>
    <w:p>
      <w:pPr>
        <w:pStyle w:val="SourceCode"/>
      </w:pPr>
      <w:r>
        <w:rPr>
          <w:rStyle w:val="CommentTok"/>
        </w:rPr>
        <w:t xml:space="preserve">-- Owns the schema. Used ONLY by migrations. Never in the application env.</w:t>
      </w:r>
      <w:r>
        <w:br/>
      </w:r>
      <w:r>
        <w:rPr>
          <w:rStyle w:val="KeywordTok"/>
        </w:rPr>
        <w:t xml:space="preserve">CREATE</w:t>
      </w:r>
      <w:r>
        <w:rPr>
          <w:rStyle w:val="NormalTok"/>
        </w:rPr>
        <w:t xml:space="preserve"> </w:t>
      </w:r>
      <w:r>
        <w:rPr>
          <w:rStyle w:val="KeywordTok"/>
        </w:rPr>
        <w:t xml:space="preserve">ROLE</w:t>
      </w:r>
      <w:r>
        <w:rPr>
          <w:rStyle w:val="NormalTok"/>
        </w:rPr>
        <w:t xml:space="preserve"> accubook_owner LOGIN </w:t>
      </w:r>
      <w:r>
        <w:rPr>
          <w:rStyle w:val="KeywordTok"/>
        </w:rPr>
        <w:t xml:space="preserve">PASSWORD</w:t>
      </w:r>
      <w:r>
        <w:rPr>
          <w:rStyle w:val="NormalTok"/>
        </w:rPr>
        <w:t xml:space="preserve"> :</w:t>
      </w:r>
      <w:r>
        <w:rPr>
          <w:rStyle w:val="StringTok"/>
        </w:rPr>
        <w:t xml:space="preserve">'owner_pw'</w:t>
      </w:r>
      <w:r>
        <w:rPr>
          <w:rStyle w:val="NormalTok"/>
        </w:rPr>
        <w:t xml:space="preserve">;</w:t>
      </w:r>
      <w:r>
        <w:br/>
      </w:r>
      <w:r>
        <w:br/>
      </w:r>
      <w:r>
        <w:rPr>
          <w:rStyle w:val="CommentTok"/>
        </w:rPr>
        <w:t xml:space="preserve">-- The application. Cannot bypass RLS. This is the important one.</w:t>
      </w:r>
      <w:r>
        <w:br/>
      </w:r>
      <w:r>
        <w:rPr>
          <w:rStyle w:val="KeywordTok"/>
        </w:rPr>
        <w:t xml:space="preserve">CREATE</w:t>
      </w:r>
      <w:r>
        <w:rPr>
          <w:rStyle w:val="NormalTok"/>
        </w:rPr>
        <w:t xml:space="preserve"> </w:t>
      </w:r>
      <w:r>
        <w:rPr>
          <w:rStyle w:val="KeywordTok"/>
        </w:rPr>
        <w:t xml:space="preserve">ROLE</w:t>
      </w:r>
      <w:r>
        <w:rPr>
          <w:rStyle w:val="NormalTok"/>
        </w:rPr>
        <w:t xml:space="preserve"> app_tenant LOGIN </w:t>
      </w:r>
      <w:r>
        <w:rPr>
          <w:rStyle w:val="KeywordTok"/>
        </w:rPr>
        <w:t xml:space="preserve">PASSWORD</w:t>
      </w:r>
      <w:r>
        <w:rPr>
          <w:rStyle w:val="NormalTok"/>
        </w:rPr>
        <w:t xml:space="preserve"> :</w:t>
      </w:r>
      <w:r>
        <w:rPr>
          <w:rStyle w:val="StringTok"/>
        </w:rPr>
        <w:t xml:space="preserve">'app_pw'</w:t>
      </w:r>
      <w:r>
        <w:rPr>
          <w:rStyle w:val="NormalTok"/>
        </w:rPr>
        <w:t xml:space="preserve"> NOBYPASSRLS;</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app_tenant;</w:t>
      </w:r>
      <w:r>
        <w:br/>
      </w:r>
      <w:r>
        <w:br/>
      </w:r>
      <w:r>
        <w:rPr>
          <w:rStyle w:val="CommentTok"/>
        </w:rPr>
        <w:t xml:space="preserve">-- Reporting: read-only, routed to the replica, own statement_timeout.</w:t>
      </w:r>
      <w:r>
        <w:br/>
      </w:r>
      <w:r>
        <w:rPr>
          <w:rStyle w:val="KeywordTok"/>
        </w:rPr>
        <w:t xml:space="preserve">CREATE</w:t>
      </w:r>
      <w:r>
        <w:rPr>
          <w:rStyle w:val="NormalTok"/>
        </w:rPr>
        <w:t xml:space="preserve"> </w:t>
      </w:r>
      <w:r>
        <w:rPr>
          <w:rStyle w:val="KeywordTok"/>
        </w:rPr>
        <w:t xml:space="preserve">ROLE</w:t>
      </w:r>
      <w:r>
        <w:rPr>
          <w:rStyle w:val="NormalTok"/>
        </w:rPr>
        <w:t xml:space="preserve"> app_report LOGIN </w:t>
      </w:r>
      <w:r>
        <w:rPr>
          <w:rStyle w:val="KeywordTok"/>
        </w:rPr>
        <w:t xml:space="preserve">PASSWORD</w:t>
      </w:r>
      <w:r>
        <w:rPr>
          <w:rStyle w:val="NormalTok"/>
        </w:rPr>
        <w:t xml:space="preserve"> :</w:t>
      </w:r>
      <w:r>
        <w:rPr>
          <w:rStyle w:val="StringTok"/>
        </w:rPr>
        <w:t xml:space="preserve">'rpt_pw'</w:t>
      </w:r>
      <w:r>
        <w:rPr>
          <w:rStyle w:val="NormalTok"/>
        </w:rPr>
        <w:t xml:space="preserve"> NOBYPASSRLS;</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app_report;</w:t>
      </w:r>
      <w:r>
        <w:br/>
      </w:r>
      <w:r>
        <w:rPr>
          <w:rStyle w:val="KeywordTok"/>
        </w:rPr>
        <w:t xml:space="preserve">ALTER</w:t>
      </w:r>
      <w:r>
        <w:rPr>
          <w:rStyle w:val="NormalTok"/>
        </w:rPr>
        <w:t xml:space="preserve"> </w:t>
      </w:r>
      <w:r>
        <w:rPr>
          <w:rStyle w:val="KeywordTok"/>
        </w:rPr>
        <w:t xml:space="preserve">ROLE</w:t>
      </w:r>
      <w:r>
        <w:rPr>
          <w:rStyle w:val="NormalTok"/>
        </w:rPr>
        <w:t xml:space="preserve"> app_report </w:t>
      </w:r>
      <w:r>
        <w:rPr>
          <w:rStyle w:val="KeywordTok"/>
        </w:rPr>
        <w:t xml:space="preserve">SET</w:t>
      </w:r>
      <w:r>
        <w:rPr>
          <w:rStyle w:val="NormalTok"/>
        </w:rPr>
        <w:t xml:space="preserve"> statement_timeout </w:t>
      </w:r>
      <w:r>
        <w:rPr>
          <w:rStyle w:val="OperatorTok"/>
        </w:rPr>
        <w:t xml:space="preserve">=</w:t>
      </w:r>
      <w:r>
        <w:rPr>
          <w:rStyle w:val="NormalTok"/>
        </w:rPr>
        <w:t xml:space="preserve"> </w:t>
      </w:r>
      <w:r>
        <w:rPr>
          <w:rStyle w:val="StringTok"/>
        </w:rPr>
        <w:t xml:space="preserve">'120s'</w:t>
      </w:r>
      <w:r>
        <w:rPr>
          <w:rStyle w:val="NormalTok"/>
        </w:rPr>
        <w:t xml:space="preserve">;</w:t>
      </w:r>
      <w:r>
        <w:br/>
      </w:r>
      <w:r>
        <w:br/>
      </w:r>
      <w:r>
        <w:rPr>
          <w:rStyle w:val="CommentTok"/>
        </w:rPr>
        <w:t xml:space="preserve">-- Break-glass. Credential lives in the vault, not in any deployment.</w:t>
      </w:r>
      <w:r>
        <w:br/>
      </w:r>
      <w:r>
        <w:rPr>
          <w:rStyle w:val="CommentTok"/>
        </w:rPr>
        <w:t xml:space="preserve">-- Every use is a SupportGrant row and a PlatformAuditLog row.</w:t>
      </w:r>
      <w:r>
        <w:br/>
      </w:r>
      <w:r>
        <w:rPr>
          <w:rStyle w:val="KeywordTok"/>
        </w:rPr>
        <w:t xml:space="preserve">CREATE</w:t>
      </w:r>
      <w:r>
        <w:rPr>
          <w:rStyle w:val="NormalTok"/>
        </w:rPr>
        <w:t xml:space="preserve"> </w:t>
      </w:r>
      <w:r>
        <w:rPr>
          <w:rStyle w:val="KeywordTok"/>
        </w:rPr>
        <w:t xml:space="preserve">ROLE</w:t>
      </w:r>
      <w:r>
        <w:rPr>
          <w:rStyle w:val="NormalTok"/>
        </w:rPr>
        <w:t xml:space="preserve"> app_admin_support LOGIN </w:t>
      </w:r>
      <w:r>
        <w:rPr>
          <w:rStyle w:val="KeywordTok"/>
        </w:rPr>
        <w:t xml:space="preserve">PASSWORD</w:t>
      </w:r>
      <w:r>
        <w:rPr>
          <w:rStyle w:val="NormalTok"/>
        </w:rPr>
        <w:t xml:space="preserve"> :</w:t>
      </w:r>
      <w:r>
        <w:rPr>
          <w:rStyle w:val="StringTok"/>
        </w:rPr>
        <w:t xml:space="preserve">'brk_pw'</w:t>
      </w:r>
      <w:r>
        <w:rPr>
          <w:rStyle w:val="NormalTok"/>
        </w:rPr>
        <w:t xml:space="preserve"> NOBYPASSRLS;</w:t>
      </w:r>
    </w:p>
    <w:p>
      <w:pPr>
        <w:pStyle w:val="FirstParagraph"/>
      </w:pPr>
      <w:r>
        <w:rPr>
          <w:b/>
          <w:bCs/>
        </w:rPr>
        <w:t xml:space="preserve">[JUDGEMENT]</w:t>
      </w:r>
      <w:r>
        <w:t xml:space="preserve"> </w:t>
      </w:r>
      <w:r>
        <w:t xml:space="preserve">Note that</w:t>
      </w:r>
      <w:r>
        <w:t xml:space="preserve"> </w:t>
      </w:r>
      <w:r>
        <w:rPr>
          <w:b/>
          <w:bCs/>
        </w:rPr>
        <w:t xml:space="preserve">none</w:t>
      </w:r>
      <w:r>
        <w:t xml:space="preserve"> </w:t>
      </w:r>
      <w:r>
        <w:t xml:space="preserve">of these roles has</w:t>
      </w:r>
      <w:r>
        <w:t xml:space="preserve"> </w:t>
      </w:r>
      <w:r>
        <w:rPr>
          <w:rStyle w:val="VerbatimChar"/>
        </w:rPr>
        <w:t xml:space="preserve">BYPASSRLS</w:t>
      </w:r>
      <w:r>
        <w:t xml:space="preserve">, and the application role is explicitly</w:t>
      </w:r>
      <w:r>
        <w:t xml:space="preserve"> </w:t>
      </w:r>
      <w:r>
        <w:rPr>
          <w:rStyle w:val="VerbatimChar"/>
        </w:rPr>
        <w:t xml:space="preserve">NOBYPASSRLS</w:t>
      </w:r>
      <w:r>
        <w:t xml:space="preserve">. The table owner implicitly bypasses RLS unless forced — which is why §13.3 uses</w:t>
      </w:r>
      <w:r>
        <w:t xml:space="preserve"> </w:t>
      </w:r>
      <w:r>
        <w:rPr>
          <w:rStyle w:val="VerbatimChar"/>
        </w:rPr>
        <w:t xml:space="preserve">FORCE ROW LEVEL SECURITY</w:t>
      </w:r>
      <w:r>
        <w:t xml:space="preserve">, and why the application must never connect as the owner. A single misconfigured connection string that connects as owner silently disables every policy in the system. This is worth a startup assertion: on boot, the application queries</w:t>
      </w:r>
      <w:r>
        <w:t xml:space="preserve"> </w:t>
      </w:r>
      <w:r>
        <w:rPr>
          <w:rStyle w:val="VerbatimChar"/>
        </w:rPr>
        <w:t xml:space="preserve">current_user</w:t>
      </w:r>
      <w:r>
        <w:t xml:space="preserve"> </w:t>
      </w:r>
      <w:r>
        <w:t xml:space="preserve">and refuses to start if it is the owner.</w:t>
      </w:r>
    </w:p>
    <w:bookmarkEnd w:id="94"/>
    <w:bookmarkStart w:id="95" w:name="policies"/>
    <w:p>
      <w:pPr>
        <w:pStyle w:val="Heading3"/>
      </w:pPr>
      <w:r>
        <w:t xml:space="preserve">13.3 Policies</w:t>
      </w:r>
    </w:p>
    <w:p>
      <w:pPr>
        <w:pStyle w:val="SourceCode"/>
      </w:pPr>
      <w:r>
        <w:rPr>
          <w:rStyle w:val="CommentTok"/>
        </w:rPr>
        <w:t xml:space="preserve">-- Applied to every tenant-owned table.</w:t>
      </w:r>
      <w:r>
        <w:br/>
      </w:r>
      <w:r>
        <w:rPr>
          <w:rStyle w:val="KeywordTok"/>
        </w:rPr>
        <w:t xml:space="preserve">ALTER</w:t>
      </w:r>
      <w:r>
        <w:rPr>
          <w:rStyle w:val="NormalTok"/>
        </w:rPr>
        <w:t xml:space="preserve"> </w:t>
      </w:r>
      <w:r>
        <w:rPr>
          <w:rStyle w:val="KeywordTok"/>
        </w:rPr>
        <w:t xml:space="preserve">TABLE</w:t>
      </w:r>
      <w:r>
        <w:rPr>
          <w:rStyle w:val="NormalTok"/>
        </w:rPr>
        <w:t xml:space="preserve"> vouchers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vouchers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   </w:t>
      </w:r>
      <w:r>
        <w:rPr>
          <w:rStyle w:val="CommentTok"/>
        </w:rPr>
        <w:t xml:space="preserve">-- applies to the owner too</w:t>
      </w:r>
      <w:r>
        <w:br/>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vouchers</w:t>
      </w:r>
      <w:r>
        <w:br/>
      </w:r>
      <w:r>
        <w:rPr>
          <w:rStyle w:val="NormalTok"/>
        </w:rPr>
        <w:t xml:space="preserve">  </w:t>
      </w:r>
      <w:r>
        <w:rPr>
          <w:rStyle w:val="KeywordTok"/>
        </w:rPr>
        <w:t xml:space="preserve">USING</w:t>
      </w:r>
      <w:r>
        <w:rPr>
          <w:rStyle w:val="NormalTok"/>
        </w:rPr>
        <w:t xml:space="preserve">       (</w:t>
      </w:r>
      <w:r>
        <w:rPr>
          <w:rStyle w:val="OtherTok"/>
        </w:rPr>
        <w:t xml:space="preserve">"organizationId"</w:t>
      </w:r>
      <w:r>
        <w:rPr>
          <w:rStyle w:val="NormalTok"/>
        </w:rPr>
        <w:t xml:space="preserve"> </w:t>
      </w:r>
      <w:r>
        <w:rPr>
          <w:rStyle w:val="OperatorTok"/>
        </w:rPr>
        <w:t xml:space="preserve">=</w:t>
      </w:r>
      <w:r>
        <w:rPr>
          <w:rStyle w:val="NormalTok"/>
        </w:rPr>
        <w:t xml:space="preserve"> current_setting(</w:t>
      </w:r>
      <w:r>
        <w:rPr>
          <w:rStyle w:val="StringTok"/>
        </w:rPr>
        <w:t xml:space="preserve">'app.current_org'</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OtherTok"/>
        </w:rPr>
        <w:t xml:space="preserve">"organizationId"</w:t>
      </w:r>
      <w:r>
        <w:rPr>
          <w:rStyle w:val="NormalTok"/>
        </w:rPr>
        <w:t xml:space="preserve"> </w:t>
      </w:r>
      <w:r>
        <w:rPr>
          <w:rStyle w:val="OperatorTok"/>
        </w:rPr>
        <w:t xml:space="preserve">=</w:t>
      </w:r>
      <w:r>
        <w:rPr>
          <w:rStyle w:val="NormalTok"/>
        </w:rPr>
        <w:t xml:space="preserve"> current_setting(</w:t>
      </w:r>
      <w:r>
        <w:rPr>
          <w:rStyle w:val="StringTok"/>
        </w:rPr>
        <w:t xml:space="preserve">'app.current_org'</w:t>
      </w:r>
      <w:r>
        <w:rPr>
          <w:rStyle w:val="NormalTok"/>
        </w:rPr>
        <w:t xml:space="preserve">, </w:t>
      </w:r>
      <w:r>
        <w:rPr>
          <w:rStyle w:val="KeywordTok"/>
        </w:rPr>
        <w:t xml:space="preserve">true</w:t>
      </w:r>
      <w:r>
        <w:rPr>
          <w:rStyle w:val="Normal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Clause</w:t>
            </w:r>
          </w:p>
        </w:tc>
        <w:tc>
          <w:tcPr/>
          <w:p>
            <w:pPr>
              <w:pStyle w:val="Compact"/>
            </w:pPr>
            <w:r>
              <w:t xml:space="preserve">Prevents</w:t>
            </w:r>
          </w:p>
        </w:tc>
      </w:tr>
      <w:tr>
        <w:tc>
          <w:tcPr/>
          <w:p>
            <w:pPr>
              <w:pStyle w:val="Compact"/>
            </w:pPr>
            <w:r>
              <w:rPr>
                <w:rStyle w:val="VerbatimChar"/>
              </w:rPr>
              <w:t xml:space="preserve">USING</w:t>
            </w:r>
          </w:p>
        </w:tc>
        <w:tc>
          <w:tcPr/>
          <w:p>
            <w:pPr>
              <w:pStyle w:val="Compact"/>
            </w:pPr>
            <w:r>
              <w:rPr>
                <w:b/>
                <w:bCs/>
              </w:rPr>
              <w:t xml:space="preserve">Reading</w:t>
            </w:r>
            <w:r>
              <w:t xml:space="preserve"> </w:t>
            </w:r>
            <w:r>
              <w:t xml:space="preserve">another tenant’s rows</w:t>
            </w:r>
          </w:p>
        </w:tc>
      </w:tr>
      <w:tr>
        <w:tc>
          <w:tcPr/>
          <w:p>
            <w:pPr>
              <w:pStyle w:val="Compact"/>
            </w:pPr>
            <w:r>
              <w:rPr>
                <w:rStyle w:val="VerbatimChar"/>
              </w:rPr>
              <w:t xml:space="preserve">WITH CHECK</w:t>
            </w:r>
          </w:p>
        </w:tc>
        <w:tc>
          <w:tcPr/>
          <w:p>
            <w:pPr>
              <w:pStyle w:val="Compact"/>
            </w:pPr>
            <w:r>
              <w:rPr>
                <w:b/>
                <w:bCs/>
              </w:rPr>
              <w:t xml:space="preserve">Writing</w:t>
            </w:r>
            <w:r>
              <w:t xml:space="preserve"> </w:t>
            </w:r>
            <w:r>
              <w:t xml:space="preserve">a row belonging to another tenant — including an</w:t>
            </w:r>
            <w:r>
              <w:t xml:space="preserve"> </w:t>
            </w:r>
            <w:r>
              <w:rPr>
                <w:rStyle w:val="VerbatimChar"/>
              </w:rPr>
              <w:t xml:space="preserve">UPDATE</w:t>
            </w:r>
            <w:r>
              <w:t xml:space="preserve"> </w:t>
            </w:r>
            <w:r>
              <w:t xml:space="preserve">that moves a row out of your tenant</w:t>
            </w:r>
          </w:p>
        </w:tc>
      </w:tr>
      <w:tr>
        <w:tc>
          <w:tcPr/>
          <w:p>
            <w:pPr>
              <w:pStyle w:val="Compact"/>
            </w:pPr>
            <w:r>
              <w:rPr>
                <w:rStyle w:val="VerbatimChar"/>
              </w:rPr>
              <w:t xml:space="preserve">FORCE</w:t>
            </w:r>
          </w:p>
        </w:tc>
        <w:tc>
          <w:tcPr/>
          <w:p>
            <w:pPr>
              <w:pStyle w:val="Compact"/>
            </w:pPr>
            <w:r>
              <w:t xml:space="preserve">The table owner silently bypassing the policy</w:t>
            </w:r>
          </w:p>
        </w:tc>
      </w:tr>
      <w:tr>
        <w:tc>
          <w:tcPr/>
          <w:p>
            <w:pPr>
              <w:pStyle w:val="Compact"/>
            </w:pPr>
            <w:r>
              <w:rPr>
                <w:rStyle w:val="VerbatimChar"/>
              </w:rPr>
              <w:t xml:space="preserve">current_setting(…, true)</w:t>
            </w:r>
          </w:p>
        </w:tc>
        <w:tc>
          <w:tcPr/>
          <w:p>
            <w:pPr>
              <w:pStyle w:val="Compact"/>
            </w:pPr>
            <w:r>
              <w:t xml:space="preserve">The missing-setting case raising an error; it returns NULL, which matches nothing → zero rows</w:t>
            </w:r>
          </w:p>
        </w:tc>
      </w:tr>
    </w:tbl>
    <w:p>
      <w:pPr>
        <w:pStyle w:val="BodyText"/>
      </w:pPr>
      <w:r>
        <w:t xml:space="preserve">Global reference tables (</w:t>
      </w:r>
      <w:r>
        <w:rPr>
          <w:rStyle w:val="VerbatimChar"/>
        </w:rPr>
        <w:t xml:space="preserve">currencies</w:t>
      </w:r>
      <w:r>
        <w:t xml:space="preserve">,</w:t>
      </w:r>
      <w:r>
        <w:t xml:space="preserve"> </w:t>
      </w:r>
      <w:r>
        <w:rPr>
          <w:rStyle w:val="VerbatimChar"/>
        </w:rPr>
        <w:t xml:space="preserve">exchange_rates</w:t>
      </w:r>
      <w:r>
        <w:t xml:space="preserve">,</w:t>
      </w:r>
      <w:r>
        <w:t xml:space="preserve"> </w:t>
      </w:r>
      <w:r>
        <w:rPr>
          <w:rStyle w:val="VerbatimChar"/>
        </w:rPr>
        <w:t xml:space="preserve">hsn_codes</w:t>
      </w:r>
      <w:r>
        <w:t xml:space="preserve">) get</w:t>
      </w:r>
      <w:r>
        <w:t xml:space="preserve"> </w:t>
      </w:r>
      <w:r>
        <w:rPr>
          <w:b/>
          <w:bCs/>
        </w:rPr>
        <w:t xml:space="preserve">no policy and no write grant</w:t>
      </w:r>
      <w:r>
        <w:t xml:space="preserve"> </w:t>
      </w:r>
      <w:r>
        <w:t xml:space="preserve">— only</w:t>
      </w:r>
      <w:r>
        <w:t xml:space="preserve"> </w:t>
      </w:r>
      <w:r>
        <w:rPr>
          <w:rStyle w:val="VerbatimChar"/>
        </w:rPr>
        <w:t xml:space="preserve">GRANT SELECT</w:t>
      </w:r>
      <w:r>
        <w:t xml:space="preserve">. That is simpler and stronger than a permissive policy.</w:t>
      </w:r>
    </w:p>
    <w:bookmarkEnd w:id="95"/>
    <w:bookmarkStart w:id="96" w:name="the-single-choke-point"/>
    <w:p>
      <w:pPr>
        <w:pStyle w:val="Heading3"/>
      </w:pPr>
      <w:r>
        <w:t xml:space="preserve">13.4 The single choke point</w:t>
      </w:r>
    </w:p>
    <w:p>
      <w:pPr>
        <w:pStyle w:val="FirstParagraph"/>
      </w:pPr>
      <w:r>
        <w:rPr>
          <w:b/>
          <w:bCs/>
        </w:rPr>
        <w:t xml:space="preserve">[JUDGEMENT]</w:t>
      </w:r>
      <w:r>
        <w:t xml:space="preserve"> </w:t>
      </w:r>
      <w:r>
        <w:t xml:space="preserve">RLS only holds if every query goes through a client that sets the context. That requires making the unscoped client unreachable:</w:t>
      </w:r>
    </w:p>
    <w:p>
      <w:pPr>
        <w:pStyle w:val="SourceCode"/>
      </w:pPr>
      <w:r>
        <w:rPr>
          <w:rStyle w:val="CommentTok"/>
        </w:rPr>
        <w:t xml:space="preserve">// src/backend/db/index.ts — the ONLY module that constructs a client.</w:t>
      </w:r>
      <w:r>
        <w:br/>
      </w:r>
      <w:r>
        <w:rPr>
          <w:rStyle w:val="CommentTok"/>
        </w:rPr>
        <w:t xml:space="preserve">// The raw client is module-private and never exported.</w:t>
      </w:r>
      <w:r>
        <w:br/>
      </w:r>
      <w:r>
        <w:rPr>
          <w:rStyle w:val="KeywordTok"/>
        </w:rPr>
        <w:t xml:space="preserve">const</w:t>
      </w:r>
      <w:r>
        <w:rPr>
          <w:rStyle w:val="NormalTok"/>
        </w:rPr>
        <w:t xml:space="preserve"> raw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 adapter })</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db</w:t>
      </w:r>
      <w:r>
        <w:rPr>
          <w:rStyle w:val="NormalTok"/>
        </w:rPr>
        <w:t xml:space="preserve">()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tenantContext</w:t>
      </w:r>
      <w:r>
        <w:rPr>
          <w:rStyle w:val="OperatorTok"/>
        </w:rPr>
        <w:t xml:space="preserve">.</w:t>
      </w:r>
      <w:r>
        <w:rPr>
          <w:rStyle w:val="FunctionTok"/>
        </w:rPr>
        <w:t xml:space="preserve">getStore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w:t>
      </w:r>
      <w:r>
        <w:rPr>
          <w:rStyle w:val="OperatorTok"/>
        </w:rPr>
        <w:t xml:space="preserve">?.</w:t>
      </w:r>
      <w:r>
        <w:rPr>
          <w:rStyle w:val="AttributeTok"/>
        </w:rPr>
        <w:t xml:space="preserve">tenantId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MissingTenantContextError</w:t>
      </w:r>
      <w:r>
        <w:rPr>
          <w:rStyle w:val="NormalTok"/>
        </w:rPr>
        <w:t xml:space="preserve">()</w:t>
      </w:r>
      <w:r>
        <w:rPr>
          <w:rStyle w:val="OperatorTok"/>
        </w:rPr>
        <w:t xml:space="preserve">;</w:t>
      </w:r>
      <w:r>
        <w:rPr>
          <w:rStyle w:val="NormalTok"/>
        </w:rPr>
        <w:t xml:space="preserve">   </w:t>
      </w:r>
      <w:r>
        <w:rPr>
          <w:rStyle w:val="CommentTok"/>
        </w:rPr>
        <w:t xml:space="preserve">// fail loud, not silently global</w:t>
      </w:r>
      <w:r>
        <w:br/>
      </w:r>
      <w:r>
        <w:rPr>
          <w:rStyle w:val="NormalTok"/>
        </w:rPr>
        <w:t xml:space="preserve">  }</w:t>
      </w:r>
      <w:r>
        <w:br/>
      </w:r>
      <w:r>
        <w:rPr>
          <w:rStyle w:val="NormalTok"/>
        </w:rPr>
        <w:t xml:space="preserve">  </w:t>
      </w:r>
      <w:r>
        <w:rPr>
          <w:rStyle w:val="ControlFlowTok"/>
        </w:rPr>
        <w:t xml:space="preserve">return</w:t>
      </w:r>
      <w:r>
        <w:rPr>
          <w:rStyle w:val="NormalTok"/>
        </w:rPr>
        <w:t xml:space="preserve"> raw</w:t>
      </w:r>
      <w:r>
        <w:rPr>
          <w:rStyle w:val="OperatorTok"/>
        </w:rPr>
        <w:t xml:space="preserve">.</w:t>
      </w:r>
      <w:r>
        <w:rPr>
          <w:rStyle w:val="FunctionTok"/>
        </w:rPr>
        <w:t xml:space="preserve">$extends</w:t>
      </w:r>
      <w:r>
        <w:rPr>
          <w:rStyle w:val="NormalTok"/>
        </w:rPr>
        <w:t xml:space="preserve">(</w:t>
      </w:r>
      <w:r>
        <w:rPr>
          <w:rStyle w:val="FunctionTok"/>
        </w:rPr>
        <w:t xml:space="preserve">tenantScoped</w:t>
      </w:r>
      <w:r>
        <w:rPr>
          <w:rStyle w:val="NormalTok"/>
        </w:rPr>
        <w:t xml:space="preserve">(ctx</w:t>
      </w:r>
      <w:r>
        <w:rPr>
          <w:rStyle w:val="OperatorTok"/>
        </w:rPr>
        <w:t xml:space="preserve">.</w:t>
      </w:r>
      <w:r>
        <w:rPr>
          <w:rStyle w:val="AttributeTok"/>
        </w:rPr>
        <w:t xml:space="preserve">tenantId</w:t>
      </w:r>
      <w:r>
        <w:rPr>
          <w:rStyle w:val="NormalTok"/>
        </w:rPr>
        <w:t xml:space="preserve">))</w:t>
      </w:r>
      <w:r>
        <w:rPr>
          <w:rStyle w:val="OperatorTok"/>
        </w:rPr>
        <w:t xml:space="preserve">;</w:t>
      </w:r>
      <w:r>
        <w:br/>
      </w:r>
      <w:r>
        <w:rPr>
          <w:rStyle w:val="NormalTok"/>
        </w:rPr>
        <w:t xml:space="preserve">}</w:t>
      </w:r>
      <w:r>
        <w:br/>
      </w:r>
      <w:r>
        <w:br/>
      </w:r>
      <w:r>
        <w:rPr>
          <w:rStyle w:val="CommentTok"/>
        </w:rPr>
        <w:t xml:space="preserve">// Platform queries use a different client, against a different database,</w:t>
      </w:r>
      <w:r>
        <w:br/>
      </w:r>
      <w:r>
        <w:rPr>
          <w:rStyle w:val="CommentTok"/>
        </w:rPr>
        <w:t xml:space="preserve">// with a different schema — so the type system forbids joining them.</w:t>
      </w:r>
      <w:r>
        <w:br/>
      </w:r>
      <w:r>
        <w:rPr>
          <w:rStyle w:val="ImportTok"/>
        </w:rPr>
        <w:t xml:space="preserve">export</w:t>
      </w:r>
      <w:r>
        <w:rPr>
          <w:rStyle w:val="NormalTok"/>
        </w:rPr>
        <w:t xml:space="preserve"> </w:t>
      </w:r>
      <w:r>
        <w:rPr>
          <w:rStyle w:val="KeywordTok"/>
        </w:rPr>
        <w:t xml:space="preserve">const</w:t>
      </w:r>
      <w:r>
        <w:rPr>
          <w:rStyle w:val="NormalTok"/>
        </w:rPr>
        <w:t xml:space="preserve"> platformDb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 datasourceUrl</w:t>
      </w:r>
      <w:r>
        <w:rPr>
          <w:rStyle w:val="OperatorTok"/>
        </w:rPr>
        <w:t xml:space="preserve">:</w:t>
      </w:r>
      <w:r>
        <w:rPr>
          <w:rStyle w:val="NormalTok"/>
        </w:rPr>
        <w:t xml:space="preserve"> PLATFORM_URL })</w:t>
      </w:r>
      <w:r>
        <w:rPr>
          <w:rStyle w:val="OperatorTok"/>
        </w:rPr>
        <w:t xml:space="preserve">;</w:t>
      </w:r>
    </w:p>
    <w:p>
      <w:pPr>
        <w:pStyle w:val="FirstParagraph"/>
      </w:pPr>
      <w:r>
        <w:t xml:space="preserve">Enforced by an ESLint rule and a CI test:</w:t>
      </w:r>
      <w:r>
        <w:t xml:space="preserve"> </w:t>
      </w:r>
      <w:r>
        <w:rPr>
          <w:b/>
          <w:bCs/>
        </w:rPr>
        <w:t xml:space="preserve">no import of</w:t>
      </w:r>
      <w:r>
        <w:rPr>
          <w:b/>
          <w:bCs/>
        </w:rPr>
        <w:t xml:space="preserve"> </w:t>
      </w:r>
      <w:r>
        <w:rPr>
          <w:rStyle w:val="VerbatimChar"/>
          <w:b/>
          <w:bCs/>
        </w:rPr>
        <w:t xml:space="preserve">PrismaClient</w:t>
      </w:r>
      <w:r>
        <w:rPr>
          <w:b/>
          <w:bCs/>
        </w:rPr>
        <w:t xml:space="preserve"> </w:t>
      </w:r>
      <w:r>
        <w:rPr>
          <w:b/>
          <w:bCs/>
        </w:rPr>
        <w:t xml:space="preserve">outside</w:t>
      </w:r>
      <w:r>
        <w:rPr>
          <w:b/>
          <w:bCs/>
        </w:rPr>
        <w:t xml:space="preserve"> </w:t>
      </w:r>
      <w:r>
        <w:rPr>
          <w:rStyle w:val="VerbatimChar"/>
          <w:b/>
          <w:bCs/>
        </w:rPr>
        <w:t xml:space="preserve">src/backend/db/</w:t>
      </w:r>
      <w:r>
        <w:rPr>
          <w:b/>
          <w:bCs/>
        </w:rPr>
        <w:t xml:space="preserve">.</w:t>
      </w:r>
      <w:r>
        <w:t xml:space="preserve"> </w:t>
      </w:r>
      <w:r>
        <w:t xml:space="preserve">Rule M5 of §6.2.</w:t>
      </w:r>
    </w:p>
    <w:bookmarkEnd w:id="96"/>
    <w:bookmarkStart w:id="97" w:name="transaction-shape"/>
    <w:p>
      <w:pPr>
        <w:pStyle w:val="Heading3"/>
      </w:pPr>
      <w:r>
        <w:t xml:space="preserve">13.5 Transaction shape</w:t>
      </w:r>
    </w:p>
    <w:p>
      <w:pPr>
        <w:pStyle w:val="FirstParagraph"/>
      </w:pPr>
      <w:r>
        <w:t xml:space="preserve">Because context is transaction-local, every operation is a transaction. The naive implementation costs an extra round trip per query; batching removes it:</w:t>
      </w:r>
    </w:p>
    <w:p>
      <w:pPr>
        <w:pStyle w:val="SourceCode"/>
      </w:pPr>
      <w:r>
        <w:rPr>
          <w:rStyle w:val="CommentTok"/>
        </w:rPr>
        <w:t xml:space="preserve">// One round trip carries the context and the statement together.</w:t>
      </w:r>
      <w:r>
        <w:br/>
      </w:r>
      <w:r>
        <w:rPr>
          <w:rStyle w:val="ControlFlowTok"/>
        </w:rPr>
        <w:t xml:space="preserve">await</w:t>
      </w:r>
      <w:r>
        <w:rPr>
          <w:rStyle w:val="NormalTok"/>
        </w:rPr>
        <w:t xml:space="preserve"> raw</w:t>
      </w:r>
      <w:r>
        <w:rPr>
          <w:rStyle w:val="OperatorTok"/>
        </w:rPr>
        <w:t xml:space="preserve">.</w:t>
      </w:r>
      <w:r>
        <w:rPr>
          <w:rStyle w:val="FunctionTok"/>
        </w:rPr>
        <w:t xml:space="preserve">$transaction</w:t>
      </w:r>
      <w:r>
        <w:rPr>
          <w:rStyle w:val="NormalTok"/>
        </w:rPr>
        <w:t xml:space="preserve">([</w:t>
      </w:r>
      <w:r>
        <w:br/>
      </w:r>
      <w:r>
        <w:rPr>
          <w:rStyle w:val="NormalTok"/>
        </w:rPr>
        <w:t xml:space="preserve">  raw</w:t>
      </w:r>
      <w:r>
        <w:rPr>
          <w:rStyle w:val="OperatorTok"/>
        </w:rPr>
        <w:t xml:space="preserve">.</w:t>
      </w:r>
      <w:r>
        <w:rPr>
          <w:rStyle w:val="FunctionTok"/>
        </w:rPr>
        <w:t xml:space="preserve">$executeRaw</w:t>
      </w:r>
      <w:r>
        <w:rPr>
          <w:rStyle w:val="VerbatimStringTok"/>
        </w:rPr>
        <w:t xml:space="preserve">`SELECT set_config('app.current_org', </w:t>
      </w:r>
      <w:r>
        <w:rPr>
          <w:rStyle w:val="SpecialCharTok"/>
        </w:rPr>
        <w:t xml:space="preserve">${</w:t>
      </w:r>
      <w:r>
        <w:rPr>
          <w:rStyle w:val="NormalTok"/>
        </w:rPr>
        <w:t xml:space="preserve">tenantId</w:t>
      </w:r>
      <w:r>
        <w:rPr>
          <w:rStyle w:val="SpecialCharTok"/>
        </w:rPr>
        <w:t xml:space="preserve">}</w:t>
      </w:r>
      <w:r>
        <w:rPr>
          <w:rStyle w:val="VerbatimStringTok"/>
        </w:rPr>
        <w:t xml:space="preserve">, true)`</w:t>
      </w:r>
      <w:r>
        <w:rPr>
          <w:rStyle w:val="OperatorTok"/>
        </w:rPr>
        <w:t xml:space="preserve">,</w:t>
      </w:r>
      <w:r>
        <w:br/>
      </w:r>
      <w:r>
        <w:rPr>
          <w:rStyle w:val="NormalTok"/>
        </w:rPr>
        <w:t xml:space="preserve">  raw</w:t>
      </w:r>
      <w:r>
        <w:rPr>
          <w:rStyle w:val="OperatorTok"/>
        </w:rPr>
        <w:t xml:space="preserve">.</w:t>
      </w:r>
      <w:r>
        <w:rPr>
          <w:rStyle w:val="AttributeTok"/>
        </w:rPr>
        <w:t xml:space="preserve">invoice</w:t>
      </w:r>
      <w:r>
        <w:rPr>
          <w:rStyle w:val="OperatorTok"/>
        </w:rPr>
        <w:t xml:space="preserve">.</w:t>
      </w:r>
      <w:r>
        <w:rPr>
          <w:rStyle w:val="FunctionTok"/>
        </w:rPr>
        <w:t xml:space="preserve">findMany</w:t>
      </w:r>
      <w:r>
        <w:rPr>
          <w:rStyle w:val="NormalTok"/>
        </w:rPr>
        <w:t xml:space="preserve">({ where</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"OVERDUE"</w:t>
      </w:r>
      <w:r>
        <w:rPr>
          <w:rStyle w:val="NormalTok"/>
        </w:rPr>
        <w:t xml:space="preserve"> } })</w:t>
      </w:r>
      <w:r>
        <w:rPr>
          <w:rStyle w:val="OperatorTok"/>
        </w:rPr>
        <w:t xml:space="preserve">,</w:t>
      </w:r>
      <w:r>
        <w:rPr>
          <w:rStyle w:val="NormalTok"/>
        </w:rPr>
        <w:t xml:space="preserve">   </w:t>
      </w:r>
      <w:r>
        <w:rPr>
          <w:rStyle w:val="CommentTok"/>
        </w:rPr>
        <w:t xml:space="preserve">// policy applies</w:t>
      </w:r>
      <w:r>
        <w:br/>
      </w:r>
      <w:r>
        <w:rPr>
          <w:rStyle w:val="NormalTok"/>
        </w:rPr>
        <w:t xml:space="preserve">])</w:t>
      </w:r>
      <w:r>
        <w:rPr>
          <w:rStyle w:val="OperatorTok"/>
        </w:rPr>
        <w:t xml:space="preserve">;</w:t>
      </w:r>
    </w:p>
    <w:p>
      <w:pPr>
        <w:pStyle w:val="FirstParagraph"/>
      </w:pPr>
      <w:r>
        <w:rPr>
          <w:b/>
          <w:bCs/>
        </w:rPr>
        <w:t xml:space="preserve">[VERIFIED-REPO]</w:t>
      </w:r>
      <w:r>
        <w:t xml:space="preserve"> </w:t>
      </w:r>
      <w:r>
        <w:t xml:space="preserve">The codebase already uses a 20 s transaction timeout with 10 s maxWait, with the reasoning recorded — multi-step GL posting exceeds Prisma’s 5 s default against a cold pooler. That tuning stays.</w:t>
      </w:r>
    </w:p>
    <w:bookmarkEnd w:id="97"/>
    <w:bookmarkStart w:id="98" w:name="rollout-and-budget"/>
    <w:p>
      <w:pPr>
        <w:pStyle w:val="Heading3"/>
      </w:pPr>
      <w:r>
        <w:t xml:space="preserve">13.6 Rollout and budget</w:t>
      </w:r>
    </w:p>
    <w:p>
      <w:pPr>
        <w:pStyle w:val="FirstParagraph"/>
      </w:pPr>
      <w:r>
        <w:rPr>
          <w:b/>
          <w:bCs/>
        </w:rPr>
        <w:t xml:space="preserve">[JUDGEMENT]</w:t>
      </w:r>
      <w:r>
        <w:t xml:space="preserve"> </w:t>
      </w:r>
      <w:r>
        <w:t xml:space="preserve">RLS is the highest-execution-risk change in the whole programme, because a mistake returns zero rows — or, far worse, the wrong rows. It rolls out per table, behind a flag, in this order:</w:t>
      </w:r>
    </w:p>
    <w:p>
      <w:pPr>
        <w:pStyle w:val="Compact"/>
        <w:numPr>
          <w:ilvl w:val="0"/>
          <w:numId w:val="1003"/>
        </w:numPr>
      </w:pPr>
      <w:r>
        <w:t xml:space="preserve">Low-traffic masters first (</w:t>
      </w:r>
      <w:r>
        <w:rPr>
          <w:rStyle w:val="VerbatimChar"/>
        </w:rPr>
        <w:t xml:space="preserve">voucher_types</w:t>
      </w:r>
      <w:r>
        <w:t xml:space="preserve">,</w:t>
      </w:r>
      <w:r>
        <w:t xml:space="preserve"> </w:t>
      </w:r>
      <w:r>
        <w:rPr>
          <w:rStyle w:val="VerbatimChar"/>
        </w:rPr>
        <w:t xml:space="preserve">warehouses</w:t>
      </w:r>
      <w:r>
        <w:t xml:space="preserve">,</w:t>
      </w:r>
      <w:r>
        <w:t xml:space="preserve"> </w:t>
      </w:r>
      <w:r>
        <w:rPr>
          <w:rStyle w:val="VerbatimChar"/>
        </w:rPr>
        <w:t xml:space="preserve">cost_centers</w:t>
      </w:r>
      <w:r>
        <w:t xml:space="preserve">) — validate the mechanism where a mistake is cheap</w:t>
      </w:r>
    </w:p>
    <w:p>
      <w:pPr>
        <w:pStyle w:val="Compact"/>
        <w:numPr>
          <w:ilvl w:val="0"/>
          <w:numId w:val="1003"/>
        </w:numPr>
      </w:pPr>
      <w:r>
        <w:t xml:space="preserve">Then transactional parents (</w:t>
      </w:r>
      <w:r>
        <w:rPr>
          <w:rStyle w:val="VerbatimChar"/>
        </w:rPr>
        <w:t xml:space="preserve">vouchers</w:t>
      </w:r>
      <w:r>
        <w:t xml:space="preserve">,</w:t>
      </w:r>
      <w:r>
        <w:t xml:space="preserve"> </w:t>
      </w:r>
      <w:r>
        <w:rPr>
          <w:rStyle w:val="VerbatimChar"/>
        </w:rPr>
        <w:t xml:space="preserve">invoices</w:t>
      </w:r>
      <w:r>
        <w:t xml:space="preserve">,</w:t>
      </w:r>
      <w:r>
        <w:t xml:space="preserve"> </w:t>
      </w:r>
      <w:r>
        <w:rPr>
          <w:rStyle w:val="VerbatimChar"/>
        </w:rPr>
        <w:t xml:space="preserve">bills</w:t>
      </w:r>
      <w:r>
        <w:t xml:space="preserve">)</w:t>
      </w:r>
    </w:p>
    <w:p>
      <w:pPr>
        <w:pStyle w:val="Compact"/>
        <w:numPr>
          <w:ilvl w:val="0"/>
          <w:numId w:val="1003"/>
        </w:numPr>
      </w:pPr>
      <w:r>
        <w:t xml:space="preserve">Then high-volume children (</w:t>
      </w:r>
      <w:r>
        <w:rPr>
          <w:rStyle w:val="VerbatimChar"/>
        </w:rPr>
        <w:t xml:space="preserve">voucher_entries</w:t>
      </w:r>
      <w:r>
        <w:t xml:space="preserve">,</w:t>
      </w:r>
      <w:r>
        <w:t xml:space="preserve"> </w:t>
      </w:r>
      <w:r>
        <w:rPr>
          <w:rStyle w:val="VerbatimChar"/>
        </w:rPr>
        <w:t xml:space="preserve">stock_movements</w:t>
      </w:r>
      <w:r>
        <w:t xml:space="preserve">) — only after the isolation matrix is green</w:t>
      </w:r>
    </w:p>
    <w:p>
      <w:pPr>
        <w:pStyle w:val="Compact"/>
        <w:numPr>
          <w:ilvl w:val="0"/>
          <w:numId w:val="1003"/>
        </w:numPr>
      </w:pPr>
      <w:r>
        <w:t xml:space="preserve">Append-only last (</w:t>
      </w:r>
      <w:r>
        <w:rPr>
          <w:rStyle w:val="VerbatimChar"/>
        </w:rPr>
        <w:t xml:space="preserve">audit_logs</w:t>
      </w:r>
      <w:r>
        <w:t xml:space="preserve">)</w:t>
      </w:r>
    </w:p>
    <w:p>
      <w:pPr>
        <w:pStyle w:val="FirstParagraph"/>
      </w:pPr>
      <w:r>
        <w:rPr>
          <w:b/>
          <w:bCs/>
        </w:rPr>
        <w:t xml:space="preserve">Overhead budget: ≤5 ms at p95</w:t>
      </w:r>
      <w:r>
        <w:t xml:space="preserve"> </w:t>
      </w:r>
      <w:r>
        <w:t xml:space="preserve">for the added predicate, measured per table before enabling the next. If a table exceeds it, the cause is almost always an index that does not lead with</w:t>
      </w:r>
      <w:r>
        <w:t xml:space="preserve"> </w:t>
      </w:r>
      <w:r>
        <w:rPr>
          <w:rStyle w:val="VerbatimChar"/>
        </w:rPr>
        <w:t xml:space="preserve">organizationId</w:t>
      </w:r>
      <w:r>
        <w:t xml:space="preserve"> </w:t>
      </w:r>
      <w:r>
        <w:t xml:space="preserve">(§8.4) — fix the index rather than dropping the policy. If it genuinely cannot be met, narrow the scope table-by-table,</w:t>
      </w:r>
      <w:r>
        <w:t xml:space="preserve"> </w:t>
      </w:r>
      <w:r>
        <w:rPr>
          <w:b/>
          <w:bCs/>
        </w:rPr>
        <w:t xml:space="preserve">deliberately and in writing</w:t>
      </w:r>
      <w:r>
        <w:t xml:space="preserve">, recording which tables have only application-layer protection.</w:t>
      </w:r>
    </w:p>
    <w:bookmarkEnd w:id="98"/>
    <w:bookmarkStart w:id="99" w:name="what-rls-does-not-solve"/>
    <w:p>
      <w:pPr>
        <w:pStyle w:val="Heading3"/>
      </w:pPr>
      <w:r>
        <w:t xml:space="preserve">13.7 What RLS does not solve</w:t>
      </w:r>
    </w:p>
    <w:p>
      <w:pPr>
        <w:pStyle w:val="FirstParagraph"/>
      </w:pPr>
      <w:r>
        <w:rPr>
          <w:b/>
          <w:bCs/>
        </w:rPr>
        <w:t xml:space="preserve">[JUDGEMENT]</w:t>
      </w:r>
      <w:r>
        <w:t xml:space="preserve"> </w:t>
      </w:r>
      <w:r>
        <w:t xml:space="preserve">Stating the limits honestly, because a control believed to be total is more dangerous than one understood: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solved</w:t>
            </w:r>
          </w:p>
        </w:tc>
        <w:tc>
          <w:tcPr/>
          <w:p>
            <w:pPr>
              <w:pStyle w:val="Compact"/>
            </w:pPr>
            <w:r>
              <w:t xml:space="preserve">Mitigation</w:t>
            </w:r>
          </w:p>
        </w:tc>
      </w:tr>
      <w:tr>
        <w:tc>
          <w:tcPr/>
          <w:p>
            <w:pPr>
              <w:pStyle w:val="Compact"/>
            </w:pPr>
            <w:r>
              <w:t xml:space="preserve">A compromised application credential with a valid tenant context</w:t>
            </w:r>
          </w:p>
        </w:tc>
        <w:tc>
          <w:tcPr/>
          <w:p>
            <w:pPr>
              <w:pStyle w:val="Compact"/>
            </w:pPr>
            <w:r>
              <w:t xml:space="preserve">Rate limits, anomaly detection, audit; RLS narrows the blast radius to one tenant</w:t>
            </w:r>
          </w:p>
        </w:tc>
      </w:tr>
      <w:tr>
        <w:tc>
          <w:tcPr/>
          <w:p>
            <w:pPr>
              <w:pStyle w:val="Compact"/>
            </w:pPr>
            <w:r>
              <w:t xml:space="preserve">A bug that sets the</w:t>
            </w:r>
            <w:r>
              <w:t xml:space="preserve"> </w:t>
            </w:r>
            <w:r>
              <w:rPr>
                <w:i/>
                <w:iCs/>
              </w:rPr>
              <w:t xml:space="preserve">wrong but valid</w:t>
            </w:r>
            <w:r>
              <w:t xml:space="preserve"> </w:t>
            </w:r>
            <w:r>
              <w:t xml:space="preserve">tenant</w:t>
            </w:r>
          </w:p>
        </w:tc>
        <w:tc>
          <w:tcPr/>
          <w:p>
            <w:pPr>
              <w:pStyle w:val="Compact"/>
            </w:pPr>
            <w:r>
              <w:t xml:space="preserve">Gate 2 — membership is checked before context is set. This is why the order in §9 is fixed</w:t>
            </w:r>
          </w:p>
        </w:tc>
      </w:tr>
      <w:tr>
        <w:tc>
          <w:tcPr/>
          <w:p>
            <w:pPr>
              <w:pStyle w:val="Compact"/>
            </w:pPr>
            <w:r>
              <w:t xml:space="preserve">Reading another tenant’s data through an</w:t>
            </w:r>
            <w:r>
              <w:t xml:space="preserve"> </w:t>
            </w:r>
            <w:r>
              <w:rPr>
                <w:i/>
                <w:iCs/>
              </w:rPr>
              <w:t xml:space="preserve">aggregate</w:t>
            </w:r>
            <w:r>
              <w:t xml:space="preserve"> </w:t>
            </w:r>
            <w:r>
              <w:t xml:space="preserve">the app computes</w:t>
            </w:r>
          </w:p>
        </w:tc>
        <w:tc>
          <w:tcPr/>
          <w:p>
            <w:pPr>
              <w:pStyle w:val="Compact"/>
            </w:pPr>
            <w:r>
              <w:t xml:space="preserve">Summary tables carry</w:t>
            </w:r>
            <w:r>
              <w:t xml:space="preserve"> </w:t>
            </w:r>
            <w:r>
              <w:rPr>
                <w:rStyle w:val="VerbatimChar"/>
              </w:rPr>
              <w:t xml:space="preserve">organizationId</w:t>
            </w:r>
            <w:r>
              <w:t xml:space="preserve"> </w:t>
            </w:r>
            <w:r>
              <w:t xml:space="preserve">and are covered by policy like any other table</w:t>
            </w:r>
          </w:p>
        </w:tc>
      </w:tr>
      <w:tr>
        <w:tc>
          <w:tcPr/>
          <w:p>
            <w:pPr>
              <w:pStyle w:val="Compact"/>
            </w:pPr>
            <w:r>
              <w:t xml:space="preserve">Object storage</w:t>
            </w:r>
          </w:p>
        </w:tc>
        <w:tc>
          <w:tcPr/>
          <w:p>
            <w:pPr>
              <w:pStyle w:val="Compact"/>
            </w:pPr>
            <w:r>
              <w:t xml:space="preserve">Storage is not Postgres. §21 handles it: authorisation by row read under RLS, never by key</w:t>
            </w:r>
          </w:p>
        </w:tc>
      </w:tr>
      <w:tr>
        <w:tc>
          <w:tcPr/>
          <w:p>
            <w:pPr>
              <w:pStyle w:val="Compact"/>
            </w:pPr>
            <w:r>
              <w:t xml:space="preserve">Logs, traces, error reports, backups</w:t>
            </w:r>
          </w:p>
        </w:tc>
        <w:tc>
          <w:tcPr/>
          <w:p>
            <w:pPr>
              <w:pStyle w:val="Compact"/>
            </w:pPr>
            <w:r>
              <w:t xml:space="preserve">§27 redaction rules and §26 backup credential separation</w:t>
            </w:r>
          </w:p>
        </w:tc>
      </w:tr>
    </w:tbl>
    <w:p>
      <w:r>
        <w:pict>
          <v:rect style="width:0;height:1.5pt" o:hralign="center" o:hrstd="t" o:hr="t"/>
        </w:pict>
      </w:r>
    </w:p>
    <w:bookmarkEnd w:id="99"/>
    <w:bookmarkEnd w:id="100"/>
    <w:bookmarkStart w:id="122" w:name="the-accounting-core"/>
    <w:p>
      <w:pPr>
        <w:pStyle w:val="Heading2"/>
      </w:pPr>
      <w:r>
        <w:t xml:space="preserve">14. The accounting core</w:t>
      </w:r>
    </w:p>
    <w:p>
      <w:pPr>
        <w:pStyle w:val="FirstParagraph"/>
      </w:pPr>
      <w:r>
        <w:rPr>
          <w:b/>
          <w:bCs/>
        </w:rPr>
        <w:t xml:space="preserve">[JUDGEMENT]</w:t>
      </w:r>
      <w:r>
        <w:t xml:space="preserve"> </w:t>
      </w:r>
      <w:r>
        <w:t xml:space="preserve">This section is the one that cannot be borrowed from a generic SaaS architecture. Everything above it is standard multi-tenancy; what follows is what makes AccuBook an accounting system rather than a CRUD application with money columns in it. Get §14.2 wrong and the tenancy design does not matter, because the numbers are wrong.</w:t>
      </w:r>
    </w:p>
    <w:bookmarkStart w:id="104" w:name="the-invariants-of-double-entry"/>
    <w:p>
      <w:pPr>
        <w:pStyle w:val="Heading3"/>
      </w:pPr>
      <w:r>
        <w:t xml:space="preserve">14.1 The invariants of double entry</w:t>
      </w:r>
    </w:p>
    <w:p>
      <w:pPr>
        <w:pStyle w:val="FirstParagraph"/>
      </w:pPr>
      <w:r>
        <w:drawing>
          <wp:inline>
            <wp:extent cx="5334000" cy="3088821"/>
            <wp:effectExtent b="0" l="0" r="0" t="0"/>
            <wp:docPr descr="" title="" id="102" name="Picture"/>
            <a:graphic>
              <a:graphicData uri="http://schemas.openxmlformats.org/drawingml/2006/picture">
                <pic:pic>
                  <pic:nvPicPr>
                    <pic:cNvPr descr="/private/tmp/claude-501/-Users-sudipto-Desktop-projects-accubook/c277cf12-a75d-42eb-a282-70d38dbc59e8/scratchpad/d14.png" id="103" name="Picture"/>
                    <pic:cNvPicPr>
                      <a:picLocks noChangeArrowheads="1" noChangeAspect="1"/>
                    </pic:cNvPicPr>
                  </pic:nvPicPr>
                  <pic:blipFill>
                    <a:blip r:embed="rId101"/>
                    <a:stretch>
                      <a:fillRect/>
                    </a:stretch>
                  </pic:blipFill>
                  <pic:spPr bwMode="auto">
                    <a:xfrm>
                      <a:off x="0" y="0"/>
                      <a:ext cx="5334000" cy="308882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Invariant</w:t>
            </w:r>
          </w:p>
        </w:tc>
        <w:tc>
          <w:tcPr/>
          <w:p>
            <w:pPr>
              <w:pStyle w:val="Compact"/>
            </w:pPr>
            <w:r>
              <w:t xml:space="preserve">Enforcement</w:t>
            </w:r>
          </w:p>
        </w:tc>
      </w:tr>
      <w:tr>
        <w:tc>
          <w:tcPr/>
          <w:p>
            <w:pPr>
              <w:pStyle w:val="Compact"/>
            </w:pPr>
            <w:r>
              <w:rPr>
                <w:b/>
                <w:bCs/>
              </w:rPr>
              <w:t xml:space="preserve">A1</w:t>
            </w:r>
          </w:p>
        </w:tc>
        <w:tc>
          <w:tcPr/>
          <w:p>
            <w:pPr>
              <w:pStyle w:val="Compact"/>
            </w:pPr>
            <w:r>
              <w:t xml:space="preserve">Every voucher balances: Σ debit = Σ credit</w:t>
            </w:r>
          </w:p>
        </w:tc>
        <w:tc>
          <w:tcPr/>
          <w:p>
            <w:pPr>
              <w:pStyle w:val="Compact"/>
            </w:pPr>
            <w:r>
              <w:rPr>
                <w:rStyle w:val="VerbatimChar"/>
              </w:rPr>
              <w:t xml:space="preserve">CHECK (totalDebit = totalCredit)</w:t>
            </w:r>
            <w:r>
              <w:t xml:space="preserve"> </w:t>
            </w:r>
            <w:r>
              <w:t xml:space="preserve">on</w:t>
            </w:r>
            <w:r>
              <w:t xml:space="preserve"> </w:t>
            </w:r>
            <w:r>
              <w:rPr>
                <w:rStyle w:val="VerbatimChar"/>
              </w:rPr>
              <w:t xml:space="preserve">vouchers</w:t>
            </w:r>
            <w:r>
              <w:t xml:space="preserve"> </w:t>
            </w:r>
            <w:r>
              <w:t xml:space="preserve">+ a deferred constraint trigger validating the sum of entries at COMMIT</w:t>
            </w:r>
          </w:p>
        </w:tc>
      </w:tr>
      <w:tr>
        <w:tc>
          <w:tcPr/>
          <w:p>
            <w:pPr>
              <w:pStyle w:val="Compact"/>
            </w:pPr>
            <w:r>
              <w:rPr>
                <w:b/>
                <w:bCs/>
              </w:rPr>
              <w:t xml:space="preserve">A2</w:t>
            </w:r>
          </w:p>
        </w:tc>
        <w:tc>
          <w:tcPr/>
          <w:p>
            <w:pPr>
              <w:pStyle w:val="Compact"/>
            </w:pPr>
            <w:r>
              <w:t xml:space="preserve">An entry is debit</w:t>
            </w:r>
            <w:r>
              <w:t xml:space="preserve"> </w:t>
            </w:r>
            <w:r>
              <w:rPr>
                <w:b/>
                <w:bCs/>
              </w:rPr>
              <w:t xml:space="preserve">or</w:t>
            </w:r>
            <w:r>
              <w:t xml:space="preserve"> </w:t>
            </w:r>
            <w:r>
              <w:t xml:space="preserve">credit, never both, never neither</w:t>
            </w:r>
          </w:p>
        </w:tc>
        <w:tc>
          <w:tcPr/>
          <w:p>
            <w:pPr>
              <w:pStyle w:val="Compact"/>
            </w:pPr>
            <w:r>
              <w:rPr>
                <w:rStyle w:val="VerbatimChar"/>
              </w:rPr>
              <w:t xml:space="preserve">CHECK ((debitAmount &gt; 0) &lt;&gt; (creditAmount &gt; 0))</w:t>
            </w:r>
          </w:p>
        </w:tc>
      </w:tr>
      <w:tr>
        <w:tc>
          <w:tcPr/>
          <w:p>
            <w:pPr>
              <w:pStyle w:val="Compact"/>
            </w:pPr>
            <w:r>
              <w:rPr>
                <w:b/>
                <w:bCs/>
              </w:rPr>
              <w:t xml:space="preserve">A3</w:t>
            </w:r>
          </w:p>
        </w:tc>
        <w:tc>
          <w:tcPr/>
          <w:p>
            <w:pPr>
              <w:pStyle w:val="Compact"/>
            </w:pPr>
            <w:r>
              <w:t xml:space="preserve">Money is</w:t>
            </w:r>
            <w:r>
              <w:t xml:space="preserve"> </w:t>
            </w:r>
            <w:r>
              <w:rPr>
                <w:rStyle w:val="VerbatimChar"/>
              </w:rPr>
              <w:t xml:space="preserve">Decimal(18,4)</w:t>
            </w:r>
            <w:r>
              <w:t xml:space="preserve">, never a float</w:t>
            </w:r>
          </w:p>
        </w:tc>
        <w:tc>
          <w:tcPr/>
          <w:p>
            <w:pPr>
              <w:pStyle w:val="Compact"/>
            </w:pPr>
            <w:r>
              <w:rPr>
                <w:b/>
                <w:bCs/>
              </w:rPr>
              <w:t xml:space="preserve">[VERIFIED-REPO]</w:t>
            </w:r>
            <w:r>
              <w:t xml:space="preserve"> </w:t>
            </w:r>
            <w:r>
              <w:t xml:space="preserve">169</w:t>
            </w:r>
            <w:r>
              <w:t xml:space="preserve"> </w:t>
            </w:r>
            <w:r>
              <w:rPr>
                <w:rStyle w:val="VerbatimChar"/>
              </w:rPr>
              <w:t xml:space="preserve">Decimal</w:t>
            </w:r>
            <w:r>
              <w:t xml:space="preserve"> </w:t>
            </w:r>
            <w:r>
              <w:t xml:space="preserve">columns,</w:t>
            </w:r>
            <w:r>
              <w:t xml:space="preserve"> </w:t>
            </w:r>
            <w:r>
              <w:rPr>
                <w:b/>
                <w:bCs/>
              </w:rPr>
              <w:t xml:space="preserve">0</w:t>
            </w:r>
            <w:r>
              <w:t xml:space="preserve"> </w:t>
            </w:r>
            <w:r>
              <w:rPr>
                <w:rStyle w:val="VerbatimChar"/>
              </w:rPr>
              <w:t xml:space="preserve">Float</w:t>
            </w:r>
            <w:r>
              <w:t xml:space="preserve">. Already correct — protect it with a CI schema test</w:t>
            </w:r>
          </w:p>
        </w:tc>
      </w:tr>
      <w:tr>
        <w:tc>
          <w:tcPr/>
          <w:p>
            <w:pPr>
              <w:pStyle w:val="Compact"/>
            </w:pPr>
            <w:r>
              <w:rPr>
                <w:b/>
                <w:bCs/>
              </w:rPr>
              <w:t xml:space="preserve">A4</w:t>
            </w:r>
          </w:p>
        </w:tc>
        <w:tc>
          <w:tcPr/>
          <w:p>
            <w:pPr>
              <w:pStyle w:val="Compact"/>
            </w:pPr>
            <w:r>
              <w:t xml:space="preserve">A posted voucher is immutable</w:t>
            </w:r>
          </w:p>
        </w:tc>
        <w:tc>
          <w:tcPr/>
          <w:p>
            <w:pPr>
              <w:pStyle w:val="Compact"/>
            </w:pPr>
            <w:r>
              <w:t xml:space="preserve">§14.3 — a trigger, not a code path</w:t>
            </w:r>
          </w:p>
        </w:tc>
      </w:tr>
      <w:tr>
        <w:tc>
          <w:tcPr/>
          <w:p>
            <w:pPr>
              <w:pStyle w:val="Compact"/>
            </w:pPr>
            <w:r>
              <w:rPr>
                <w:b/>
                <w:bCs/>
              </w:rPr>
              <w:t xml:space="preserve">A5</w:t>
            </w:r>
          </w:p>
        </w:tc>
        <w:tc>
          <w:tcPr/>
          <w:p>
            <w:pPr>
              <w:pStyle w:val="Compact"/>
            </w:pPr>
            <w:r>
              <w:t xml:space="preserve">Voucher numbers are unique per tenant, type and fiscal year, with no gaps</w:t>
            </w:r>
          </w:p>
        </w:tc>
        <w:tc>
          <w:tcPr/>
          <w:p>
            <w:pPr>
              <w:pStyle w:val="Compact"/>
            </w:pPr>
            <w:r>
              <w:rPr>
                <w:b/>
                <w:bCs/>
              </w:rPr>
              <w:t xml:space="preserve">[VERIFIED-REPO]</w:t>
            </w:r>
            <w:r>
              <w:t xml:space="preserve"> </w:t>
            </w:r>
            <w:r>
              <w:rPr>
                <w:rStyle w:val="VerbatimChar"/>
              </w:rPr>
              <w:t xml:space="preserve">@@unique([organizationId, voucherTypeId, voucherNumber, fiscalYearId])</w:t>
            </w:r>
            <w:r>
              <w:t xml:space="preserve"> </w:t>
            </w:r>
            <w:r>
              <w:t xml:space="preserve">— already correct. §14.4 handles the allocation</w:t>
            </w:r>
          </w:p>
        </w:tc>
      </w:tr>
      <w:tr>
        <w:tc>
          <w:tcPr/>
          <w:p>
            <w:pPr>
              <w:pStyle w:val="Compact"/>
            </w:pPr>
            <w:r>
              <w:rPr>
                <w:b/>
                <w:bCs/>
              </w:rPr>
              <w:t xml:space="preserve">A6</w:t>
            </w:r>
          </w:p>
        </w:tc>
        <w:tc>
          <w:tcPr/>
          <w:p>
            <w:pPr>
              <w:pStyle w:val="Compact"/>
            </w:pPr>
            <w:r>
              <w:t xml:space="preserve">A voucher in a closed period cannot be created or altered</w:t>
            </w:r>
          </w:p>
        </w:tc>
        <w:tc>
          <w:tcPr/>
          <w:p>
            <w:pPr>
              <w:pStyle w:val="Compact"/>
            </w:pPr>
            <w:r>
              <w:t xml:space="preserve">§14.5 — a trigger checking</w:t>
            </w:r>
            <w:r>
              <w:t xml:space="preserve"> </w:t>
            </w:r>
            <w:r>
              <w:rPr>
                <w:rStyle w:val="VerbatimChar"/>
              </w:rPr>
              <w:t xml:space="preserve">fiscal_periods.isClosed</w:t>
            </w:r>
          </w:p>
        </w:tc>
      </w:tr>
      <w:tr>
        <w:tc>
          <w:tcPr/>
          <w:p>
            <w:pPr>
              <w:pStyle w:val="Compact"/>
            </w:pPr>
            <w:r>
              <w:rPr>
                <w:b/>
                <w:bCs/>
              </w:rPr>
              <w:t xml:space="preserve">A7</w:t>
            </w:r>
          </w:p>
        </w:tc>
        <w:tc>
          <w:tcPr/>
          <w:p>
            <w:pPr>
              <w:pStyle w:val="Compact"/>
            </w:pPr>
            <w:r>
              <w:t xml:space="preserve">Every posting writes an audit row in the same transaction</w:t>
            </w:r>
          </w:p>
        </w:tc>
        <w:tc>
          <w:tcPr/>
          <w:p>
            <w:pPr>
              <w:pStyle w:val="Compact"/>
            </w:pPr>
            <w:r>
              <w:t xml:space="preserve">§26.4</w:t>
            </w:r>
          </w:p>
        </w:tc>
      </w:tr>
    </w:tbl>
    <w:p>
      <w:pPr>
        <w:pStyle w:val="BodyText"/>
      </w:pPr>
      <w:r>
        <w:rPr>
          <w:b/>
          <w:bCs/>
        </w:rPr>
        <w:t xml:space="preserve">[JUDGEMENT]</w:t>
      </w:r>
      <w:r>
        <w:t xml:space="preserve"> </w:t>
      </w:r>
      <w:r>
        <w:t xml:space="preserve">A1–A2 belong in the database, not only in the service layer. The service layer is where they are</w:t>
      </w:r>
      <w:r>
        <w:t xml:space="preserve"> </w:t>
      </w:r>
      <w:r>
        <w:rPr>
          <w:i/>
          <w:iCs/>
        </w:rPr>
        <w:t xml:space="preserve">checked</w:t>
      </w:r>
      <w:r>
        <w:t xml:space="preserve">; the database is where they are</w:t>
      </w:r>
      <w:r>
        <w:t xml:space="preserve"> </w:t>
      </w:r>
      <w:r>
        <w:rPr>
          <w:i/>
          <w:iCs/>
        </w:rPr>
        <w:t xml:space="preserve">guaranteed</w:t>
      </w:r>
      <w:r>
        <w:t xml:space="preserve">. Every bulk import, every migration script, every hotfix executed by an engineer at 2 a.m. bypasses the service layer. None of them bypasses a</w:t>
      </w:r>
      <w:r>
        <w:t xml:space="preserve"> </w:t>
      </w:r>
      <w:r>
        <w:rPr>
          <w:rStyle w:val="VerbatimChar"/>
        </w:rPr>
        <w:t xml:space="preserve">CHECK</w:t>
      </w:r>
      <w:r>
        <w:t xml:space="preserve"> </w:t>
      </w:r>
      <w:r>
        <w:t xml:space="preserve">constraint.</w:t>
      </w:r>
    </w:p>
    <w:bookmarkEnd w:id="104"/>
    <w:bookmarkStart w:id="108" w:name="the-posting-engine"/>
    <w:p>
      <w:pPr>
        <w:pStyle w:val="Heading3"/>
      </w:pPr>
      <w:r>
        <w:t xml:space="preserve">14.2 The posting engine</w:t>
      </w:r>
    </w:p>
    <w:p>
      <w:pPr>
        <w:pStyle w:val="FirstParagraph"/>
      </w:pPr>
      <w:r>
        <w:t xml:space="preserve">One function, one transaction, one place where the ledger is written.</w:t>
      </w:r>
    </w:p>
    <w:p>
      <w:pPr>
        <w:pStyle w:val="BodyText"/>
      </w:pPr>
      <w:r>
        <w:drawing>
          <wp:inline>
            <wp:extent cx="1078992" cy="6974245"/>
            <wp:effectExtent b="0" l="0" r="0" t="0"/>
            <wp:docPr descr="" title="" id="106" name="Picture"/>
            <a:graphic>
              <a:graphicData uri="http://schemas.openxmlformats.org/drawingml/2006/picture">
                <pic:pic>
                  <pic:nvPicPr>
                    <pic:cNvPr descr="/private/tmp/claude-501/-Users-sudipto-Desktop-projects-accubook/c277cf12-a75d-42eb-a282-70d38dbc59e8/scratchpad/d15.png" id="107" name="Picture"/>
                    <pic:cNvPicPr>
                      <a:picLocks noChangeArrowheads="1" noChangeAspect="1"/>
                    </pic:cNvPicPr>
                  </pic:nvPicPr>
                  <pic:blipFill>
                    <a:blip r:embed="rId105"/>
                    <a:stretch>
                      <a:fillRect/>
                    </a:stretch>
                  </pic:blipFill>
                  <pic:spPr bwMode="auto">
                    <a:xfrm>
                      <a:off x="0" y="0"/>
                      <a:ext cx="1078992" cy="6974245"/>
                    </a:xfrm>
                    <a:prstGeom prst="rect">
                      <a:avLst/>
                    </a:prstGeom>
                    <a:noFill/>
                    <a:ln w="9525">
                      <a:noFill/>
                      <a:headEnd/>
                      <a:tailEnd/>
                    </a:ln>
                  </pic:spPr>
                </pic:pic>
              </a:graphicData>
            </a:graphic>
          </wp:inline>
        </w:drawing>
      </w:r>
    </w:p>
    <w:p>
      <w:pPr>
        <w:pStyle w:val="BodyText"/>
      </w:pPr>
      <w:r>
        <w:rPr>
          <w:b/>
          <w:bCs/>
        </w:rPr>
        <w:t xml:space="preserve">[VERIFIED-REPO]</w:t>
      </w:r>
      <w:r>
        <w:t xml:space="preserve"> </w:t>
      </w:r>
      <w:r>
        <w:rPr>
          <w:rStyle w:val="VerbatimChar"/>
        </w:rPr>
        <w:t xml:space="preserve">src/backend/utils/posting.ts</w:t>
      </w:r>
      <w:r>
        <w:t xml:space="preserve"> </w:t>
      </w:r>
      <w:r>
        <w:t xml:space="preserve">already implements this shape, and implements it unusually well. It takes</w:t>
      </w:r>
      <w:r>
        <w:t xml:space="preserve"> </w:t>
      </w:r>
      <w:r>
        <w:rPr>
          <w:rStyle w:val="VerbatimChar"/>
        </w:rPr>
        <w:t xml:space="preserve">tx: Prisma.TransactionClient</w:t>
      </w:r>
      <w:r>
        <w:t xml:space="preserve"> </w:t>
      </w:r>
      <w:r>
        <w:t xml:space="preserve">so callers control the transaction boundary, and it resolves ledgers with a raw</w:t>
      </w:r>
      <w:r>
        <w:t xml:space="preserve"> </w:t>
      </w:r>
      <w:r>
        <w:rPr>
          <w:rStyle w:val="VerbatimChar"/>
        </w:rPr>
        <w:t xml:space="preserve">INSERT … ON CONFLICT ("organizationId","name") DO UPDATE SET "name" = EXCLUDED."name" RETURNING "id"</w:t>
      </w:r>
      <w:r>
        <w:t xml:space="preserve">. The comment above it records exactly why:</w:t>
      </w:r>
    </w:p>
    <w:p>
      <w:pPr>
        <w:pStyle w:val="BlockText"/>
      </w:pPr>
      <w:r>
        <w:t xml:space="preserve">Two requests posting the first invoice for the same new party both see no ledger, both insert, and the unique constraint rejects the loser with P2002. In Postgres a constraint violation poisons the surrounding transaction, so the loser does not merely fail to create a ledger —</w:t>
      </w:r>
      <w:r>
        <w:t xml:space="preserve"> </w:t>
      </w:r>
      <w:r>
        <w:rPr>
          <w:b/>
          <w:bCs/>
        </w:rPr>
        <w:t xml:space="preserve">the whole invoice posting is aborted.</w:t>
      </w:r>
      <w:r>
        <w:t xml:space="preserve"> </w:t>
      </w:r>
      <w:r>
        <w:t xml:space="preserve">Catch-and-retry cannot fix it, because once the transaction is poisoned every later statement fails too. The insert has to not raise in the first place, which means</w:t>
      </w:r>
      <w:r>
        <w:t xml:space="preserve"> </w:t>
      </w:r>
      <w:r>
        <w:rPr>
          <w:rStyle w:val="VerbatimChar"/>
        </w:rPr>
        <w:t xml:space="preserve">ON CONFLICT</w:t>
      </w:r>
      <w:r>
        <w:t xml:space="preserve">. Prisma’s</w:t>
      </w:r>
      <w:r>
        <w:t xml:space="preserve"> </w:t>
      </w:r>
      <w:r>
        <w:rPr>
          <w:rStyle w:val="VerbatimChar"/>
        </w:rPr>
        <w:t xml:space="preserve">upsert</w:t>
      </w:r>
      <w:r>
        <w:t xml:space="preserve"> </w:t>
      </w:r>
      <w:r>
        <w:t xml:space="preserve">is not sufficient — under the driver adapter it resolves as select-then-insert and loses the same race. An integration test proves it.</w:t>
      </w:r>
    </w:p>
    <w:p>
      <w:pPr>
        <w:pStyle w:val="FirstParagraph"/>
      </w:pPr>
      <w:r>
        <w:rPr>
          <w:b/>
          <w:bCs/>
        </w:rPr>
        <w:t xml:space="preserve">[JUDGEMENT]</w:t>
      </w:r>
      <w:r>
        <w:t xml:space="preserve"> </w:t>
      </w:r>
      <w:r>
        <w:t xml:space="preserve">This is the standard the rest of the codebase should be held to: a race identified, a fix chosen for a stated reason, an alternative rejected with evidence, and a test that fails if someone reverts it. The</w:t>
      </w:r>
      <w:r>
        <w:t xml:space="preserve"> </w:t>
      </w:r>
      <w:r>
        <w:rPr>
          <w:rStyle w:val="VerbatimChar"/>
        </w:rPr>
        <w:t xml:space="preserve">DO UPDATE SET "name" = EXCLUDED."name"</w:t>
      </w:r>
      <w:r>
        <w:t xml:space="preserve"> </w:t>
      </w:r>
      <w:r>
        <w:t xml:space="preserve">no-op is the correct idiom —</w:t>
      </w:r>
      <w:r>
        <w:t xml:space="preserve"> </w:t>
      </w:r>
      <w:r>
        <w:rPr>
          <w:rStyle w:val="VerbatimChar"/>
        </w:rPr>
        <w:t xml:space="preserve">DO NOTHING</w:t>
      </w:r>
      <w:r>
        <w:t xml:space="preserve"> </w:t>
      </w:r>
      <w:r>
        <w:t xml:space="preserve">returns no row on conflict, so</w:t>
      </w:r>
      <w:r>
        <w:t xml:space="preserve"> </w:t>
      </w:r>
      <w:r>
        <w:rPr>
          <w:rStyle w:val="VerbatimChar"/>
        </w:rPr>
        <w:t xml:space="preserve">RETURNING</w:t>
      </w:r>
      <w:r>
        <w:t xml:space="preserve"> </w:t>
      </w:r>
      <w:r>
        <w:t xml:space="preserve">would be empty in exactly the case you need it.</w:t>
      </w:r>
    </w:p>
    <w:bookmarkEnd w:id="108"/>
    <w:bookmarkStart w:id="112" w:name="immutability-and-correction"/>
    <w:p>
      <w:pPr>
        <w:pStyle w:val="Heading3"/>
      </w:pPr>
      <w:r>
        <w:t xml:space="preserve">14.3 Immutability and correction</w:t>
      </w:r>
    </w:p>
    <w:p>
      <w:pPr>
        <w:pStyle w:val="FirstParagraph"/>
      </w:pPr>
      <w:r>
        <w:rPr>
          <w:b/>
          <w:bCs/>
        </w:rPr>
        <w:t xml:space="preserve">[PATTERN]</w:t>
      </w:r>
      <w:r>
        <w:t xml:space="preserve"> </w:t>
      </w:r>
      <w:r>
        <w:t xml:space="preserve">Accounting systems do not edit history. They append corrections.</w:t>
      </w:r>
    </w:p>
    <w:p>
      <w:pPr>
        <w:pStyle w:val="BodyText"/>
      </w:pPr>
      <w:r>
        <w:drawing>
          <wp:inline>
            <wp:extent cx="5093208" cy="6950355"/>
            <wp:effectExtent b="0" l="0" r="0" t="0"/>
            <wp:docPr descr="" title="" id="110" name="Picture"/>
            <a:graphic>
              <a:graphicData uri="http://schemas.openxmlformats.org/drawingml/2006/picture">
                <pic:pic>
                  <pic:nvPicPr>
                    <pic:cNvPr descr="/private/tmp/claude-501/-Users-sudipto-Desktop-projects-accubook/c277cf12-a75d-42eb-a282-70d38dbc59e8/scratchpad/d16.png" id="111" name="Picture"/>
                    <pic:cNvPicPr>
                      <a:picLocks noChangeArrowheads="1" noChangeAspect="1"/>
                    </pic:cNvPicPr>
                  </pic:nvPicPr>
                  <pic:blipFill>
                    <a:blip r:embed="rId109"/>
                    <a:stretch>
                      <a:fillRect/>
                    </a:stretch>
                  </pic:blipFill>
                  <pic:spPr bwMode="auto">
                    <a:xfrm>
                      <a:off x="0" y="0"/>
                      <a:ext cx="5093208" cy="6950355"/>
                    </a:xfrm>
                    <a:prstGeom prst="rect">
                      <a:avLst/>
                    </a:prstGeom>
                    <a:noFill/>
                    <a:ln w="9525">
                      <a:noFill/>
                      <a:headEnd/>
                      <a:tailEnd/>
                    </a:ln>
                  </pic:spPr>
                </pic:pic>
              </a:graphicData>
            </a:graphic>
          </wp:inline>
        </w:drawing>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forbid_posted_mutation()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w:t>
      </w:r>
      <w:r>
        <w:rPr>
          <w:rStyle w:val="OtherTok"/>
        </w:rPr>
        <w:t xml:space="preserve">"isPosted"</w:t>
      </w:r>
      <w:r>
        <w:rPr>
          <w:rStyle w:val="NormalTok"/>
        </w:rPr>
        <w:t xml:space="preserve"> </w:t>
      </w:r>
      <w:r>
        <w:rPr>
          <w:rStyle w:val="KeywordTok"/>
        </w:rPr>
        <w:t xml:space="preserve">AND</w:t>
      </w:r>
      <w:r>
        <w:rPr>
          <w:rStyle w:val="NormalTok"/>
        </w:rPr>
        <w:t xml:space="preserve"> TG_OP </w:t>
      </w:r>
      <w:r>
        <w:rPr>
          <w:rStyle w:val="KeywordTok"/>
        </w:rPr>
        <w:t xml:space="preserve">IN</w:t>
      </w:r>
      <w:r>
        <w:rPr>
          <w:rStyle w:val="NormalTok"/>
        </w:rPr>
        <w:t xml:space="preserve"> (</w:t>
      </w:r>
      <w:r>
        <w:rPr>
          <w:rStyle w:val="StringTok"/>
        </w:rPr>
        <w:t xml:space="preserve">'UPDATE'</w:t>
      </w:r>
      <w:r>
        <w:rPr>
          <w:rStyle w:val="NormalTok"/>
        </w:rPr>
        <w:t xml:space="preserve">,</w:t>
      </w:r>
      <w:r>
        <w:rPr>
          <w:rStyle w:val="StringTok"/>
        </w:rPr>
        <w:t xml:space="preserve">'DELETE'</w:t>
      </w:r>
      <w:r>
        <w:rPr>
          <w:rStyle w:val="NormalTok"/>
        </w:rPr>
        <w:t xml:space="preserve">) </w:t>
      </w:r>
      <w:r>
        <w:rPr>
          <w:rStyle w:val="ControlFlowTok"/>
        </w:rPr>
        <w:t xml:space="preserve">THEN</w:t>
      </w:r>
      <w:r>
        <w:br/>
      </w:r>
      <w:r>
        <w:rPr>
          <w:rStyle w:val="NormalTok"/>
        </w:rPr>
        <w:t xml:space="preserve">    </w:t>
      </w:r>
      <w:r>
        <w:rPr>
          <w:rStyle w:val="CommentTok"/>
        </w:rPr>
        <w:t xml:space="preserve">-- the only permitted transition is POSTED → REVERSED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(TG_OP </w:t>
      </w:r>
      <w:r>
        <w:rPr>
          <w:rStyle w:val="OperatorTok"/>
        </w:rPr>
        <w:t xml:space="preserve">=</w:t>
      </w:r>
      <w:r>
        <w:rPr>
          <w:rStyle w:val="NormalTok"/>
        </w:rPr>
        <w:t xml:space="preserve"> </w:t>
      </w:r>
      <w:r>
        <w:rPr>
          <w:rStyle w:val="StringTok"/>
        </w:rPr>
        <w:t xml:space="preserve">'UPDATE'</w:t>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.status </w:t>
      </w:r>
      <w:r>
        <w:rPr>
          <w:rStyle w:val="OperatorTok"/>
        </w:rPr>
        <w:t xml:space="preserve">=</w:t>
      </w:r>
      <w:r>
        <w:rPr>
          <w:rStyle w:val="NormalTok"/>
        </w:rPr>
        <w:t xml:space="preserve"> </w:t>
      </w:r>
      <w:r>
        <w:rPr>
          <w:rStyle w:val="StringTok"/>
        </w:rPr>
        <w:t xml:space="preserve">'REVERSED'</w:t>
      </w:r>
      <w:r>
        <w:rPr>
          <w:rStyle w:val="NormalTok"/>
        </w:rPr>
        <w:t xml:space="preserve"> </w:t>
      </w:r>
      <w:r>
        <w:rPr>
          <w:rStyle w:val="KeywordTok"/>
        </w:rPr>
        <w:t xml:space="preserve">AND</w:t>
      </w:r>
      <w:r>
        <w:rPr>
          <w:rStyle w:val="NormalTok"/>
        </w:rPr>
        <w:t xml:space="preserve"> </w:t>
      </w:r>
      <w:r>
        <w:rPr>
          <w:rStyle w:val="KeywordTok"/>
        </w:rPr>
        <w:t xml:space="preserve">OLD</w:t>
      </w:r>
      <w:r>
        <w:rPr>
          <w:rStyle w:val="NormalTok"/>
        </w:rPr>
        <w:t xml:space="preserve">.status </w:t>
      </w:r>
      <w:r>
        <w:rPr>
          <w:rStyle w:val="OperatorTok"/>
        </w:rPr>
        <w:t xml:space="preserve">=</w:t>
      </w:r>
      <w:r>
        <w:rPr>
          <w:rStyle w:val="NormalTok"/>
        </w:rPr>
        <w:t xml:space="preserve"> </w:t>
      </w:r>
      <w:r>
        <w:rPr>
          <w:rStyle w:val="StringTok"/>
        </w:rPr>
        <w:t xml:space="preserve">'POSTED'</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'voucher % is posted and immutable'</w:t>
      </w:r>
      <w:r>
        <w:rPr>
          <w:rStyle w:val="NormalTok"/>
        </w:rPr>
        <w:t xml:space="preserve">, </w:t>
      </w:r>
      <w:r>
        <w:rPr>
          <w:rStyle w:val="KeywordTok"/>
        </w:rPr>
        <w:t xml:space="preserve">OLD</w:t>
      </w:r>
      <w:r>
        <w:rPr>
          <w:rStyle w:val="NormalTok"/>
        </w:rPr>
        <w:t xml:space="preserve">.</w:t>
      </w:r>
      <w:r>
        <w:rPr>
          <w:rStyle w:val="KeywordTok"/>
        </w:rPr>
        <w:t xml:space="preserve">id</w:t>
      </w:r>
      <w:r>
        <w:br/>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'restrict_violation'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 LANGUAGE plpgsql;</w:t>
      </w:r>
    </w:p>
    <w:p>
      <w:pPr>
        <w:pStyle w:val="FirstParagraph"/>
      </w:pPr>
      <w:r>
        <w:rPr>
          <w:b/>
          <w:bCs/>
        </w:rPr>
        <w:t xml:space="preserve">[JUDGEMENT]</w:t>
      </w:r>
      <w:r>
        <w:t xml:space="preserve"> </w:t>
      </w:r>
      <w:r>
        <w:t xml:space="preserve">This is not currently enforced —</w:t>
      </w:r>
      <w:r>
        <w:t xml:space="preserve"> </w:t>
      </w:r>
      <w:r>
        <w:rPr>
          <w:b/>
          <w:bCs/>
        </w:rPr>
        <w:t xml:space="preserve">[VERIFIED-REPO]</w:t>
      </w:r>
      <w:r>
        <w:t xml:space="preserve"> </w:t>
      </w:r>
      <w:r>
        <w:rPr>
          <w:rStyle w:val="VerbatimChar"/>
        </w:rPr>
        <w:t xml:space="preserve">Voucher.isPosted</w:t>
      </w:r>
      <w:r>
        <w:t xml:space="preserve"> </w:t>
      </w:r>
      <w:r>
        <w:t xml:space="preserve">is a boolean with no trigger behind it, so any</w:t>
      </w:r>
      <w:r>
        <w:t xml:space="preserve"> </w:t>
      </w:r>
      <w:r>
        <w:rPr>
          <w:rStyle w:val="VerbatimChar"/>
        </w:rPr>
        <w:t xml:space="preserve">UPDATE</w:t>
      </w:r>
      <w:r>
        <w:t xml:space="preserve"> </w:t>
      </w:r>
      <w:r>
        <w:t xml:space="preserve">succeeds. This matters beyond tidiness: statutory filings are computed from posted vouchers. If a posted voucher can change after GSTR-1 has been filed, the filing and the books no longer agree, and reconciling that is the customer’s problem to explain to a tax officer.</w:t>
      </w:r>
    </w:p>
    <w:p>
      <w:pPr>
        <w:pStyle w:val="BodyText"/>
      </w:pPr>
      <w:r>
        <w:t xml:space="preserve">Note the design’s relationship to</w:t>
      </w:r>
      <w:r>
        <w:t xml:space="preserve"> </w:t>
      </w:r>
      <w:r>
        <w:rPr>
          <w:b/>
          <w:bCs/>
        </w:rPr>
        <w:t xml:space="preserve">[VERIFIED-REPO]</w:t>
      </w:r>
      <w:r>
        <w:t xml:space="preserve"> </w:t>
      </w:r>
      <w:r>
        <w:rPr>
          <w:rStyle w:val="VerbatimChar"/>
        </w:rPr>
        <w:t xml:space="preserve">deletedAt</w:t>
      </w:r>
      <w:r>
        <w:t xml:space="preserve">: there are</w:t>
      </w:r>
      <w:r>
        <w:t xml:space="preserve"> </w:t>
      </w:r>
      <w:r>
        <w:rPr>
          <w:b/>
          <w:bCs/>
        </w:rPr>
        <w:t xml:space="preserve">zero</w:t>
      </w:r>
      <w:r>
        <w:t xml:space="preserve"> </w:t>
      </w:r>
      <w:r>
        <w:t xml:space="preserve">soft-delete columns in the schema. For an accounting system that is arguably correct — vouchers are reversed, not deleted — but it must be a</w:t>
      </w:r>
      <w:r>
        <w:t xml:space="preserve"> </w:t>
      </w:r>
      <w:r>
        <w:rPr>
          <w:i/>
          <w:iCs/>
        </w:rPr>
        <w:t xml:space="preserve">stated</w:t>
      </w:r>
      <w:r>
        <w:t xml:space="preserve"> </w:t>
      </w:r>
      <w:r>
        <w:t xml:space="preserve">decision, because masters (</w:t>
      </w:r>
      <w:r>
        <w:rPr>
          <w:rStyle w:val="VerbatimChar"/>
        </w:rPr>
        <w:t xml:space="preserve">Item</w:t>
      </w:r>
      <w:r>
        <w:t xml:space="preserve">,</w:t>
      </w:r>
      <w:r>
        <w:t xml:space="preserve"> </w:t>
      </w:r>
      <w:r>
        <w:rPr>
          <w:rStyle w:val="VerbatimChar"/>
        </w:rPr>
        <w:t xml:space="preserve">Party</w:t>
      </w:r>
      <w:r>
        <w:t xml:space="preserve">,</w:t>
      </w:r>
      <w:r>
        <w:t xml:space="preserve"> </w:t>
      </w:r>
      <w:r>
        <w:rPr>
          <w:rStyle w:val="VerbatimChar"/>
        </w:rPr>
        <w:t xml:space="preserve">Ledger</w:t>
      </w:r>
      <w:r>
        <w:t xml:space="preserve">) do need retirement without deletion. Use</w:t>
      </w:r>
      <w:r>
        <w:t xml:space="preserve"> </w:t>
      </w:r>
      <w:r>
        <w:rPr>
          <w:rStyle w:val="VerbatimChar"/>
        </w:rPr>
        <w:t xml:space="preserve">isActive</w:t>
      </w:r>
      <w:r>
        <w:t xml:space="preserve"> </w:t>
      </w:r>
      <w:r>
        <w:t xml:space="preserve">for masters, reversal for transactions, and never a hard</w:t>
      </w:r>
      <w:r>
        <w:t xml:space="preserve"> </w:t>
      </w:r>
      <w:r>
        <w:rPr>
          <w:rStyle w:val="VerbatimChar"/>
        </w:rPr>
        <w:t xml:space="preserve">DELETE</w:t>
      </w:r>
      <w:r>
        <w:t xml:space="preserve"> </w:t>
      </w:r>
      <w:r>
        <w:t xml:space="preserve">on either.</w:t>
      </w:r>
    </w:p>
    <w:bookmarkEnd w:id="112"/>
    <w:bookmarkStart w:id="113" w:name="document-numbering-under-concurrency"/>
    <w:p>
      <w:pPr>
        <w:pStyle w:val="Heading3"/>
      </w:pPr>
      <w:r>
        <w:t xml:space="preserve">14.4 Document numbering under concurrency</w:t>
      </w:r>
    </w:p>
    <w:p>
      <w:pPr>
        <w:pStyle w:val="FirstParagraph"/>
      </w:pPr>
      <w:r>
        <w:t xml:space="preserve">Statutory numbering must be</w:t>
      </w:r>
      <w:r>
        <w:t xml:space="preserve"> </w:t>
      </w:r>
      <w:r>
        <w:rPr>
          <w:b/>
          <w:bCs/>
        </w:rPr>
        <w:t xml:space="preserve">gapless per tenant, per voucher type, per fiscal year</w:t>
      </w:r>
      <w:r>
        <w:t xml:space="preserve">. Gaps invite audit questions; duplicates are worse.</w:t>
      </w:r>
    </w:p>
    <w:p>
      <w:pPr>
        <w:pStyle w:val="BodyText"/>
      </w:pPr>
      <w:r>
        <w:rPr>
          <w:b/>
          <w:bCs/>
        </w:rPr>
        <w:t xml:space="preserve">[VERIFIED-REPO]</w:t>
      </w:r>
      <w:r>
        <w:t xml:space="preserve"> </w:t>
      </w:r>
      <w:r>
        <w:rPr>
          <w:rStyle w:val="VerbatimChar"/>
        </w:rPr>
        <w:t xml:space="preserve">NumberCounter</w:t>
      </w:r>
      <w:r>
        <w:t xml:space="preserve"> </w:t>
      </w:r>
      <w:r>
        <w:t xml:space="preserve">with</w:t>
      </w:r>
      <w:r>
        <w:t xml:space="preserve"> </w:t>
      </w:r>
      <w:r>
        <w:rPr>
          <w:rStyle w:val="VerbatimChar"/>
        </w:rPr>
        <w:t xml:space="preserve">@@unique([organizationId, scope])</w:t>
      </w:r>
      <w:r>
        <w:t xml:space="preserve"> </w:t>
      </w:r>
      <w:r>
        <w:t xml:space="preserve">is the right structure. The allocation must be a locking read inside the posting transaction:</w:t>
      </w:r>
    </w:p>
    <w:p>
      <w:pPr>
        <w:pStyle w:val="SourceCode"/>
      </w:pPr>
      <w:r>
        <w:rPr>
          <w:rStyle w:val="CommentTok"/>
        </w:rPr>
        <w:t xml:space="preserve">-- Inside the posting transaction. Serialises only same-tenant, same-scope writers.</w:t>
      </w:r>
      <w:r>
        <w:br/>
      </w:r>
      <w:r>
        <w:rPr>
          <w:rStyle w:val="KeywordTok"/>
        </w:rPr>
        <w:t xml:space="preserve">INSERT</w:t>
      </w:r>
      <w:r>
        <w:rPr>
          <w:rStyle w:val="NormalTok"/>
        </w:rPr>
        <w:t xml:space="preserve"> </w:t>
      </w:r>
      <w:r>
        <w:rPr>
          <w:rStyle w:val="KeywordTok"/>
        </w:rPr>
        <w:t xml:space="preserve">INTO</w:t>
      </w:r>
      <w:r>
        <w:rPr>
          <w:rStyle w:val="NormalTok"/>
        </w:rPr>
        <w:t xml:space="preserve"> number_counters (</w:t>
      </w:r>
      <w:r>
        <w:rPr>
          <w:rStyle w:val="OtherTok"/>
        </w:rPr>
        <w:t xml:space="preserve">"id"</w:t>
      </w:r>
      <w:r>
        <w:rPr>
          <w:rStyle w:val="NormalTok"/>
        </w:rPr>
        <w:t xml:space="preserve">,</w:t>
      </w:r>
      <w:r>
        <w:rPr>
          <w:rStyle w:val="OtherTok"/>
        </w:rPr>
        <w:t xml:space="preserve">"organizationId"</w:t>
      </w:r>
      <w:r>
        <w:rPr>
          <w:rStyle w:val="NormalTok"/>
        </w:rPr>
        <w:t xml:space="preserve">,</w:t>
      </w:r>
      <w:r>
        <w:rPr>
          <w:rStyle w:val="OtherTok"/>
        </w:rPr>
        <w:t xml:space="preserve">"scope"</w:t>
      </w:r>
      <w:r>
        <w:rPr>
          <w:rStyle w:val="NormalTok"/>
        </w:rPr>
        <w:t xml:space="preserve">,</w:t>
      </w:r>
      <w:r>
        <w:rPr>
          <w:rStyle w:val="OtherTok"/>
        </w:rPr>
        <w:t xml:space="preserve">"lastNumber"</w:t>
      </w:r>
      <w:r>
        <w:rPr>
          <w:rStyle w:val="NormalTok"/>
        </w:rPr>
        <w:t xml:space="preserve">,</w:t>
      </w:r>
      <w:r>
        <w:rPr>
          <w:rStyle w:val="OtherTok"/>
        </w:rPr>
        <w:t xml:space="preserve">"updatedAt"</w:t>
      </w:r>
      <w:r>
        <w:rPr>
          <w:rStyle w:val="NormalTok"/>
        </w:rPr>
        <w:t xml:space="preserve">)</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NOW())</w:t>
      </w:r>
      <w:r>
        <w:br/>
      </w:r>
      <w:r>
        <w:rPr>
          <w:rStyle w:val="KeywordTok"/>
        </w:rPr>
        <w:t xml:space="preserve">ON</w:t>
      </w:r>
      <w:r>
        <w:rPr>
          <w:rStyle w:val="NormalTok"/>
        </w:rPr>
        <w:t xml:space="preserve"> CONFLICT (</w:t>
      </w:r>
      <w:r>
        <w:rPr>
          <w:rStyle w:val="OtherTok"/>
        </w:rPr>
        <w:t xml:space="preserve">"organizationId"</w:t>
      </w:r>
      <w:r>
        <w:rPr>
          <w:rStyle w:val="NormalTok"/>
        </w:rPr>
        <w:t xml:space="preserve">,</w:t>
      </w:r>
      <w:r>
        <w:rPr>
          <w:rStyle w:val="OtherTok"/>
        </w:rPr>
        <w:t xml:space="preserve">"scope"</w:t>
      </w:r>
      <w:r>
        <w:rPr>
          <w:rStyle w:val="NormalTok"/>
        </w:rPr>
        <w:t xml:space="preserve">)</w:t>
      </w:r>
      <w:r>
        <w:br/>
      </w:r>
      <w:r>
        <w:rPr>
          <w:rStyle w:val="NormalTok"/>
        </w:rPr>
        <w:t xml:space="preserve">  DO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OtherTok"/>
        </w:rPr>
        <w:t xml:space="preserve">"lastNumber"</w:t>
      </w:r>
      <w:r>
        <w:rPr>
          <w:rStyle w:val="NormalTok"/>
        </w:rPr>
        <w:t xml:space="preserve"> </w:t>
      </w:r>
      <w:r>
        <w:rPr>
          <w:rStyle w:val="OperatorTok"/>
        </w:rPr>
        <w:t xml:space="preserve">=</w:t>
      </w:r>
      <w:r>
        <w:rPr>
          <w:rStyle w:val="NormalTok"/>
        </w:rPr>
        <w:t xml:space="preserve"> number_counters.</w:t>
      </w:r>
      <w:r>
        <w:rPr>
          <w:rStyle w:val="OtherTok"/>
        </w:rPr>
        <w:t xml:space="preserve">"lastNumber"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therTok"/>
        </w:rPr>
        <w:t xml:space="preserve">"updatedAt"</w:t>
      </w:r>
      <w:r>
        <w:rPr>
          <w:rStyle w:val="NormalTok"/>
        </w:rPr>
        <w:t xml:space="preserve"> </w:t>
      </w:r>
      <w:r>
        <w:rPr>
          <w:rStyle w:val="OperatorTok"/>
        </w:rPr>
        <w:t xml:space="preserve">=</w:t>
      </w:r>
      <w:r>
        <w:rPr>
          <w:rStyle w:val="NormalTok"/>
        </w:rPr>
        <w:t xml:space="preserve"> NOW()</w:t>
      </w:r>
      <w:r>
        <w:br/>
      </w:r>
      <w:r>
        <w:rPr>
          <w:rStyle w:val="KeywordTok"/>
        </w:rPr>
        <w:t xml:space="preserve">RETURNING</w:t>
      </w:r>
      <w:r>
        <w:rPr>
          <w:rStyle w:val="NormalTok"/>
        </w:rPr>
        <w:t xml:space="preserve"> </w:t>
      </w:r>
      <w:r>
        <w:rPr>
          <w:rStyle w:val="OtherTok"/>
        </w:rPr>
        <w:t xml:space="preserve">"lastNumber"</w:t>
      </w:r>
      <w:r>
        <w:rPr>
          <w:rStyle w:val="Normal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Consequence</w:t>
            </w:r>
          </w:p>
        </w:tc>
      </w:tr>
      <w:tr>
        <w:tc>
          <w:tcPr/>
          <w:p>
            <w:pPr>
              <w:pStyle w:val="Compact"/>
            </w:pPr>
            <w:r>
              <w:t xml:space="preserve">Contention is scoped to one tenant + one voucher type</w:t>
            </w:r>
          </w:p>
        </w:tc>
        <w:tc>
          <w:tcPr/>
          <w:p>
            <w:pPr>
              <w:pStyle w:val="Compact"/>
            </w:pPr>
            <w:r>
              <w:t xml:space="preserve">Two tenants never block each other — the pooled-model requirement</w:t>
            </w:r>
          </w:p>
        </w:tc>
      </w:tr>
      <w:tr>
        <w:tc>
          <w:tcPr/>
          <w:p>
            <w:pPr>
              <w:pStyle w:val="Compact"/>
            </w:pPr>
            <w:r>
              <w:t xml:space="preserve">The number is allocated</w:t>
            </w:r>
            <w:r>
              <w:t xml:space="preserve"> </w:t>
            </w:r>
            <w:r>
              <w:rPr>
                <w:b/>
                <w:bCs/>
              </w:rPr>
              <w:t xml:space="preserve">inside</w:t>
            </w:r>
            <w:r>
              <w:t xml:space="preserve"> </w:t>
            </w:r>
            <w:r>
              <w:t xml:space="preserve">the posting transaction</w:t>
            </w:r>
          </w:p>
        </w:tc>
        <w:tc>
          <w:tcPr/>
          <w:p>
            <w:pPr>
              <w:pStyle w:val="Compact"/>
            </w:pPr>
            <w:r>
              <w:t xml:space="preserve">A rollback returns the number. No gaps</w:t>
            </w:r>
          </w:p>
        </w:tc>
      </w:tr>
      <w:tr>
        <w:tc>
          <w:tcPr/>
          <w:p>
            <w:pPr>
              <w:pStyle w:val="Compact"/>
            </w:pPr>
            <w:r>
              <w:t xml:space="preserve">Never allocate before the transaction, never in a separate one</w:t>
            </w:r>
          </w:p>
        </w:tc>
        <w:tc>
          <w:tcPr/>
          <w:p>
            <w:pPr>
              <w:pStyle w:val="Compact"/>
            </w:pPr>
            <w:r>
              <w:t xml:space="preserve">That is exactly how gaps and duplicates appear</w:t>
            </w:r>
          </w:p>
        </w:tc>
      </w:tr>
      <w:tr>
        <w:tc>
          <w:tcPr/>
          <w:p>
            <w:pPr>
              <w:pStyle w:val="Compact"/>
            </w:pPr>
            <w:r>
              <w:t xml:space="preserve">High-volume tenants at Stage 3</w:t>
            </w:r>
          </w:p>
        </w:tc>
        <w:tc>
          <w:tcPr/>
          <w:p>
            <w:pPr>
              <w:pStyle w:val="Compact"/>
            </w:pPr>
            <w:r>
              <w:t xml:space="preserve">Contention is bounded by that tenant’s own posting rate; if it ever binds, the answer is per-branch scopes, not a sequence</w:t>
            </w:r>
          </w:p>
        </w:tc>
      </w:tr>
    </w:tbl>
    <w:p>
      <w:pPr>
        <w:pStyle w:val="BodyText"/>
      </w:pPr>
      <w:r>
        <w:rPr>
          <w:b/>
          <w:bCs/>
        </w:rPr>
        <w:t xml:space="preserve">[JUDGEMENT]</w:t>
      </w:r>
      <w:r>
        <w:t xml:space="preserve"> </w:t>
      </w:r>
      <w:r>
        <w:t xml:space="preserve">Do</w:t>
      </w:r>
      <w:r>
        <w:t xml:space="preserve"> </w:t>
      </w:r>
      <w:r>
        <w:rPr>
          <w:b/>
          <w:bCs/>
        </w:rPr>
        <w:t xml:space="preserve">not</w:t>
      </w:r>
      <w:r>
        <w:t xml:space="preserve"> </w:t>
      </w:r>
      <w:r>
        <w:t xml:space="preserve">use a Postgres</w:t>
      </w:r>
      <w:r>
        <w:t xml:space="preserve"> </w:t>
      </w:r>
      <w:r>
        <w:rPr>
          <w:rStyle w:val="VerbatimChar"/>
        </w:rPr>
        <w:t xml:space="preserve">SEQUENCE</w:t>
      </w:r>
      <w:r>
        <w:t xml:space="preserve">. Sequences are explicitly non-transactional — a rollback consumes the number and leaves a gap, which is precisely what statutory numbering forbids.</w:t>
      </w:r>
    </w:p>
    <w:bookmarkEnd w:id="113"/>
    <w:bookmarkStart w:id="117" w:name="fiscal-periods-and-close"/>
    <w:p>
      <w:pPr>
        <w:pStyle w:val="Heading3"/>
      </w:pPr>
      <w:r>
        <w:t xml:space="preserve">14.5 Fiscal periods and close</w:t>
      </w:r>
    </w:p>
    <w:p>
      <w:pPr>
        <w:pStyle w:val="FirstParagraph"/>
      </w:pPr>
      <w:r>
        <w:t xml:space="preserve">The Tally lesson from §2.3, adapted: fiscal year is a</w:t>
      </w:r>
      <w:r>
        <w:t xml:space="preserve"> </w:t>
      </w:r>
      <w:r>
        <w:rPr>
          <w:b/>
          <w:bCs/>
        </w:rPr>
        <w:t xml:space="preserve">scoping dimension inside one dataset</w:t>
      </w:r>
      <w:r>
        <w:t xml:space="preserve">, not a physical partition of it.</w:t>
      </w:r>
    </w:p>
    <w:p>
      <w:pPr>
        <w:pStyle w:val="BodyText"/>
      </w:pPr>
      <w:r>
        <w:drawing>
          <wp:inline>
            <wp:extent cx="5334000" cy="3313339"/>
            <wp:effectExtent b="0" l="0" r="0" t="0"/>
            <wp:docPr descr="" title="" id="115" name="Picture"/>
            <a:graphic>
              <a:graphicData uri="http://schemas.openxmlformats.org/drawingml/2006/picture">
                <pic:pic>
                  <pic:nvPicPr>
                    <pic:cNvPr descr="/private/tmp/claude-501/-Users-sudipto-Desktop-projects-accubook/c277cf12-a75d-42eb-a282-70d38dbc59e8/scratchpad/d17.png" id="116" name="Picture"/>
                    <pic:cNvPicPr>
                      <a:picLocks noChangeArrowheads="1" noChangeAspect="1"/>
                    </pic:cNvPicPr>
                  </pic:nvPicPr>
                  <pic:blipFill>
                    <a:blip r:embed="rId114"/>
                    <a:stretch>
                      <a:fillRect/>
                    </a:stretch>
                  </pic:blipFill>
                  <pic:spPr bwMode="auto">
                    <a:xfrm>
                      <a:off x="0" y="0"/>
                      <a:ext cx="5334000" cy="3313339"/>
                    </a:xfrm>
                    <a:prstGeom prst="rect">
                      <a:avLst/>
                    </a:prstGeom>
                    <a:noFill/>
                    <a:ln w="9525">
                      <a:noFill/>
                      <a:headEnd/>
                      <a:tailEnd/>
                    </a:ln>
                  </pic:spPr>
                </pic:pic>
              </a:graphicData>
            </a:graphic>
          </wp:inline>
        </w:drawing>
      </w:r>
    </w:p>
    <w:p>
      <w:pPr>
        <w:pStyle w:val="BodyText"/>
      </w:pPr>
      <w:r>
        <w:rPr>
          <w:b/>
          <w:bCs/>
        </w:rPr>
        <w:t xml:space="preserve">[VERIFIED-REPO]</w:t>
      </w:r>
      <w:r>
        <w:t xml:space="preserve"> </w:t>
      </w:r>
      <w:r>
        <w:rPr>
          <w:rStyle w:val="VerbatimChar"/>
        </w:rPr>
        <w:t xml:space="preserve">FiscalYear</w:t>
      </w:r>
      <w:r>
        <w:t xml:space="preserve"> </w:t>
      </w:r>
      <w:r>
        <w:t xml:space="preserve">and</w:t>
      </w:r>
      <w:r>
        <w:t xml:space="preserve"> </w:t>
      </w:r>
      <w:r>
        <w:rPr>
          <w:rStyle w:val="VerbatimChar"/>
        </w:rPr>
        <w:t xml:space="preserve">FiscalPeriod</w:t>
      </w:r>
      <w:r>
        <w:t xml:space="preserve"> </w:t>
      </w:r>
      <w:r>
        <w:t xml:space="preserve">both exist with</w:t>
      </w:r>
      <w:r>
        <w:t xml:space="preserve"> </w:t>
      </w:r>
      <w:r>
        <w:rPr>
          <w:rStyle w:val="VerbatimChar"/>
        </w:rPr>
        <w:t xml:space="preserve">isClosed</w:t>
      </w:r>
      <w:r>
        <w:t xml:space="preserve"> </w:t>
      </w:r>
      <w:r>
        <w:t xml:space="preserve">flags.</w:t>
      </w:r>
      <w:r>
        <w:t xml:space="preserve"> </w:t>
      </w:r>
      <w:r>
        <w:rPr>
          <w:rStyle w:val="VerbatimChar"/>
        </w:rPr>
        <w:t xml:space="preserve">FiscalPeriod</w:t>
      </w:r>
      <w:r>
        <w:t xml:space="preserve"> </w:t>
      </w:r>
      <w:r>
        <w:t xml:space="preserve">is one of the 22 tables needing</w:t>
      </w:r>
      <w:r>
        <w:t xml:space="preserve"> </w:t>
      </w:r>
      <w:r>
        <w:rPr>
          <w:rStyle w:val="VerbatimChar"/>
        </w:rPr>
        <w:t xml:space="preserve">organizationId</w:t>
      </w:r>
      <w:r>
        <w:t xml:space="preserve"> </w:t>
      </w:r>
      <w:r>
        <w:t xml:space="preserve">(§8.2). The close itself must be a posted, reversible system voucher — never a batch of</w:t>
      </w:r>
      <w:r>
        <w:t xml:space="preserve"> </w:t>
      </w:r>
      <w:r>
        <w:rPr>
          <w:rStyle w:val="VerbatimChar"/>
        </w:rPr>
        <w:t xml:space="preserve">UPDATE</w:t>
      </w:r>
      <w:r>
        <w:t xml:space="preserve">s — so that a mistaken close can be undone by reversal like any other transaction.</w:t>
      </w:r>
    </w:p>
    <w:bookmarkEnd w:id="117"/>
    <w:bookmarkStart w:id="121" w:name="fast-balances-without-caching-them"/>
    <w:p>
      <w:pPr>
        <w:pStyle w:val="Heading3"/>
      </w:pPr>
      <w:r>
        <w:t xml:space="preserve">14.6 Fast balances without caching them</w:t>
      </w:r>
    </w:p>
    <w:p>
      <w:pPr>
        <w:pStyle w:val="FirstParagraph"/>
      </w:pPr>
      <w:r>
        <w:rPr>
          <w:b/>
          <w:bCs/>
        </w:rPr>
        <w:t xml:space="preserve">[JUDGEMENT]</w:t>
      </w:r>
      <w:r>
        <w:t xml:space="preserve"> </w:t>
      </w:r>
      <w:r>
        <w:t xml:space="preserve">ADR-009 of the assessment says: never cache financial data. A stale ledger balance is a wrong ledger balance, and in this product wrong numbers are the only unrecoverable failure. But a trial balance cannot re-aggregate millions of</w:t>
      </w:r>
      <w:r>
        <w:t xml:space="preserve"> </w:t>
      </w:r>
      <w:r>
        <w:rPr>
          <w:rStyle w:val="VerbatimChar"/>
        </w:rPr>
        <w:t xml:space="preserve">voucher_entries</w:t>
      </w:r>
      <w:r>
        <w:t xml:space="preserve"> </w:t>
      </w:r>
      <w:r>
        <w:t xml:space="preserve">on every dashboard load either.</w:t>
      </w:r>
    </w:p>
    <w:p>
      <w:pPr>
        <w:pStyle w:val="BodyText"/>
      </w:pPr>
      <w:r>
        <w:t xml:space="preserve">The resolution is that</w:t>
      </w:r>
      <w:r>
        <w:t xml:space="preserve"> </w:t>
      </w:r>
      <w:r>
        <w:rPr>
          <w:b/>
          <w:bCs/>
        </w:rPr>
        <w:t xml:space="preserve">summary tables are not a cache</w:t>
      </w:r>
      <w:r>
        <w:t xml:space="preserve"> </w:t>
      </w:r>
      <w:r>
        <w:t xml:space="preserve">— they are maintained inside the posting transaction, so they cannot be stale:</w:t>
      </w:r>
    </w:p>
    <w:p>
      <w:pPr>
        <w:pStyle w:val="BodyText"/>
      </w:pPr>
      <w:r>
        <w:drawing>
          <wp:inline>
            <wp:extent cx="5334000" cy="2680607"/>
            <wp:effectExtent b="0" l="0" r="0" t="0"/>
            <wp:docPr descr="" title="" id="119" name="Picture"/>
            <a:graphic>
              <a:graphicData uri="http://schemas.openxmlformats.org/drawingml/2006/picture">
                <pic:pic>
                  <pic:nvPicPr>
                    <pic:cNvPr descr="/private/tmp/claude-501/-Users-sudipto-Desktop-projects-accubook/c277cf12-a75d-42eb-a282-70d38dbc59e8/scratchpad/d18.png" id="120" name="Picture"/>
                    <pic:cNvPicPr>
                      <a:picLocks noChangeArrowheads="1" noChangeAspect="1"/>
                    </pic:cNvPicPr>
                  </pic:nvPicPr>
                  <pic:blipFill>
                    <a:blip r:embed="rId118"/>
                    <a:stretch>
                      <a:fillRect/>
                    </a:stretch>
                  </pic:blipFill>
                  <pic:spPr bwMode="auto">
                    <a:xfrm>
                      <a:off x="0" y="0"/>
                      <a:ext cx="5334000" cy="268060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Design</w:t>
            </w:r>
          </w:p>
        </w:tc>
      </w:tr>
      <w:tr>
        <w:tc>
          <w:tcPr/>
          <w:p>
            <w:pPr>
              <w:pStyle w:val="Compact"/>
            </w:pPr>
            <w:r>
              <w:t xml:space="preserve">Updated where</w:t>
            </w:r>
          </w:p>
        </w:tc>
        <w:tc>
          <w:tcPr/>
          <w:p>
            <w:pPr>
              <w:pStyle w:val="Compact"/>
            </w:pPr>
            <w:r>
              <w:t xml:space="preserve">In the same transaction as the entry that changes it</w:t>
            </w:r>
          </w:p>
        </w:tc>
      </w:tr>
      <w:tr>
        <w:tc>
          <w:tcPr/>
          <w:p>
            <w:pPr>
              <w:pStyle w:val="Compact"/>
            </w:pPr>
            <w:r>
              <w:t xml:space="preserve">Can it be stale</w:t>
            </w:r>
          </w:p>
        </w:tc>
        <w:tc>
          <w:tcPr/>
          <w:p>
            <w:pPr>
              <w:pStyle w:val="Compact"/>
            </w:pPr>
            <w:r>
              <w:rPr>
                <w:b/>
                <w:bCs/>
              </w:rPr>
              <w:t xml:space="preserve">No</w:t>
            </w:r>
            <w:r>
              <w:t xml:space="preserve"> </w:t>
            </w:r>
            <w:r>
              <w:t xml:space="preserve">— staleness would require the transaction to have partially committed</w:t>
            </w:r>
          </w:p>
        </w:tc>
      </w:tr>
      <w:tr>
        <w:tc>
          <w:tcPr/>
          <w:p>
            <w:pPr>
              <w:pStyle w:val="Compact"/>
            </w:pPr>
            <w:r>
              <w:t xml:space="preserve">Contention</w:t>
            </w:r>
          </w:p>
        </w:tc>
        <w:tc>
          <w:tcPr/>
          <w:p>
            <w:pPr>
              <w:pStyle w:val="Compact"/>
            </w:pPr>
            <w:r>
              <w:t xml:space="preserve">Row-level, per</w:t>
            </w:r>
            <w:r>
              <w:t xml:space="preserve"> </w:t>
            </w:r>
            <w:r>
              <w:rPr>
                <w:rStyle w:val="VerbatimChar"/>
              </w:rPr>
              <w:t xml:space="preserve">(org, ledger, period)</w:t>
            </w:r>
            <w:r>
              <w:t xml:space="preserve">. Hot ledgers (Sales, GST Output) will contend within a tenant at high volume — at Stage 3, shard those rows by adding a bucket column and summing across buckets</w:t>
            </w:r>
          </w:p>
        </w:tc>
      </w:tr>
      <w:tr>
        <w:tc>
          <w:tcPr/>
          <w:p>
            <w:pPr>
              <w:pStyle w:val="Compact"/>
            </w:pPr>
            <w:r>
              <w:t xml:space="preserve">Verification</w:t>
            </w:r>
          </w:p>
        </w:tc>
        <w:tc>
          <w:tcPr/>
          <w:p>
            <w:pPr>
              <w:pStyle w:val="Compact"/>
            </w:pPr>
            <w:r>
              <w:t xml:space="preserve">A nightly job re-aggregates from</w:t>
            </w:r>
            <w:r>
              <w:t xml:space="preserve"> </w:t>
            </w:r>
            <w:r>
              <w:rPr>
                <w:rStyle w:val="VerbatimChar"/>
              </w:rPr>
              <w:t xml:space="preserve">voucher_entries</w:t>
            </w:r>
            <w:r>
              <w:t xml:space="preserve"> </w:t>
            </w:r>
            <w:r>
              <w:t xml:space="preserve">and compares.</w:t>
            </w:r>
            <w:r>
              <w:t xml:space="preserve"> </w:t>
            </w:r>
            <w:r>
              <w:rPr>
                <w:b/>
                <w:bCs/>
              </w:rPr>
              <w:t xml:space="preserve">Any mismatch pages a human.</w:t>
            </w:r>
          </w:p>
        </w:tc>
      </w:tr>
    </w:tbl>
    <w:p>
      <w:pPr>
        <w:pStyle w:val="BodyText"/>
      </w:pPr>
      <w:r>
        <w:rPr>
          <w:b/>
          <w:bCs/>
        </w:rPr>
        <w:t xml:space="preserve">[JUDGEMENT]</w:t>
      </w:r>
      <w:r>
        <w:t xml:space="preserve"> </w:t>
      </w:r>
      <w:r>
        <w:t xml:space="preserve">That nightly reconciliation alarm is, per unit of effort, one of the most valuable things in this entire document. It is roughly a day of work. It is the difference between discovering a balance-maintenance bug yourself, overnight, on the day it ships — and discovering it three months later from a customer whose filed return does not match their books.</w:t>
      </w:r>
    </w:p>
    <w:bookmarkEnd w:id="121"/>
    <w:bookmarkEnd w:id="122"/>
    <w:bookmarkStart w:id="126" w:name="extensibility-without-per-tenant-ddl"/>
    <w:p>
      <w:pPr>
        <w:pStyle w:val="Heading2"/>
      </w:pPr>
      <w:r>
        <w:t xml:space="preserve">15. Extensibility without per-tenant DDL</w:t>
      </w:r>
    </w:p>
    <w:p>
      <w:pPr>
        <w:pStyle w:val="FirstParagraph"/>
      </w:pPr>
      <w:r>
        <w:t xml:space="preserve">The Salesforce lesson from §2.1, sized correctly for AccuBook.</w:t>
      </w:r>
    </w:p>
    <w:p>
      <w:pPr>
        <w:pStyle w:val="BodyText"/>
      </w:pPr>
      <w:r>
        <w:rPr>
          <w:b/>
          <w:bCs/>
        </w:rPr>
        <w:t xml:space="preserve">The requirement:</w:t>
      </w:r>
      <w:r>
        <w:t xml:space="preserve"> </w:t>
      </w:r>
      <w:r>
        <w:t xml:space="preserve">tenants need custom fields — a</w:t>
      </w:r>
      <w:r>
        <w:t xml:space="preserve"> </w:t>
      </w:r>
      <w:r>
        <w:t xml:space="preserve">“Site Code”</w:t>
      </w:r>
      <w:r>
        <w:t xml:space="preserve"> </w:t>
      </w:r>
      <w:r>
        <w:t xml:space="preserve">on an invoice, a</w:t>
      </w:r>
      <w:r>
        <w:t xml:space="preserve"> </w:t>
      </w:r>
      <w:r>
        <w:t xml:space="preserve">“Batch Origin”</w:t>
      </w:r>
      <w:r>
        <w:t xml:space="preserve"> </w:t>
      </w:r>
      <w:r>
        <w:t xml:space="preserve">on an item.</w:t>
      </w:r>
      <w:r>
        <w:t xml:space="preserve"> </w:t>
      </w:r>
      <w:r>
        <w:rPr>
          <w:b/>
          <w:bCs/>
        </w:rPr>
        <w:t xml:space="preserve">The constraint:</w:t>
      </w:r>
      <w:r>
        <w:t xml:space="preserve"> </w:t>
      </w:r>
      <w:r>
        <w:t xml:space="preserve">per-tenant DDL is forbidden. 100,000 tenants each adding three columns is 300,000 columns and the end of migrations.</w:t>
      </w:r>
    </w:p>
    <w:p>
      <w:pPr>
        <w:pStyle w:val="BodyText"/>
      </w:pPr>
      <w:r>
        <w:drawing>
          <wp:inline>
            <wp:extent cx="5334000" cy="5317486"/>
            <wp:effectExtent b="0" l="0" r="0" t="0"/>
            <wp:docPr descr="" title="" id="124" name="Picture"/>
            <a:graphic>
              <a:graphicData uri="http://schemas.openxmlformats.org/drawingml/2006/picture">
                <pic:pic>
                  <pic:nvPicPr>
                    <pic:cNvPr descr="/private/tmp/claude-501/-Users-sudipto-Desktop-projects-accubook/c277cf12-a75d-42eb-a282-70d38dbc59e8/scratchpad/d19.png" id="125" name="Picture"/>
                    <pic:cNvPicPr>
                      <a:picLocks noChangeArrowheads="1" noChangeAspect="1"/>
                    </pic:cNvPicPr>
                  </pic:nvPicPr>
                  <pic:blipFill>
                    <a:blip r:embed="rId123"/>
                    <a:stretch>
                      <a:fillRect/>
                    </a:stretch>
                  </pic:blipFill>
                  <pic:spPr bwMode="auto">
                    <a:xfrm>
                      <a:off x="0" y="0"/>
                      <a:ext cx="5334000" cy="531748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Reason</w:t>
            </w:r>
          </w:p>
        </w:tc>
      </w:tr>
      <w:tr>
        <w:tc>
          <w:tcPr/>
          <w:p>
            <w:pPr>
              <w:pStyle w:val="Compact"/>
            </w:pPr>
            <w:r>
              <w:t xml:space="preserve">Storage</w:t>
            </w:r>
          </w:p>
        </w:tc>
        <w:tc>
          <w:tcPr/>
          <w:p>
            <w:pPr>
              <w:pStyle w:val="Compact"/>
            </w:pPr>
            <w:r>
              <w:t xml:space="preserve">A</w:t>
            </w:r>
            <w:r>
              <w:t xml:space="preserve"> </w:t>
            </w:r>
            <w:r>
              <w:rPr>
                <w:rStyle w:val="VerbatimChar"/>
              </w:rPr>
              <w:t xml:space="preserve">JSONB</w:t>
            </w:r>
            <w:r>
              <w:t xml:space="preserve"> </w:t>
            </w:r>
            <w:r>
              <w:t xml:space="preserve">column on the entity</w:t>
            </w:r>
          </w:p>
        </w:tc>
        <w:tc>
          <w:tcPr/>
          <w:p>
            <w:pPr>
              <w:pStyle w:val="Compact"/>
            </w:pPr>
            <w:r>
              <w:t xml:space="preserve">One column, no DDL per tenant, indexable</w:t>
            </w:r>
          </w:p>
        </w:tc>
      </w:tr>
      <w:tr>
        <w:tc>
          <w:tcPr/>
          <w:p>
            <w:pPr>
              <w:pStyle w:val="Compact"/>
            </w:pPr>
            <w:r>
              <w:t xml:space="preserve">Definition</w:t>
            </w:r>
          </w:p>
        </w:tc>
        <w:tc>
          <w:tcPr/>
          <w:p>
            <w:pPr>
              <w:pStyle w:val="Compact"/>
            </w:pPr>
            <w:r>
              <w:t xml:space="preserve">Rows, per tenant</w:t>
            </w:r>
          </w:p>
        </w:tc>
        <w:tc>
          <w:tcPr/>
          <w:p>
            <w:pPr>
              <w:pStyle w:val="Compact"/>
            </w:pPr>
            <w:r>
              <w:t xml:space="preserve">Drives the UI, validation and export</w:t>
            </w:r>
          </w:p>
        </w:tc>
      </w:tr>
      <w:tr>
        <w:tc>
          <w:tcPr/>
          <w:p>
            <w:pPr>
              <w:pStyle w:val="Compact"/>
            </w:pPr>
            <w:r>
              <w:t xml:space="preserve">Validation</w:t>
            </w:r>
          </w:p>
        </w:tc>
        <w:tc>
          <w:tcPr/>
          <w:p>
            <w:pPr>
              <w:pStyle w:val="Compact"/>
            </w:pPr>
            <w:r>
              <w:t xml:space="preserve">Zod schema built from the definitions, at the API boundary</w:t>
            </w:r>
          </w:p>
        </w:tc>
        <w:tc>
          <w:tcPr/>
          <w:p>
            <w:pPr>
              <w:pStyle w:val="Compact"/>
            </w:pPr>
            <w:r>
              <w:t xml:space="preserve">Type safety without types</w:t>
            </w:r>
          </w:p>
        </w:tc>
      </w:tr>
      <w:tr>
        <w:tc>
          <w:tcPr/>
          <w:p>
            <w:pPr>
              <w:pStyle w:val="Compact"/>
            </w:pPr>
            <w:r>
              <w:t xml:space="preserve">Query</w:t>
            </w:r>
          </w:p>
        </w:tc>
        <w:tc>
          <w:tcPr/>
          <w:p>
            <w:pPr>
              <w:pStyle w:val="Compact"/>
            </w:pPr>
            <w:r>
              <w:rPr>
                <w:rStyle w:val="VerbatimChar"/>
              </w:rPr>
              <w:t xml:space="preserve">GIN</w:t>
            </w:r>
            <w:r>
              <w:t xml:space="preserve"> </w:t>
            </w:r>
            <w:r>
              <w:t xml:space="preserve">index generally; an expression index for a field a tenant filters on constantly</w:t>
            </w:r>
          </w:p>
        </w:tc>
        <w:tc>
          <w:tcPr/>
          <w:p>
            <w:pPr>
              <w:pStyle w:val="Compact"/>
            </w:pPr>
            <w:r>
              <w:t xml:space="preserve">Bounded cost</w:t>
            </w:r>
          </w:p>
        </w:tc>
      </w:tr>
      <w:tr>
        <w:tc>
          <w:tcPr/>
          <w:p>
            <w:pPr>
              <w:pStyle w:val="Compact"/>
            </w:pPr>
            <w:r>
              <w:rPr>
                <w:b/>
                <w:bCs/>
              </w:rPr>
              <w:t xml:space="preserve">Not</w:t>
            </w:r>
            <w:r>
              <w:t xml:space="preserve"> </w:t>
            </w:r>
            <w:r>
              <w:t xml:space="preserve">the Salesforce universal data table</w:t>
            </w:r>
          </w:p>
        </w:tc>
        <w:tc>
          <w:tcPr/>
          <w:p>
            <w:pPr>
              <w:pStyle w:val="Compact"/>
            </w:pPr>
            <w:r>
              <w:t xml:space="preserve">Rejected</w:t>
            </w:r>
          </w:p>
        </w:tc>
        <w:tc>
          <w:tcPr/>
          <w:p>
            <w:pPr>
              <w:pStyle w:val="Compact"/>
            </w:pPr>
            <w:r>
              <w:rPr>
                <w:b/>
                <w:bCs/>
              </w:rPr>
              <w:t xml:space="preserve">[JUDGEMENT]</w:t>
            </w:r>
            <w:r>
              <w:t xml:space="preserve"> </w:t>
            </w:r>
            <w:r>
              <w:t xml:space="preserve">Correct at Salesforce’s scale and customisation depth; enormous complexity for a product whose schema is 95% fixed by accounting standards. AccuBook’s schema is</w:t>
            </w:r>
            <w:r>
              <w:t xml:space="preserve"> </w:t>
            </w:r>
            <w:r>
              <w:rPr>
                <w:i/>
                <w:iCs/>
              </w:rPr>
              <w:t xml:space="preserve">supposed</w:t>
            </w:r>
            <w:r>
              <w:t xml:space="preserve"> </w:t>
            </w:r>
            <w:r>
              <w:t xml:space="preserve">to be rigid — a chart of accounts is not a customisation surface</w:t>
            </w:r>
          </w:p>
        </w:tc>
      </w:tr>
    </w:tbl>
    <w:p>
      <w:pPr>
        <w:pStyle w:val="BodyText"/>
      </w:pPr>
      <w:r>
        <w:rPr>
          <w:b/>
          <w:bCs/>
        </w:rPr>
        <w:t xml:space="preserve">[VERIFIED-REPO]</w:t>
      </w:r>
      <w:r>
        <w:t xml:space="preserve"> </w:t>
      </w:r>
      <w:r>
        <w:t xml:space="preserve">The pattern already appears:</w:t>
      </w:r>
      <w:r>
        <w:t xml:space="preserve"> </w:t>
      </w:r>
      <w:r>
        <w:rPr>
          <w:rStyle w:val="VerbatimChar"/>
        </w:rPr>
        <w:t xml:space="preserve">Voucher.metadata Json?</w:t>
      </w:r>
      <w:r>
        <w:t xml:space="preserve">,</w:t>
      </w:r>
      <w:r>
        <w:t xml:space="preserve"> </w:t>
      </w:r>
      <w:r>
        <w:rPr>
          <w:rStyle w:val="VerbatimChar"/>
        </w:rPr>
        <w:t xml:space="preserve">Voucher.attachments Json?</w:t>
      </w:r>
      <w:r>
        <w:t xml:space="preserve">,</w:t>
      </w:r>
      <w:r>
        <w:t xml:space="preserve"> </w:t>
      </w:r>
      <w:r>
        <w:rPr>
          <w:rStyle w:val="VerbatimChar"/>
        </w:rPr>
        <w:t xml:space="preserve">Organization.payrollSettings Json?</w:t>
      </w:r>
      <w:r>
        <w:t xml:space="preserve">. The comment on</w:t>
      </w:r>
      <w:r>
        <w:t xml:space="preserve"> </w:t>
      </w:r>
      <w:r>
        <w:rPr>
          <w:rStyle w:val="VerbatimChar"/>
        </w:rPr>
        <w:t xml:space="preserve">payrollSettings</w:t>
      </w:r>
      <w:r>
        <w:t xml:space="preserve"> </w:t>
      </w:r>
      <w:r>
        <w:t xml:space="preserve">states the rule well —</w:t>
      </w:r>
      <w:r>
        <w:t xml:space="preserve"> </w:t>
      </w:r>
      <w:r>
        <w:rPr>
          <w:i/>
          <w:iCs/>
        </w:rPr>
        <w:t xml:space="preserve">“held as JSON because the shape is a settings sheet rather than something queried or joined on; it is validated by zod at the API boundary.”</w:t>
      </w:r>
      <w:r>
        <w:t xml:space="preserve"> </w:t>
      </w:r>
      <w:r>
        <w:t xml:space="preserve">That is exactly the right test for JSONB versus a column.</w:t>
      </w:r>
    </w:p>
    <w:bookmarkEnd w:id="126"/>
    <w:bookmarkStart w:id="133" w:name="orm-and-connection-management"/>
    <w:p>
      <w:pPr>
        <w:pStyle w:val="Heading2"/>
      </w:pPr>
      <w:r>
        <w:t xml:space="preserve">16. ORM and connection management</w:t>
      </w:r>
    </w:p>
    <w:bookmarkStart w:id="130" w:name="client-topology"/>
    <w:p>
      <w:pPr>
        <w:pStyle w:val="Heading3"/>
      </w:pPr>
      <w:r>
        <w:t xml:space="preserve">16.1 Client topology</w:t>
      </w:r>
    </w:p>
    <w:p>
      <w:pPr>
        <w:pStyle w:val="FirstParagraph"/>
      </w:pPr>
      <w:r>
        <w:rPr>
          <w:b/>
          <w:bCs/>
        </w:rPr>
        <w:t xml:space="preserve">One Prisma client per placement — never per tenant.</w:t>
      </w:r>
    </w:p>
    <w:p>
      <w:pPr>
        <w:pStyle w:val="BodyText"/>
      </w:pPr>
      <w:r>
        <w:drawing>
          <wp:inline>
            <wp:extent cx="5334000" cy="4721678"/>
            <wp:effectExtent b="0" l="0" r="0" t="0"/>
            <wp:docPr descr="" title="" id="128" name="Picture"/>
            <a:graphic>
              <a:graphicData uri="http://schemas.openxmlformats.org/drawingml/2006/picture">
                <pic:pic>
                  <pic:nvPicPr>
                    <pic:cNvPr descr="/private/tmp/claude-501/-Users-sudipto-Desktop-projects-accubook/c277cf12-a75d-42eb-a282-70d38dbc59e8/scratchpad/d20.png" id="129" name="Picture"/>
                    <pic:cNvPicPr>
                      <a:picLocks noChangeArrowheads="1" noChangeAspect="1"/>
                    </pic:cNvPicPr>
                  </pic:nvPicPr>
                  <pic:blipFill>
                    <a:blip r:embed="rId127"/>
                    <a:stretch>
                      <a:fillRect/>
                    </a:stretch>
                  </pic:blipFill>
                  <pic:spPr bwMode="auto">
                    <a:xfrm>
                      <a:off x="0" y="0"/>
                      <a:ext cx="5334000" cy="4721678"/>
                    </a:xfrm>
                    <a:prstGeom prst="rect">
                      <a:avLst/>
                    </a:prstGeom>
                    <a:noFill/>
                    <a:ln w="9525">
                      <a:noFill/>
                      <a:headEnd/>
                      <a:tailEnd/>
                    </a:ln>
                  </pic:spPr>
                </pic:pic>
              </a:graphicData>
            </a:graphic>
          </wp:inline>
        </w:drawing>
      </w:r>
    </w:p>
    <w:p>
      <w:pPr>
        <w:pStyle w:val="BodyText"/>
      </w:pPr>
      <w:r>
        <w:rPr>
          <w:b/>
          <w:bCs/>
        </w:rPr>
        <w:t xml:space="preserve">[JUDGEMENT]</w:t>
      </w:r>
      <w:r>
        <w:t xml:space="preserve"> </w:t>
      </w:r>
      <w:r>
        <w:t xml:space="preserve">A client per tenant is the classic mistake in this design space: each client carries a connection pool, so 100,000 tenants is 100,000 pools. The client belongs to the</w:t>
      </w:r>
      <w:r>
        <w:t xml:space="preserve"> </w:t>
      </w:r>
      <w:r>
        <w:rPr>
          <w:i/>
          <w:iCs/>
        </w:rPr>
        <w:t xml:space="preserve">placement</w:t>
      </w:r>
      <w:r>
        <w:t xml:space="preserve">; the tenant is a runtime property carried by the extension and the transaction-local setting.</w:t>
      </w:r>
    </w:p>
    <w:bookmarkEnd w:id="130"/>
    <w:bookmarkStart w:id="131" w:name="X89f5d3d634a6a2c08aff8ee091bd362cfe8446f"/>
    <w:p>
      <w:pPr>
        <w:pStyle w:val="Heading3"/>
      </w:pPr>
      <w:r>
        <w:t xml:space="preserve">16.2 Connections — the binding constraint on serverless</w:t>
      </w:r>
    </w:p>
    <w:p>
      <w:pPr>
        <w:pStyle w:val="FirstParagraph"/>
      </w:pPr>
      <w:r>
        <w:rPr>
          <w:b/>
          <w:bCs/>
        </w:rPr>
        <w:t xml:space="preserve">[PATTERN]</w:t>
      </w:r>
      <w:r>
        <w:t xml:space="preserve"> </w:t>
      </w:r>
      <w:r>
        <w:t xml:space="preserve">This is the constraint that most often surprises teams on serverless.</w:t>
      </w:r>
    </w:p>
    <w:p>
      <w:pPr>
        <w:pStyle w:val="SourceCode"/>
      </w:pPr>
      <w:r>
        <w:rPr>
          <w:rStyle w:val="VerbatimChar"/>
        </w:rPr>
        <w:t xml:space="preserve">concurrent function instances × pool size per instance = connections demanded</w:t>
      </w:r>
    </w:p>
    <w:p>
      <w:pPr>
        <w:pStyle w:val="FirstParagraph"/>
      </w:pPr>
      <w:r>
        <w:t xml:space="preserve">Function instances scale with traffic and are effectively unbounded above. Postgres connections are not:</w:t>
      </w:r>
      <w:r>
        <w:t xml:space="preserve"> </w:t>
      </w:r>
      <w:r>
        <w:rPr>
          <w:b/>
          <w:bCs/>
        </w:rPr>
        <w:t xml:space="preserve">[VENDOR-CHECK]</w:t>
      </w:r>
      <w:r>
        <w:t xml:space="preserve"> </w:t>
      </w:r>
      <w:r>
        <w:t xml:space="preserve">a managed Postgres instance typically permits hundreds, not thousands, of direct connections, scaling with instance size — verify against neon.tech/docs for the chosen compute size.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Setting</w:t>
            </w:r>
          </w:p>
        </w:tc>
        <w:tc>
          <w:tcPr/>
          <w:p>
            <w:pPr>
              <w:pStyle w:val="Compact"/>
            </w:pPr>
            <w:r>
              <w:t xml:space="preserve">Reason</w:t>
            </w:r>
          </w:p>
        </w:tc>
      </w:tr>
      <w:tr>
        <w:tc>
          <w:tcPr/>
          <w:p>
            <w:pPr>
              <w:pStyle w:val="Compact"/>
            </w:pPr>
            <w:r>
              <w:t xml:space="preserve">Serverless app pool</w:t>
            </w:r>
          </w:p>
        </w:tc>
        <w:tc>
          <w:tcPr/>
          <w:p>
            <w:pPr>
              <w:pStyle w:val="Compact"/>
            </w:pPr>
            <w:r>
              <w:rPr>
                <w:rStyle w:val="VerbatimChar"/>
              </w:rPr>
              <w:t xml:space="preserve">max = 3</w:t>
            </w:r>
            <w:r>
              <w:t xml:space="preserve"> </w:t>
            </w:r>
            <w:r>
              <w:rPr>
                <w:b/>
                <w:bCs/>
              </w:rPr>
              <w:t xml:space="preserve">[VERIFIED-REPO]</w:t>
            </w:r>
          </w:p>
        </w:tc>
        <w:tc>
          <w:tcPr/>
          <w:p>
            <w:pPr>
              <w:pStyle w:val="Compact"/>
            </w:pPr>
            <w:r>
              <w:t xml:space="preserve">Already a thoughtful choice. Keep it</w:t>
            </w:r>
          </w:p>
        </w:tc>
      </w:tr>
      <w:tr>
        <w:tc>
          <w:tcPr/>
          <w:p>
            <w:pPr>
              <w:pStyle w:val="Compact"/>
            </w:pPr>
            <w:r>
              <w:t xml:space="preserve">Worker pool</w:t>
            </w:r>
          </w:p>
        </w:tc>
        <w:tc>
          <w:tcPr/>
          <w:p>
            <w:pPr>
              <w:pStyle w:val="Compact"/>
            </w:pPr>
            <w:r>
              <w:t xml:space="preserve">10–20 per container</w:t>
            </w:r>
          </w:p>
        </w:tc>
        <w:tc>
          <w:tcPr/>
          <w:p>
            <w:pPr>
              <w:pStyle w:val="Compact"/>
            </w:pPr>
            <w:r>
              <w:t xml:space="preserve">Long-lived, countable, predictable</w:t>
            </w:r>
          </w:p>
        </w:tc>
      </w:tr>
      <w:tr>
        <w:tc>
          <w:tcPr/>
          <w:p>
            <w:pPr>
              <w:pStyle w:val="Compact"/>
            </w:pPr>
            <w:r>
              <w:t xml:space="preserve">Pooler mode</w:t>
            </w:r>
          </w:p>
        </w:tc>
        <w:tc>
          <w:tcPr/>
          <w:p>
            <w:pPr>
              <w:pStyle w:val="Compact"/>
            </w:pPr>
            <w:r>
              <w:rPr>
                <w:b/>
                <w:bCs/>
              </w:rPr>
              <w:t xml:space="preserve">Transaction</w:t>
            </w:r>
          </w:p>
        </w:tc>
        <w:tc>
          <w:tcPr/>
          <w:p>
            <w:pPr>
              <w:pStyle w:val="Compact"/>
            </w:pPr>
            <w:r>
              <w:t xml:space="preserve">Session mode holds a backend for the whole session and defeats the purpose</w:t>
            </w:r>
          </w:p>
        </w:tc>
      </w:tr>
      <w:tr>
        <w:tc>
          <w:tcPr/>
          <w:p>
            <w:pPr>
              <w:pStyle w:val="Compact"/>
            </w:pPr>
            <w:r>
              <w:rPr>
                <w:rStyle w:val="VerbatimChar"/>
              </w:rPr>
              <w:t xml:space="preserve">statement_timeout</w:t>
            </w:r>
          </w:p>
        </w:tc>
        <w:tc>
          <w:tcPr/>
          <w:p>
            <w:pPr>
              <w:pStyle w:val="Compact"/>
            </w:pPr>
            <w:r>
              <w:t xml:space="preserve">15 s app / 120 s report role</w:t>
            </w:r>
          </w:p>
        </w:tc>
        <w:tc>
          <w:tcPr/>
          <w:p>
            <w:pPr>
              <w:pStyle w:val="Compact"/>
            </w:pPr>
            <w:r>
              <w:rPr>
                <w:b/>
                <w:bCs/>
              </w:rPr>
              <w:t xml:space="preserve">A runaway query must die on its own.</w:t>
            </w:r>
            <w:r>
              <w:t xml:space="preserve"> </w:t>
            </w:r>
            <w:r>
              <w:t xml:space="preserve">Currently unset</w:t>
            </w:r>
          </w:p>
        </w:tc>
      </w:tr>
      <w:tr>
        <w:tc>
          <w:tcPr/>
          <w:p>
            <w:pPr>
              <w:pStyle w:val="Compact"/>
            </w:pPr>
            <w:r>
              <w:rPr>
                <w:rStyle w:val="VerbatimChar"/>
              </w:rPr>
              <w:t xml:space="preserve">lock_timeout</w:t>
            </w:r>
          </w:p>
        </w:tc>
        <w:tc>
          <w:tcPr/>
          <w:p>
            <w:pPr>
              <w:pStyle w:val="Compact"/>
            </w:pPr>
            <w:r>
              <w:t xml:space="preserve">5 s</w:t>
            </w:r>
          </w:p>
        </w:tc>
        <w:tc>
          <w:tcPr/>
          <w:p>
            <w:pPr>
              <w:pStyle w:val="Compact"/>
            </w:pPr>
            <w:r>
              <w:t xml:space="preserve">A migration or a hot row must not queue the whole application behind it</w:t>
            </w:r>
          </w:p>
        </w:tc>
      </w:tr>
      <w:tr>
        <w:tc>
          <w:tcPr/>
          <w:p>
            <w:pPr>
              <w:pStyle w:val="Compact"/>
            </w:pPr>
            <w:r>
              <w:rPr>
                <w:rStyle w:val="VerbatimChar"/>
              </w:rPr>
              <w:t xml:space="preserve">idle_in_transaction_session_timeout</w:t>
            </w:r>
          </w:p>
        </w:tc>
        <w:tc>
          <w:tcPr/>
          <w:p>
            <w:pPr>
              <w:pStyle w:val="Compact"/>
            </w:pPr>
            <w:r>
              <w:t xml:space="preserve">30 s</w:t>
            </w:r>
          </w:p>
        </w:tc>
        <w:tc>
          <w:tcPr/>
          <w:p>
            <w:pPr>
              <w:pStyle w:val="Compact"/>
            </w:pPr>
            <w:r>
              <w:t xml:space="preserve">An abandoned transaction holds locks and blocks vacuum indefinitely</w:t>
            </w:r>
          </w:p>
        </w:tc>
      </w:tr>
    </w:tbl>
    <w:p>
      <w:pPr>
        <w:pStyle w:val="BodyText"/>
      </w:pPr>
      <w:r>
        <w:rPr>
          <w:b/>
          <w:bCs/>
        </w:rPr>
        <w:t xml:space="preserve">[JUDGEMENT]</w:t>
      </w:r>
      <w:r>
        <w:t xml:space="preserve"> </w:t>
      </w:r>
      <w:r>
        <w:t xml:space="preserve">Those three timeouts are hours of work and are the highest-value operational change available. Without</w:t>
      </w:r>
      <w:r>
        <w:t xml:space="preserve"> </w:t>
      </w:r>
      <w:r>
        <w:rPr>
          <w:rStyle w:val="VerbatimChar"/>
        </w:rPr>
        <w:t xml:space="preserve">statement_timeout</w:t>
      </w:r>
      <w:r>
        <w:t xml:space="preserve">, one unindexed report query on one tenant’s data can saturate the primary and take down every tenant — the noisy-neighbour failure in its purest form.</w:t>
      </w:r>
    </w:p>
    <w:bookmarkEnd w:id="131"/>
    <w:bookmarkStart w:id="132" w:name="what-transaction-mode-pooling-costs"/>
    <w:p>
      <w:pPr>
        <w:pStyle w:val="Heading3"/>
      </w:pPr>
      <w:r>
        <w:t xml:space="preserve">16.3 What transaction-mode pooling costs</w:t>
      </w:r>
    </w:p>
    <w:p>
      <w:pPr>
        <w:pStyle w:val="FirstParagraph"/>
      </w:pPr>
      <w:r>
        <w:t xml:space="preserve">Stating this explicitly, because it removes options people reach for later: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Unavailable</w:t>
            </w:r>
          </w:p>
        </w:tc>
        <w:tc>
          <w:tcPr/>
          <w:p>
            <w:pPr>
              <w:pStyle w:val="Compact"/>
            </w:pPr>
            <w:r>
              <w:t xml:space="preserve">Consequence</w:t>
            </w:r>
          </w:p>
        </w:tc>
        <w:tc>
          <w:tcPr/>
          <w:p>
            <w:pPr>
              <w:pStyle w:val="Compact"/>
            </w:pPr>
            <w:r>
              <w:t xml:space="preserve">Alternative used here</w:t>
            </w:r>
          </w:p>
        </w:tc>
      </w:tr>
      <w:tr>
        <w:tc>
          <w:tcPr/>
          <w:p>
            <w:pPr>
              <w:pStyle w:val="Compact"/>
            </w:pPr>
            <w:r>
              <w:rPr>
                <w:rStyle w:val="VerbatimChar"/>
              </w:rPr>
              <w:t xml:space="preserve">LISTEN</w:t>
            </w:r>
            <w:r>
              <w:t xml:space="preserve"> </w:t>
            </w:r>
            <w:r>
              <w:t xml:space="preserve">/</w:t>
            </w:r>
            <w:r>
              <w:t xml:space="preserve"> </w:t>
            </w:r>
            <w:r>
              <w:rPr>
                <w:rStyle w:val="VerbatimChar"/>
              </w:rPr>
              <w:t xml:space="preserve">NOTIFY</w:t>
            </w:r>
          </w:p>
        </w:tc>
        <w:tc>
          <w:tcPr/>
          <w:p>
            <w:pPr>
              <w:pStyle w:val="Compact"/>
            </w:pPr>
            <w:r>
              <w:t xml:space="preserve">No push notification from the database</w:t>
            </w:r>
          </w:p>
        </w:tc>
        <w:tc>
          <w:tcPr/>
          <w:p>
            <w:pPr>
              <w:pStyle w:val="Compact"/>
            </w:pPr>
            <w:r>
              <w:t xml:space="preserve">The worker polls with</w:t>
            </w:r>
            <w:r>
              <w:t xml:space="preserve"> </w:t>
            </w:r>
            <w:r>
              <w:rPr>
                <w:rStyle w:val="VerbatimChar"/>
              </w:rPr>
              <w:t xml:space="preserve">SKIP LOCKED</w:t>
            </w:r>
            <w:r>
              <w:t xml:space="preserve"> </w:t>
            </w:r>
            <w:r>
              <w:t xml:space="preserve">— §18</w:t>
            </w:r>
          </w:p>
        </w:tc>
      </w:tr>
      <w:tr>
        <w:tc>
          <w:tcPr/>
          <w:p>
            <w:pPr>
              <w:pStyle w:val="Compact"/>
            </w:pPr>
            <w:r>
              <w:t xml:space="preserve">Session-level advisory locks</w:t>
            </w:r>
          </w:p>
        </w:tc>
        <w:tc>
          <w:tcPr/>
          <w:p>
            <w:pPr>
              <w:pStyle w:val="Compact"/>
            </w:pPr>
            <w:r>
              <w:t xml:space="preserve">No cross-transaction mutex</w:t>
            </w:r>
          </w:p>
        </w:tc>
        <w:tc>
          <w:tcPr/>
          <w:p>
            <w:pPr>
              <w:pStyle w:val="Compact"/>
            </w:pPr>
            <w:r>
              <w:t xml:space="preserve">Transaction-level advisory locks, or a Redis lock</w:t>
            </w:r>
          </w:p>
        </w:tc>
      </w:tr>
      <w:tr>
        <w:tc>
          <w:tcPr/>
          <w:p>
            <w:pPr>
              <w:pStyle w:val="Compact"/>
            </w:pPr>
            <w:r>
              <w:t xml:space="preserve">Session</w:t>
            </w:r>
            <w:r>
              <w:t xml:space="preserve"> </w:t>
            </w:r>
            <w:r>
              <w:rPr>
                <w:rStyle w:val="VerbatimChar"/>
              </w:rPr>
              <w:t xml:space="preserve">SET</w:t>
            </w:r>
          </w:p>
        </w:tc>
        <w:tc>
          <w:tcPr/>
          <w:p>
            <w:pPr>
              <w:pStyle w:val="Compact"/>
            </w:pPr>
            <w:r>
              <w:t xml:space="preserve">Cannot set the tenant per session</w:t>
            </w:r>
          </w:p>
        </w:tc>
        <w:tc>
          <w:tcPr/>
          <w:p>
            <w:pPr>
              <w:pStyle w:val="Compact"/>
            </w:pPr>
            <w:r>
              <w:rPr>
                <w:rStyle w:val="VerbatimChar"/>
              </w:rPr>
              <w:t xml:space="preserve">set_config(…, true)</w:t>
            </w:r>
            <w:r>
              <w:t xml:space="preserve"> </w:t>
            </w:r>
            <w:r>
              <w:t xml:space="preserve">per transaction — which is safer anyway</w:t>
            </w:r>
          </w:p>
        </w:tc>
      </w:tr>
      <w:tr>
        <w:tc>
          <w:tcPr/>
          <w:p>
            <w:pPr>
              <w:pStyle w:val="Compact"/>
            </w:pPr>
            <w:r>
              <w:t xml:space="preserve">Cross-transaction prepared statements</w:t>
            </w:r>
          </w:p>
        </w:tc>
        <w:tc>
          <w:tcPr/>
          <w:p>
            <w:pPr>
              <w:pStyle w:val="Compact"/>
            </w:pPr>
            <w:r>
              <w:t xml:space="preserve">Minor plan-cache loss</w:t>
            </w:r>
          </w:p>
        </w:tc>
        <w:tc>
          <w:tcPr/>
          <w:p>
            <w:pPr>
              <w:pStyle w:val="Compact"/>
            </w:pPr>
            <w:r>
              <w:t xml:space="preserve">Accepted</w:t>
            </w:r>
          </w:p>
        </w:tc>
      </w:tr>
    </w:tbl>
    <w:bookmarkEnd w:id="132"/>
    <w:bookmarkEnd w:id="133"/>
    <w:bookmarkStart w:id="146" w:name="placement-and-sharding"/>
    <w:p>
      <w:pPr>
        <w:pStyle w:val="Heading2"/>
      </w:pPr>
      <w:r>
        <w:t xml:space="preserve">17. Placement and sharding</w:t>
      </w:r>
    </w:p>
    <w:bookmarkStart w:id="137" w:name="the-indirection"/>
    <w:p>
      <w:pPr>
        <w:pStyle w:val="Heading3"/>
      </w:pPr>
      <w:r>
        <w:t xml:space="preserve">17.1 The indirection</w:t>
      </w:r>
    </w:p>
    <w:p>
      <w:pPr>
        <w:pStyle w:val="FirstParagraph"/>
      </w:pPr>
      <w:r>
        <w:drawing>
          <wp:inline>
            <wp:extent cx="5334000" cy="3394363"/>
            <wp:effectExtent b="0" l="0" r="0" t="0"/>
            <wp:docPr descr="" title="" id="135" name="Picture"/>
            <a:graphic>
              <a:graphicData uri="http://schemas.openxmlformats.org/drawingml/2006/picture">
                <pic:pic>
                  <pic:nvPicPr>
                    <pic:cNvPr descr="/private/tmp/claude-501/-Users-sudipto-Desktop-projects-accubook/c277cf12-a75d-42eb-a282-70d38dbc59e8/scratchpad/d21.png" id="136" name="Picture"/>
                    <pic:cNvPicPr>
                      <a:picLocks noChangeArrowheads="1" noChangeAspect="1"/>
                    </pic:cNvPicPr>
                  </pic:nvPicPr>
                  <pic:blipFill>
                    <a:blip r:embed="rId134"/>
                    <a:stretch>
                      <a:fillRect/>
                    </a:stretch>
                  </pic:blipFill>
                  <pic:spPr bwMode="auto">
                    <a:xfrm>
                      <a:off x="0" y="0"/>
                      <a:ext cx="5334000" cy="3394363"/>
                    </a:xfrm>
                    <a:prstGeom prst="rect">
                      <a:avLst/>
                    </a:prstGeom>
                    <a:noFill/>
                    <a:ln w="9525">
                      <a:noFill/>
                      <a:headEnd/>
                      <a:tailEnd/>
                    </a:ln>
                  </pic:spPr>
                </pic:pic>
              </a:graphicData>
            </a:graphic>
          </wp:inline>
        </w:drawing>
      </w:r>
    </w:p>
    <w:p>
      <w:pPr>
        <w:pStyle w:val="SourceCode"/>
      </w:pPr>
      <w:r>
        <w:rPr>
          <w:rStyle w:val="CommentTok"/>
        </w:rPr>
        <w:t xml:space="preserve">// V1, in full. This is the entire implementation, and that is the point.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resolvePlacement</w:t>
      </w:r>
      <w:r>
        <w:rPr>
          <w:rStyle w:val="NormalTok"/>
        </w:rPr>
        <w:t xml:space="preserve">(tenantId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PlacementId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ControlFlowTok"/>
        </w:rPr>
        <w:t xml:space="preserve">await</w:t>
      </w:r>
      <w:r>
        <w:rPr>
          <w:rStyle w:val="NormalTok"/>
        </w:rPr>
        <w:t xml:space="preserve"> platformCache</w:t>
      </w:r>
      <w:r>
        <w:rPr>
          <w:rStyle w:val="OperatorTok"/>
        </w:rPr>
        <w:t xml:space="preserve">.</w:t>
      </w:r>
      <w:r>
        <w:rPr>
          <w:rStyle w:val="FunctionTok"/>
        </w:rPr>
        <w:t xml:space="preserve">assignment</w:t>
      </w:r>
      <w:r>
        <w:rPr>
          <w:rStyle w:val="NormalTok"/>
        </w:rPr>
        <w:t xml:space="preserve">(tenantId)</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placementId</w:t>
      </w:r>
      <w:r>
        <w:rPr>
          <w:rStyle w:val="NormalTok"/>
        </w:rPr>
        <w:t xml:space="preserve"> </w:t>
      </w:r>
      <w:r>
        <w:rPr>
          <w:rStyle w:val="OperatorTok"/>
        </w:rPr>
        <w:t xml:space="preserve">??</w:t>
      </w:r>
      <w:r>
        <w:rPr>
          <w:rStyle w:val="NormalTok"/>
        </w:rPr>
        <w:t xml:space="preserve"> </w:t>
      </w:r>
      <w:r>
        <w:rPr>
          <w:rStyle w:val="StringTok"/>
        </w:rPr>
        <w:t xml:space="preserve">"POOL-01"</w:t>
      </w:r>
      <w:r>
        <w:rPr>
          <w:rStyle w:val="OperatorTok"/>
        </w:rPr>
        <w:t xml:space="preserve">;</w:t>
      </w:r>
      <w:r>
        <w:br/>
      </w:r>
      <w:r>
        <w:rPr>
          <w:rStyle w:val="NormalTok"/>
        </w:rPr>
        <w:t xml:space="preserve">}</w:t>
      </w:r>
    </w:p>
    <w:p>
      <w:pPr>
        <w:pStyle w:val="FirstParagraph"/>
      </w:pPr>
      <w:r>
        <w:rPr>
          <w:b/>
          <w:bCs/>
        </w:rPr>
        <w:t xml:space="preserve">[JUDGEMENT]</w:t>
      </w:r>
      <w:r>
        <w:t xml:space="preserve"> </w:t>
      </w:r>
      <w:r>
        <w:t xml:space="preserve">Two engineer-days. It does nothing in V1. It is the difference between</w:t>
      </w:r>
      <w:r>
        <w:t xml:space="preserve"> </w:t>
      </w:r>
      <w:r>
        <w:t xml:space="preserve">“we can move that customer next Tuesday”</w:t>
      </w:r>
      <w:r>
        <w:t xml:space="preserve"> </w:t>
      </w:r>
      <w:r>
        <w:t xml:space="preserve">and</w:t>
      </w:r>
      <w:r>
        <w:t xml:space="preserve"> </w:t>
      </w:r>
      <w:r>
        <w:t xml:space="preserve">“that would be a six-month project”</w:t>
      </w:r>
      <w:r>
        <w:t xml:space="preserve">, and between</w:t>
      </w:r>
      <w:r>
        <w:t xml:space="preserve"> </w:t>
      </w:r>
      <w:r>
        <w:t xml:space="preserve">“we can offer data residency”</w:t>
      </w:r>
      <w:r>
        <w:t xml:space="preserve"> </w:t>
      </w:r>
      <w:r>
        <w:t xml:space="preserve">and</w:t>
      </w:r>
      <w:r>
        <w:t xml:space="preserve"> </w:t>
      </w:r>
      <w:r>
        <w:t xml:space="preserve">“we cannot bid for that contract”</w:t>
      </w:r>
      <w:r>
        <w:t xml:space="preserve">.</w:t>
      </w:r>
    </w:p>
    <w:bookmarkEnd w:id="137"/>
    <w:bookmarkStart w:id="138" w:name="placement-states"/>
    <w:p>
      <w:pPr>
        <w:pStyle w:val="Heading3"/>
      </w:pPr>
      <w:r>
        <w:t xml:space="preserve">17.2 Placement states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Meaning</w:t>
            </w:r>
          </w:p>
        </w:tc>
        <w:tc>
          <w:tcPr/>
          <w:p>
            <w:pPr>
              <w:pStyle w:val="Compact"/>
            </w:pPr>
            <w:r>
              <w:t xml:space="preserve">Routing</w:t>
            </w:r>
          </w:p>
        </w:tc>
      </w:tr>
      <w:tr>
        <w:tc>
          <w:tcPr/>
          <w:p>
            <w:pPr>
              <w:pStyle w:val="Compact"/>
            </w:pPr>
            <w:r>
              <w:rPr>
                <w:rStyle w:val="VerbatimChar"/>
              </w:rPr>
              <w:t xml:space="preserve">ACTIVE</w:t>
            </w:r>
          </w:p>
        </w:tc>
        <w:tc>
          <w:tcPr/>
          <w:p>
            <w:pPr>
              <w:pStyle w:val="Compact"/>
            </w:pPr>
            <w:r>
              <w:t xml:space="preserve">Accepting reads, writes and new tenants</w:t>
            </w:r>
          </w:p>
        </w:tc>
        <w:tc>
          <w:tcPr/>
          <w:p>
            <w:pPr>
              <w:pStyle w:val="Compact"/>
            </w:pPr>
            <w:r>
              <w:t xml:space="preserve">Normal</w:t>
            </w:r>
          </w:p>
        </w:tc>
      </w:tr>
      <w:tr>
        <w:tc>
          <w:tcPr/>
          <w:p>
            <w:pPr>
              <w:pStyle w:val="Compact"/>
            </w:pPr>
            <w:r>
              <w:rPr>
                <w:rStyle w:val="VerbatimChar"/>
              </w:rPr>
              <w:t xml:space="preserve">DRAINING</w:t>
            </w:r>
          </w:p>
        </w:tc>
        <w:tc>
          <w:tcPr/>
          <w:p>
            <w:pPr>
              <w:pStyle w:val="Compact"/>
            </w:pPr>
            <w:r>
              <w:t xml:space="preserve">No new tenants; existing tenants unaffected</w:t>
            </w:r>
          </w:p>
        </w:tc>
        <w:tc>
          <w:tcPr/>
          <w:p>
            <w:pPr>
              <w:pStyle w:val="Compact"/>
            </w:pPr>
            <w:r>
              <w:t xml:space="preserve">Normal</w:t>
            </w:r>
          </w:p>
        </w:tc>
      </w:tr>
      <w:tr>
        <w:tc>
          <w:tcPr/>
          <w:p>
            <w:pPr>
              <w:pStyle w:val="Compact"/>
            </w:pPr>
            <w:r>
              <w:rPr>
                <w:rStyle w:val="VerbatimChar"/>
              </w:rPr>
              <w:t xml:space="preserve">MIGRATING</w:t>
            </w:r>
          </w:p>
        </w:tc>
        <w:tc>
          <w:tcPr/>
          <w:p>
            <w:pPr>
              <w:pStyle w:val="Compact"/>
            </w:pPr>
            <w:r>
              <w:t xml:space="preserve">This tenant is mid-move</w:t>
            </w:r>
          </w:p>
        </w:tc>
        <w:tc>
          <w:tcPr/>
          <w:p>
            <w:pPr>
              <w:pStyle w:val="Compact"/>
            </w:pPr>
            <w:r>
              <w:t xml:space="preserve">§17.4</w:t>
            </w:r>
          </w:p>
        </w:tc>
      </w:tr>
      <w:tr>
        <w:tc>
          <w:tcPr/>
          <w:p>
            <w:pPr>
              <w:pStyle w:val="Compact"/>
            </w:pPr>
            <w:r>
              <w:rPr>
                <w:rStyle w:val="VerbatimChar"/>
              </w:rPr>
              <w:t xml:space="preserve">READ_ONLY</w:t>
            </w:r>
          </w:p>
        </w:tc>
        <w:tc>
          <w:tcPr/>
          <w:p>
            <w:pPr>
              <w:pStyle w:val="Compact"/>
            </w:pPr>
            <w:r>
              <w:t xml:space="preserve">Incident or maintenance</w:t>
            </w:r>
          </w:p>
        </w:tc>
        <w:tc>
          <w:tcPr/>
          <w:p>
            <w:pPr>
              <w:pStyle w:val="Compact"/>
            </w:pPr>
            <w:r>
              <w:t xml:space="preserve">Writes → 503 with a retry hint</w:t>
            </w:r>
          </w:p>
        </w:tc>
      </w:tr>
      <w:tr>
        <w:tc>
          <w:tcPr/>
          <w:p>
            <w:pPr>
              <w:pStyle w:val="Compact"/>
            </w:pPr>
            <w:r>
              <w:rPr>
                <w:rStyle w:val="VerbatimChar"/>
              </w:rPr>
              <w:t xml:space="preserve">RETIRED</w:t>
            </w:r>
          </w:p>
        </w:tc>
        <w:tc>
          <w:tcPr/>
          <w:p>
            <w:pPr>
              <w:pStyle w:val="Compact"/>
            </w:pPr>
            <w:r>
              <w:t xml:space="preserve">Empty</w:t>
            </w:r>
          </w:p>
        </w:tc>
        <w:tc>
          <w:tcPr/>
          <w:p>
            <w:pPr>
              <w:pStyle w:val="Compact"/>
            </w:pPr>
            <w:r>
              <w:t xml:space="preserve">Refuse</w:t>
            </w:r>
          </w:p>
        </w:tc>
      </w:tr>
    </w:tbl>
    <w:bookmarkEnd w:id="138"/>
    <w:bookmarkStart w:id="139" w:name="choosing-a-placement-for-a-new-tenant"/>
    <w:p>
      <w:pPr>
        <w:pStyle w:val="Heading3"/>
      </w:pPr>
      <w:r>
        <w:t xml:space="preserve">17.3 Choosing a placement for a new tenant</w:t>
      </w:r>
    </w:p>
    <w:p>
      <w:pPr>
        <w:pStyle w:val="FirstParagraph"/>
      </w:pPr>
      <w:r>
        <w:rPr>
          <w:b/>
          <w:bCs/>
        </w:rPr>
        <w:t xml:space="preserve">[JUDGEMENT]</w:t>
      </w:r>
      <w:r>
        <w:t xml:space="preserve"> </w:t>
      </w:r>
      <w:r>
        <w:t xml:space="preserve">Assignment is a</w:t>
      </w:r>
      <w:r>
        <w:t xml:space="preserve"> </w:t>
      </w:r>
      <w:r>
        <w:rPr>
          <w:b/>
          <w:bCs/>
        </w:rPr>
        <w:t xml:space="preserve">rule table in the control plane</w:t>
      </w:r>
      <w:r>
        <w:t xml:space="preserve">, not code:</w:t>
      </w:r>
    </w:p>
    <w:p>
      <w:pPr>
        <w:pStyle w:val="Compact"/>
        <w:numPr>
          <w:ilvl w:val="0"/>
          <w:numId w:val="1004"/>
        </w:numPr>
      </w:pPr>
      <w:r>
        <w:t xml:space="preserve">Residency requirement → the region’s pool</w:t>
      </w:r>
    </w:p>
    <w:p>
      <w:pPr>
        <w:pStyle w:val="Compact"/>
        <w:numPr>
          <w:ilvl w:val="0"/>
          <w:numId w:val="1004"/>
        </w:numPr>
      </w:pPr>
      <w:r>
        <w:t xml:space="preserve">Enterprise isolation SKU purchased → a SILO placement</w:t>
      </w:r>
    </w:p>
    <w:p>
      <w:pPr>
        <w:pStyle w:val="Compact"/>
        <w:numPr>
          <w:ilvl w:val="0"/>
          <w:numId w:val="1004"/>
        </w:numPr>
      </w:pPr>
      <w:r>
        <w:t xml:space="preserve">Otherwise → the</w:t>
      </w:r>
      <w:r>
        <w:t xml:space="preserve"> </w:t>
      </w:r>
      <w:r>
        <w:rPr>
          <w:rStyle w:val="VerbatimChar"/>
        </w:rPr>
        <w:t xml:space="preserve">ACTIVE</w:t>
      </w:r>
      <w:r>
        <w:t xml:space="preserve"> </w:t>
      </w:r>
      <w:r>
        <w:t xml:space="preserve">pool with the most headroom in the tenant’s region</w:t>
      </w:r>
    </w:p>
    <w:p>
      <w:pPr>
        <w:pStyle w:val="FirstParagraph"/>
      </w:pPr>
      <w:r>
        <w:t xml:space="preserve">Because it is data, opening a new region or a new pool is an</w:t>
      </w:r>
      <w:r>
        <w:t xml:space="preserve"> </w:t>
      </w:r>
      <w:r>
        <w:rPr>
          <w:rStyle w:val="VerbatimChar"/>
        </w:rPr>
        <w:t xml:space="preserve">INSERT</w:t>
      </w:r>
      <w:r>
        <w:t xml:space="preserve">, not a release.</w:t>
      </w:r>
    </w:p>
    <w:bookmarkEnd w:id="139"/>
    <w:bookmarkStart w:id="143" w:name="moving-a-tenant"/>
    <w:p>
      <w:pPr>
        <w:pStyle w:val="Heading3"/>
      </w:pPr>
      <w:r>
        <w:t xml:space="preserve">17.4 Moving a tenant</w:t>
      </w:r>
    </w:p>
    <w:p>
      <w:pPr>
        <w:pStyle w:val="FirstParagraph"/>
      </w:pPr>
      <w:r>
        <w:drawing>
          <wp:inline>
            <wp:extent cx="5334000" cy="4721678"/>
            <wp:effectExtent b="0" l="0" r="0" t="0"/>
            <wp:docPr descr="" title="" id="141" name="Picture"/>
            <a:graphic>
              <a:graphicData uri="http://schemas.openxmlformats.org/drawingml/2006/picture">
                <pic:pic>
                  <pic:nvPicPr>
                    <pic:cNvPr descr="/private/tmp/claude-501/-Users-sudipto-Desktop-projects-accubook/c277cf12-a75d-42eb-a282-70d38dbc59e8/scratchpad/d22.png" id="142" name="Picture"/>
                    <pic:cNvPicPr>
                      <a:picLocks noChangeArrowheads="1" noChangeAspect="1"/>
                    </pic:cNvPicPr>
                  </pic:nvPicPr>
                  <pic:blipFill>
                    <a:blip r:embed="rId140"/>
                    <a:stretch>
                      <a:fillRect/>
                    </a:stretch>
                  </pic:blipFill>
                  <pic:spPr bwMode="auto">
                    <a:xfrm>
                      <a:off x="0" y="0"/>
                      <a:ext cx="5334000" cy="4721678"/>
                    </a:xfrm>
                    <a:prstGeom prst="rect">
                      <a:avLst/>
                    </a:prstGeom>
                    <a:noFill/>
                    <a:ln w="9525">
                      <a:noFill/>
                      <a:headEnd/>
                      <a:tailEnd/>
                    </a:ln>
                  </pic:spPr>
                </pic:pic>
              </a:graphicData>
            </a:graphic>
          </wp:inline>
        </w:drawing>
      </w:r>
    </w:p>
    <w:p>
      <w:pPr>
        <w:pStyle w:val="BodyText"/>
      </w:pPr>
      <w:r>
        <w:rPr>
          <w:b/>
          <w:bCs/>
        </w:rPr>
        <w:t xml:space="preserve">[JUDGEMENT]</w:t>
      </w:r>
      <w:r>
        <w:t xml:space="preserve"> </w:t>
      </w:r>
      <w:r>
        <w:rPr>
          <w:b/>
          <w:bCs/>
        </w:rPr>
        <w:t xml:space="preserve">The trial balance must match on both sides before the cutover commits.</w:t>
      </w:r>
      <w:r>
        <w:t xml:space="preserve"> </w:t>
      </w:r>
      <w:r>
        <w:t xml:space="preserve">Row counts prove you copied rows; a matching trial balance proves you copied the</w:t>
      </w:r>
      <w:r>
        <w:t xml:space="preserve"> </w:t>
      </w:r>
      <w:r>
        <w:rPr>
          <w:i/>
          <w:iCs/>
        </w:rPr>
        <w:t xml:space="preserve">right</w:t>
      </w:r>
      <w:r>
        <w:t xml:space="preserve"> </w:t>
      </w:r>
      <w:r>
        <w:t xml:space="preserve">rows. For an accounting system that is the only acceptable verification, and it is only possible because §8.3’s composite keys make the tenant’s data set well-defined.</w:t>
      </w:r>
    </w:p>
    <w:bookmarkEnd w:id="143"/>
    <w:bookmarkStart w:id="144" w:name="region-as-a-first-class-attribute"/>
    <w:p>
      <w:pPr>
        <w:pStyle w:val="Heading3"/>
      </w:pPr>
      <w:r>
        <w:t xml:space="preserve">17.5 Region as a first-class attribute</w:t>
      </w:r>
    </w:p>
    <w:p>
      <w:pPr>
        <w:pStyle w:val="FirstParagraph"/>
      </w:pPr>
      <w:r>
        <w:t xml:space="preserve">The Zoho lesson (§2.2). A placement has a region from day one, even with one region.</w:t>
      </w:r>
      <w:r>
        <w:t xml:space="preserve"> </w:t>
      </w:r>
      <w:r>
        <w:rPr>
          <w:b/>
          <w:bCs/>
        </w:rPr>
        <w:t xml:space="preserve">[JUDGEMENT]</w:t>
      </w:r>
      <w:r>
        <w:t xml:space="preserve"> </w:t>
      </w:r>
      <w:r>
        <w:t xml:space="preserve">Data residency is the most likely trigger for a platform move (§29 Stage 3) — an Indian enterprise or government-adjacent customer asking</w:t>
      </w:r>
      <w:r>
        <w:t xml:space="preserve"> </w:t>
      </w:r>
      <w:r>
        <w:t xml:space="preserve">“where is my data?”</w:t>
      </w:r>
      <w:r>
        <w:t xml:space="preserve"> </w:t>
      </w:r>
      <w:r>
        <w:t xml:space="preserve">is a sales conversation you either can or cannot have, and the answer is set by whether region exists in the model.</w:t>
      </w:r>
    </w:p>
    <w:bookmarkEnd w:id="144"/>
    <w:bookmarkStart w:id="145" w:name="sharding-when-it-arrives"/>
    <w:p>
      <w:pPr>
        <w:pStyle w:val="Heading3"/>
      </w:pPr>
      <w:r>
        <w:t xml:space="preserve">17.6 Sharding, when it arrives</w:t>
      </w:r>
    </w:p>
    <w:p>
      <w:pPr>
        <w:pStyle w:val="FirstParagraph"/>
      </w:pPr>
      <w:r>
        <w:t xml:space="preserve">Sharding is</w:t>
      </w:r>
      <w:r>
        <w:t xml:space="preserve"> </w:t>
      </w:r>
      <w:r>
        <w:rPr>
          <w:b/>
          <w:bCs/>
        </w:rPr>
        <w:t xml:space="preserve">placement, applied at scale</w:t>
      </w:r>
      <w:r>
        <w:t xml:space="preserve">. There is no separate sharding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Shard key</w:t>
            </w:r>
          </w:p>
        </w:tc>
        <w:tc>
          <w:tcPr/>
          <w:p>
            <w:pPr>
              <w:pStyle w:val="Compact"/>
            </w:pPr>
            <w:r>
              <w:rPr>
                <w:rStyle w:val="VerbatimChar"/>
                <w:b/>
                <w:bCs/>
              </w:rPr>
              <w:t xml:space="preserve">organizationId</w:t>
            </w:r>
            <w:r>
              <w:rPr>
                <w:b/>
                <w:bCs/>
              </w:rPr>
              <w:t xml:space="preserve">.</w:t>
            </w:r>
            <w:r>
              <w:t xml:space="preserve"> </w:t>
            </w:r>
            <w:r>
              <w:t xml:space="preserve">Never anything else</w:t>
            </w:r>
          </w:p>
        </w:tc>
      </w:tr>
      <w:tr>
        <w:tc>
          <w:tcPr/>
          <w:p>
            <w:pPr>
              <w:pStyle w:val="Compact"/>
            </w:pPr>
            <w:r>
              <w:t xml:space="preserve">Cross-shard queries</w:t>
            </w:r>
          </w:p>
        </w:tc>
        <w:tc>
          <w:tcPr/>
          <w:p>
            <w:pPr>
              <w:pStyle w:val="Compact"/>
            </w:pPr>
            <w:r>
              <w:rPr>
                <w:b/>
                <w:bCs/>
              </w:rPr>
              <w:t xml:space="preserve">None.</w:t>
            </w:r>
            <w:r>
              <w:t xml:space="preserve"> </w:t>
            </w:r>
            <w:r>
              <w:t xml:space="preserve">A tenant lives entirely on one shard. No distributed joins, no distributed transactions</w:t>
            </w:r>
          </w:p>
        </w:tc>
      </w:tr>
      <w:tr>
        <w:tc>
          <w:tcPr/>
          <w:p>
            <w:pPr>
              <w:pStyle w:val="Compact"/>
            </w:pPr>
            <w:r>
              <w:t xml:space="preserve">Rebalancing</w:t>
            </w:r>
          </w:p>
        </w:tc>
        <w:tc>
          <w:tcPr/>
          <w:p>
            <w:pPr>
              <w:pStyle w:val="Compact"/>
            </w:pPr>
            <w:r>
              <w:t xml:space="preserve">The §17.4 tenant move, run in bulk</w:t>
            </w:r>
          </w:p>
        </w:tc>
      </w:tr>
      <w:tr>
        <w:tc>
          <w:tcPr/>
          <w:p>
            <w:pPr>
              <w:pStyle w:val="Compact"/>
            </w:pPr>
            <w:r>
              <w:t xml:space="preserve">Routing</w:t>
            </w:r>
          </w:p>
        </w:tc>
        <w:tc>
          <w:tcPr/>
          <w:p>
            <w:pPr>
              <w:pStyle w:val="Compact"/>
            </w:pPr>
            <w:r>
              <w:t xml:space="preserve">The control plane already does it</w:t>
            </w:r>
          </w:p>
        </w:tc>
      </w:tr>
      <w:tr>
        <w:tc>
          <w:tcPr/>
          <w:p>
            <w:pPr>
              <w:pStyle w:val="Compact"/>
            </w:pPr>
            <w:r>
              <w:t xml:space="preserve">Trigger</w:t>
            </w:r>
          </w:p>
        </w:tc>
        <w:tc>
          <w:tcPr/>
          <w:p>
            <w:pPr>
              <w:pStyle w:val="Compact"/>
            </w:pPr>
            <w:r>
              <w:t xml:space="preserve">Primary write throughput or storage exceeds a single instance — §31</w:t>
            </w:r>
          </w:p>
        </w:tc>
      </w:tr>
      <w:tr>
        <w:tc>
          <w:tcPr/>
          <w:p>
            <w:pPr>
              <w:pStyle w:val="Compact"/>
            </w:pPr>
            <w:r>
              <w:t xml:space="preserve">Platform-wide analytics</w:t>
            </w:r>
          </w:p>
        </w:tc>
        <w:tc>
          <w:tcPr/>
          <w:p>
            <w:pPr>
              <w:pStyle w:val="Compact"/>
            </w:pPr>
            <w:r>
              <w:t xml:space="preserve">A separate warehouse fed by CDC, never a cross-shard query</w:t>
            </w:r>
          </w:p>
        </w:tc>
      </w:tr>
    </w:tbl>
    <w:p>
      <w:pPr>
        <w:pStyle w:val="BodyText"/>
      </w:pPr>
      <w:r>
        <w:rPr>
          <w:b/>
          <w:bCs/>
        </w:rPr>
        <w:t xml:space="preserve">[JUDGEMENT]</w:t>
      </w:r>
      <w:r>
        <w:t xml:space="preserve"> </w:t>
      </w:r>
      <w:r>
        <w:t xml:space="preserve">This is why</w:t>
      </w:r>
      <w:r>
        <w:t xml:space="preserve"> </w:t>
      </w:r>
      <w:r>
        <w:rPr>
          <w:rStyle w:val="VerbatimChar"/>
        </w:rPr>
        <w:t xml:space="preserve">organizationId</w:t>
      </w:r>
      <w:r>
        <w:t xml:space="preserve"> </w:t>
      </w:r>
      <w:r>
        <w:t xml:space="preserve">on every row (</w:t>
      </w:r>
      <w:r>
        <w:rPr>
          <w:b/>
          <w:bCs/>
        </w:rPr>
        <w:t xml:space="preserve">I1</w:t>
      </w:r>
      <w:r>
        <w:t xml:space="preserve">) is non-negotiable. A table without a tenant column cannot be assigned to a shard. The backfill of §8.2 is not only an RLS prerequisite — it is the sharding prerequisite, five years early, at a moment when the tables are small enough to alter.</w:t>
      </w:r>
    </w:p>
    <w:bookmarkEnd w:id="145"/>
    <w:bookmarkEnd w:id="146"/>
    <w:bookmarkStart w:id="159" w:name="background-jobs"/>
    <w:p>
      <w:pPr>
        <w:pStyle w:val="Heading2"/>
      </w:pPr>
      <w:r>
        <w:t xml:space="preserve">18. Background jobs</w:t>
      </w:r>
    </w:p>
    <w:bookmarkStart w:id="147" w:name="the-queue-is-a-table"/>
    <w:p>
      <w:pPr>
        <w:pStyle w:val="Heading3"/>
      </w:pPr>
      <w:r>
        <w:t xml:space="preserve">18.1 The queue is a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jobs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queue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tenant_scope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'TENANT' | 'PLATFORM'</w:t>
      </w:r>
      <w:r>
        <w:br/>
      </w:r>
      <w:r>
        <w:rPr>
          <w:rStyle w:val="NormalTok"/>
        </w:rPr>
        <w:t xml:space="preserve">  tenant_id      TEXT,</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TEXT,</w:t>
      </w:r>
      <w:r>
        <w:br/>
      </w:r>
      <w:r>
        <w:rPr>
          <w:rStyle w:val="NormalTok"/>
        </w:rPr>
        <w:t xml:space="preserve">  run_after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locked_by      TEXT,</w:t>
      </w:r>
      <w:r>
        <w:br/>
      </w:r>
      <w:r>
        <w:rPr>
          <w:rStyle w:val="NormalTok"/>
        </w:rPr>
        <w:t xml:space="preserve">  locked_at      TIMESTAMPTZ,</w:t>
      </w:r>
      <w:r>
        <w:br/>
      </w:r>
      <w:r>
        <w:rPr>
          <w:rStyle w:val="NormalTok"/>
        </w:rPr>
        <w:t xml:space="preserve">  last_error     TEXT,</w:t>
      </w:r>
      <w:r>
        <w:br/>
      </w:r>
      <w:r>
        <w:rPr>
          <w:rStyle w:val="NormalTok"/>
        </w:rPr>
        <w:t xml:space="preserve">  </w:t>
      </w:r>
      <w:r>
        <w:rPr>
          <w:rStyle w:val="KeywordTok"/>
        </w:rPr>
        <w:t xml:space="preserve">CONSTRAINT</w:t>
      </w:r>
      <w:r>
        <w:rPr>
          <w:rStyle w:val="NormalTok"/>
        </w:rPr>
        <w:t xml:space="preserve"> tenant_scope_required</w:t>
      </w:r>
      <w:r>
        <w:br/>
      </w:r>
      <w:r>
        <w:rPr>
          <w:rStyle w:val="NormalTok"/>
        </w:rPr>
        <w:t xml:space="preserve">    </w:t>
      </w:r>
      <w:r>
        <w:rPr>
          <w:rStyle w:val="KeywordTok"/>
        </w:rPr>
        <w:t xml:space="preserve">CHECK</w:t>
      </w:r>
      <w:r>
        <w:rPr>
          <w:rStyle w:val="NormalTok"/>
        </w:rPr>
        <w:t xml:space="preserve"> ((tenant_scope </w:t>
      </w:r>
      <w:r>
        <w:rPr>
          <w:rStyle w:val="OperatorTok"/>
        </w:rPr>
        <w:t xml:space="preserve">=</w:t>
      </w:r>
      <w:r>
        <w:rPr>
          <w:rStyle w:val="NormalTok"/>
        </w:rPr>
        <w:t xml:space="preserve"> </w:t>
      </w:r>
      <w:r>
        <w:rPr>
          <w:rStyle w:val="StringTok"/>
        </w:rPr>
        <w:t xml:space="preserve">'TENANT'</w:t>
      </w:r>
      <w:r>
        <w:rPr>
          <w:rStyle w:val="NormalTok"/>
        </w:rPr>
        <w:t xml:space="preserve"> </w:t>
      </w:r>
      <w:r>
        <w:rPr>
          <w:rStyle w:val="KeywordTok"/>
        </w:rPr>
        <w:t xml:space="preserve">AND</w:t>
      </w:r>
      <w:r>
        <w:rPr>
          <w:rStyle w:val="NormalTok"/>
        </w:rPr>
        <w:t xml:space="preserve"> tenant_id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(tenant_scope </w:t>
      </w:r>
      <w:r>
        <w:rPr>
          <w:rStyle w:val="OperatorTok"/>
        </w:rPr>
        <w:t xml:space="preserve">=</w:t>
      </w:r>
      <w:r>
        <w:rPr>
          <w:rStyle w:val="NormalTok"/>
        </w:rPr>
        <w:t xml:space="preserve"> </w:t>
      </w:r>
      <w:r>
        <w:rPr>
          <w:rStyle w:val="StringTok"/>
        </w:rPr>
        <w:t xml:space="preserve">'PLATFORM'</w:t>
      </w:r>
      <w:r>
        <w:rPr>
          <w:rStyle w:val="NormalTok"/>
        </w:rPr>
        <w:t xml:space="preserve"> </w:t>
      </w:r>
      <w:r>
        <w:rPr>
          <w:rStyle w:val="KeywordTok"/>
        </w:rPr>
        <w:t xml:space="preserve">AND</w:t>
      </w:r>
      <w:r>
        <w:rPr>
          <w:rStyle w:val="NormalTok"/>
        </w:rPr>
        <w:t xml:space="preserve"> tenant_id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jobs (idempotency_key) </w:t>
      </w:r>
      <w:r>
        <w:rPr>
          <w:rStyle w:val="KeywordTok"/>
        </w:rPr>
        <w:t xml:space="preserve">WHERE</w:t>
      </w:r>
      <w:r>
        <w:rPr>
          <w:rStyle w:val="NormalTok"/>
        </w:rPr>
        <w:t xml:space="preserve"> idempotency_key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jobs (</w:t>
      </w:r>
      <w:r>
        <w:rPr>
          <w:rStyle w:val="KeywordTok"/>
        </w:rPr>
        <w:t xml:space="preserve">queue</w:t>
      </w:r>
      <w:r>
        <w:rPr>
          <w:rStyle w:val="NormalTok"/>
        </w:rPr>
        <w:t xml:space="preserve">, status, run_after)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p>
      <w:pPr>
        <w:pStyle w:val="FirstParagraph"/>
      </w:pPr>
      <w:r>
        <w:rPr>
          <w:b/>
          <w:bCs/>
        </w:rPr>
        <w:t xml:space="preserve">[JUDGEMENT]</w:t>
      </w:r>
      <w:r>
        <w:t xml:space="preserve"> </w:t>
      </w:r>
      <w:r>
        <w:rPr>
          <w:rStyle w:val="VerbatimChar"/>
        </w:rPr>
        <w:t xml:space="preserve">tenant_scope_required</w:t>
      </w:r>
      <w:r>
        <w:t xml:space="preserve"> </w:t>
      </w:r>
      <w:r>
        <w:t xml:space="preserve">is the most important line. It makes</w:t>
      </w:r>
      <w:r>
        <w:t xml:space="preserve"> </w:t>
      </w:r>
      <w:r>
        <w:t xml:space="preserve">“I forgot which tenant this job is for”</w:t>
      </w:r>
      <w:r>
        <w:t xml:space="preserve"> </w:t>
      </w:r>
      <w:r>
        <w:t xml:space="preserve">a constraint violation at insert time rather than a cross-tenant write at run time. A job that legitimately spans tenants must</w:t>
      </w:r>
      <w:r>
        <w:t xml:space="preserve"> </w:t>
      </w:r>
      <w:r>
        <w:rPr>
          <w:i/>
          <w:iCs/>
        </w:rPr>
        <w:t xml:space="preserve">say so</w:t>
      </w:r>
      <w:r>
        <w:t xml:space="preserve"> </w:t>
      </w:r>
      <w:r>
        <w:t xml:space="preserve">—</w:t>
      </w:r>
      <w:r>
        <w:t xml:space="preserve"> </w:t>
      </w:r>
      <w:r>
        <w:rPr>
          <w:b/>
          <w:bCs/>
        </w:rPr>
        <w:t xml:space="preserve">[VERIFIED-REPO]</w:t>
      </w:r>
      <w:r>
        <w:t xml:space="preserve"> </w:t>
      </w:r>
      <w:r>
        <w:t xml:space="preserve">the two current crons (</w:t>
      </w:r>
      <w:r>
        <w:rPr>
          <w:rStyle w:val="VerbatimChar"/>
        </w:rPr>
        <w:t xml:space="preserve">check-overdue</w:t>
      </w:r>
      <w:r>
        <w:t xml:space="preserve">,</w:t>
      </w:r>
      <w:r>
        <w:t xml:space="preserve"> </w:t>
      </w:r>
      <w:r>
        <w:rPr>
          <w:rStyle w:val="VerbatimChar"/>
        </w:rPr>
        <w:t xml:space="preserve">run-recurring</w:t>
      </w:r>
      <w:r>
        <w:t xml:space="preserve">) do exactly this and must declare</w:t>
      </w:r>
      <w:r>
        <w:t xml:space="preserve"> </w:t>
      </w:r>
      <w:r>
        <w:rPr>
          <w:rStyle w:val="VerbatimChar"/>
        </w:rPr>
        <w:t xml:space="preserve">PLATFORM</w:t>
      </w:r>
      <w:r>
        <w:t xml:space="preserve"> </w:t>
      </w:r>
      <w:r>
        <w:t xml:space="preserve">scope explicitly.</w:t>
      </w:r>
    </w:p>
    <w:bookmarkEnd w:id="147"/>
    <w:bookmarkStart w:id="151" w:name="why-postgres-and-not-a-queue-product"/>
    <w:p>
      <w:pPr>
        <w:pStyle w:val="Heading3"/>
      </w:pPr>
      <w:r>
        <w:t xml:space="preserve">18.2 Why Postgres and not a queue product</w:t>
      </w:r>
    </w:p>
    <w:p>
      <w:pPr>
        <w:pStyle w:val="FirstParagraph"/>
      </w:pPr>
      <w:r>
        <w:drawing>
          <wp:inline>
            <wp:extent cx="5334000" cy="2428875"/>
            <wp:effectExtent b="0" l="0" r="0" t="0"/>
            <wp:docPr descr="" title="" id="149" name="Picture"/>
            <a:graphic>
              <a:graphicData uri="http://schemas.openxmlformats.org/drawingml/2006/picture">
                <pic:pic>
                  <pic:nvPicPr>
                    <pic:cNvPr descr="/private/tmp/claude-501/-Users-sudipto-Desktop-projects-accubook/c277cf12-a75d-42eb-a282-70d38dbc59e8/scratchpad/d23.png" id="150" name="Picture"/>
                    <pic:cNvPicPr>
                      <a:picLocks noChangeArrowheads="1" noChangeAspect="1"/>
                    </pic:cNvPicPr>
                  </pic:nvPicPr>
                  <pic:blipFill>
                    <a:blip r:embed="rId148"/>
                    <a:stretch>
                      <a:fillRect/>
                    </a:stretch>
                  </pic:blipFill>
                  <pic:spPr bwMode="auto">
                    <a:xfrm>
                      <a:off x="0" y="0"/>
                      <a:ext cx="5334000" cy="2428875"/>
                    </a:xfrm>
                    <a:prstGeom prst="rect">
                      <a:avLst/>
                    </a:prstGeom>
                    <a:noFill/>
                    <a:ln w="9525">
                      <a:noFill/>
                      <a:headEnd/>
                      <a:tailEnd/>
                    </a:ln>
                  </pic:spPr>
                </pic:pic>
              </a:graphicData>
            </a:graphic>
          </wp:inline>
        </w:drawing>
      </w:r>
    </w:p>
    <w:p>
      <w:pPr>
        <w:pStyle w:val="BodyText"/>
      </w:pPr>
      <w:r>
        <w:rPr>
          <w:b/>
          <w:bCs/>
        </w:rPr>
        <w:t xml:space="preserve">[PATTERN]</w:t>
      </w:r>
      <w:r>
        <w:t xml:space="preserve"> </w:t>
      </w:r>
      <w:r>
        <w:t xml:space="preserve">With an external broker the enqueue is a network call outside the transaction: the invoice commits and the broker call fails, or the broker accepts and the transaction rolls back. The standard fix is a transactional outbox plus a relay — a whole extra moving part.</w:t>
      </w:r>
      <w:r>
        <w:t xml:space="preserve"> </w:t>
      </w:r>
      <w:r>
        <w:rPr>
          <w:b/>
          <w:bCs/>
        </w:rPr>
        <w:t xml:space="preserve">Putting the queue in the same database removes the problem instead of solving it.</w:t>
      </w:r>
      <w:r>
        <w:t xml:space="preserve"> </w:t>
      </w:r>
      <w:r>
        <w:t xml:space="preserve">One fewer system to run, one fewer failure mode, and the queue is debuggable with</w:t>
      </w:r>
      <w:r>
        <w:t xml:space="preserve"> </w:t>
      </w:r>
      <w:r>
        <w:rPr>
          <w:rStyle w:val="VerbatimChar"/>
        </w:rPr>
        <w:t xml:space="preserve">SELECT</w:t>
      </w:r>
      <w:r>
        <w:t xml:space="preserve">.</w:t>
      </w:r>
    </w:p>
    <w:p>
      <w:pPr>
        <w:pStyle w:val="BodyText"/>
      </w:pPr>
      <w:r>
        <w:rPr>
          <w:b/>
          <w:bCs/>
        </w:rPr>
        <w:t xml:space="preserve">Reconsider at</w:t>
      </w:r>
      <w:r>
        <w:t xml:space="preserve"> </w:t>
      </w:r>
      <w:r>
        <w:t xml:space="preserve">sustained &gt;5,000 jobs/s, or when queue I/O measurably harms OLTP latency.</w:t>
      </w:r>
    </w:p>
    <w:bookmarkEnd w:id="151"/>
    <w:bookmarkStart w:id="152" w:name="consuming"/>
    <w:p>
      <w:pPr>
        <w:pStyle w:val="Heading3"/>
      </w:pPr>
      <w:r>
        <w:t xml:space="preserve">18.3 Consuming</w:t>
      </w:r>
    </w:p>
    <w:p>
      <w:pPr>
        <w:pStyle w:val="SourceCode"/>
      </w:pPr>
      <w:r>
        <w:rPr>
          <w:rStyle w:val="KeywordTok"/>
        </w:rPr>
        <w:t xml:space="preserve">UPDATE</w:t>
      </w:r>
      <w:r>
        <w:rPr>
          <w:rStyle w:val="NormalTok"/>
        </w:rPr>
        <w:t xml:space="preserve"> jobs </w:t>
      </w:r>
      <w:r>
        <w:rPr>
          <w:rStyle w:val="KeywordTok"/>
        </w:rPr>
        <w:t xml:space="preserve">SET</w:t>
      </w:r>
      <w:r>
        <w:rPr>
          <w:rStyle w:val="NormalTok"/>
        </w:rPr>
        <w:t xml:space="preserve"> status</w:t>
      </w:r>
      <w:r>
        <w:rPr>
          <w:rStyle w:val="OperatorTok"/>
        </w:rPr>
        <w:t xml:space="preserve">=</w:t>
      </w:r>
      <w:r>
        <w:rPr>
          <w:rStyle w:val="StringTok"/>
        </w:rPr>
        <w:t xml:space="preserve">'RUNNING'</w:t>
      </w:r>
      <w:r>
        <w:rPr>
          <w:rStyle w:val="NormalTok"/>
        </w:rPr>
        <w:t xml:space="preserve">, locked_by</w:t>
      </w:r>
      <w:r>
        <w:rPr>
          <w:rStyle w:val="OperatorTok"/>
        </w:rPr>
        <w:t xml:space="preserve">=</w:t>
      </w:r>
      <w:r>
        <w:rPr>
          <w:rStyle w:val="NormalTok"/>
        </w:rPr>
        <w:t xml:space="preserve">$worker, locked_at</w:t>
      </w:r>
      <w:r>
        <w:rPr>
          <w:rStyle w:val="OperatorTok"/>
        </w:rPr>
        <w:t xml:space="preserve">=</w:t>
      </w:r>
      <w:r>
        <w:rPr>
          <w:rStyle w:val="NormalTok"/>
        </w:rPr>
        <w:t xml:space="preserve">NOW(), attempts</w:t>
      </w:r>
      <w:r>
        <w:rPr>
          <w:rStyle w:val="OperatorTok"/>
        </w:rPr>
        <w:t xml:space="preserve">=</w:t>
      </w:r>
      <w:r>
        <w:rPr>
          <w:rStyle w:val="NormalTok"/>
        </w:rPr>
        <w:t xml:space="preserve">attempts</w:t>
      </w:r>
      <w:r>
        <w:rPr>
          <w:rStyle w:val="OperatorTok"/>
        </w:rPr>
        <w:t xml:space="preserve">+</w:t>
      </w:r>
      <w:r>
        <w:rPr>
          <w:rStyle w:val="DecValTok"/>
        </w:rPr>
        <w:t xml:space="preserve">1</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jobs</w:t>
      </w:r>
      <w:r>
        <w:br/>
      </w:r>
      <w:r>
        <w:rPr>
          <w:rStyle w:val="NormalTok"/>
        </w:rPr>
        <w:t xml:space="preserve">  </w:t>
      </w:r>
      <w:r>
        <w:rPr>
          <w:rStyle w:val="KeywordTok"/>
        </w:rPr>
        <w:t xml:space="preserve">WHERE</w:t>
      </w:r>
      <w:r>
        <w:rPr>
          <w:rStyle w:val="NormalTok"/>
        </w:rPr>
        <w:t xml:space="preserve"> status</w:t>
      </w:r>
      <w:r>
        <w:rPr>
          <w:rStyle w:val="OperatorTok"/>
        </w:rPr>
        <w:t xml:space="preserve">=</w:t>
      </w:r>
      <w:r>
        <w:rPr>
          <w:rStyle w:val="StringTok"/>
        </w:rPr>
        <w:t xml:space="preserve">'PENDING'</w:t>
      </w:r>
      <w:r>
        <w:rPr>
          <w:rStyle w:val="NormalTok"/>
        </w:rPr>
        <w:t xml:space="preserve"> </w:t>
      </w:r>
      <w:r>
        <w:rPr>
          <w:rStyle w:val="KeywordTok"/>
        </w:rPr>
        <w:t xml:space="preserve">AND</w:t>
      </w:r>
      <w:r>
        <w:rPr>
          <w:rStyle w:val="NormalTok"/>
        </w:rPr>
        <w:t xml:space="preserve"> </w:t>
      </w:r>
      <w:r>
        <w:rPr>
          <w:rStyle w:val="KeywordTok"/>
        </w:rPr>
        <w:t xml:space="preserve">queue</w:t>
      </w:r>
      <w:r>
        <w:rPr>
          <w:rStyle w:val="OperatorTok"/>
        </w:rPr>
        <w:t xml:space="preserve">=</w:t>
      </w:r>
      <w:r>
        <w:rPr>
          <w:rStyle w:val="NormalTok"/>
        </w:rPr>
        <w:t xml:space="preserve">$queue </w:t>
      </w:r>
      <w:r>
        <w:rPr>
          <w:rStyle w:val="KeywordTok"/>
        </w:rPr>
        <w:t xml:space="preserve">AND</w:t>
      </w:r>
      <w:r>
        <w:rPr>
          <w:rStyle w:val="NormalTok"/>
        </w:rPr>
        <w:t xml:space="preserve"> run_after </w:t>
      </w:r>
      <w:r>
        <w:rPr>
          <w:rStyle w:val="OperatorTok"/>
        </w:rPr>
        <w:t xml:space="preserve">&lt;=</w:t>
      </w:r>
      <w:r>
        <w:rPr>
          <w:rStyle w:val="NormalTok"/>
        </w:rPr>
        <w:t xml:space="preserve"> NOW()</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run_after</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r>
        <w:rPr>
          <w:rStyle w:val="NormalTok"/>
        </w:rPr>
        <w:t xml:space="preserve">         </w:t>
      </w:r>
      <w:r>
        <w:rPr>
          <w:rStyle w:val="CommentTok"/>
        </w:rPr>
        <w:t xml:space="preserve">-- concurrent workers never collide</w:t>
      </w:r>
      <w:r>
        <w:br/>
      </w:r>
      <w:r>
        <w:rPr>
          <w:rStyle w:val="NormalTok"/>
        </w:rPr>
        <w:t xml:space="preserve">  </w:t>
      </w:r>
      <w:r>
        <w:rPr>
          <w:rStyle w:val="KeywordTok"/>
        </w:rPr>
        <w:t xml:space="preserve">LIMIT</w:t>
      </w:r>
      <w:r>
        <w:rPr>
          <w:rStyle w:val="NormalTok"/>
        </w:rPr>
        <w:t xml:space="preserve"> </w:t>
      </w:r>
      <w:r>
        <w:rPr>
          <w:rStyle w:val="DecValTok"/>
        </w:rPr>
        <w:t xml:space="preserve">1</w:t>
      </w:r>
      <w:r>
        <w:br/>
      </w:r>
      <w:r>
        <w:rPr>
          <w:rStyle w:val="NormalTok"/>
        </w:rPr>
        <w:t xml:space="preserve">)</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FirstParagraph"/>
      </w:pPr>
      <w:r>
        <w:t xml:space="preserve">The worker then</w:t>
      </w:r>
      <w:r>
        <w:t xml:space="preserve"> </w:t>
      </w:r>
      <w:r>
        <w:rPr>
          <w:b/>
          <w:bCs/>
        </w:rPr>
        <w:t xml:space="preserve">establishes tenant context from</w:t>
      </w:r>
      <w:r>
        <w:rPr>
          <w:b/>
          <w:bCs/>
        </w:rPr>
        <w:t xml:space="preserve"> </w:t>
      </w:r>
      <w:r>
        <w:rPr>
          <w:rStyle w:val="VerbatimChar"/>
          <w:b/>
          <w:bCs/>
        </w:rPr>
        <w:t xml:space="preserve">tenant_id</w:t>
      </w:r>
      <w:r>
        <w:rPr>
          <w:b/>
          <w:bCs/>
        </w:rPr>
        <w:t xml:space="preserve"> </w:t>
      </w:r>
      <w:r>
        <w:rPr>
          <w:b/>
          <w:bCs/>
        </w:rPr>
        <w:t xml:space="preserve">before the handler runs</w:t>
      </w:r>
      <w:r>
        <w:t xml:space="preserve"> </w:t>
      </w:r>
      <w:r>
        <w:t xml:space="preserve">— the same</w:t>
      </w:r>
      <w:r>
        <w:t xml:space="preserve"> </w:t>
      </w:r>
      <w:r>
        <w:rPr>
          <w:rStyle w:val="VerbatimChar"/>
        </w:rPr>
        <w:t xml:space="preserve">AsyncLocalStorage</w:t>
      </w:r>
      <w:r>
        <w:t xml:space="preserve"> </w:t>
      </w:r>
      <w:r>
        <w:t xml:space="preserve">+</w:t>
      </w:r>
      <w:r>
        <w:t xml:space="preserve"> </w:t>
      </w:r>
      <w:r>
        <w:rPr>
          <w:rStyle w:val="VerbatimChar"/>
        </w:rPr>
        <w:t xml:space="preserve">set_config</w:t>
      </w:r>
      <w:r>
        <w:t xml:space="preserve"> </w:t>
      </w:r>
      <w:r>
        <w:t xml:space="preserve">path as an HTTP request (§12). A handler cannot tell whether it is running in a request or a job, which is exactly right.</w:t>
      </w:r>
    </w:p>
    <w:bookmarkEnd w:id="152"/>
    <w:bookmarkStart w:id="153" w:name="queues"/>
    <w:p>
      <w:pPr>
        <w:pStyle w:val="Heading3"/>
      </w:pPr>
      <w:r>
        <w:t xml:space="preserve">18.4 Queues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Queue</w:t>
            </w:r>
          </w:p>
        </w:tc>
        <w:tc>
          <w:tcPr/>
          <w:p>
            <w:pPr>
              <w:pStyle w:val="Compact"/>
            </w:pPr>
            <w:r>
              <w:t xml:space="preserve">Work</w:t>
            </w:r>
          </w:p>
        </w:tc>
        <w:tc>
          <w:tcPr/>
          <w:p>
            <w:pPr>
              <w:pStyle w:val="Compact"/>
            </w:pPr>
            <w:r>
              <w:t xml:space="preserve">Concurrency</w:t>
            </w:r>
          </w:p>
        </w:tc>
        <w:tc>
          <w:tcPr/>
          <w:p>
            <w:pPr>
              <w:pStyle w:val="Compact"/>
            </w:pPr>
            <w:r>
              <w:t xml:space="preserve">Timeout</w:t>
            </w:r>
          </w:p>
        </w:tc>
      </w:tr>
      <w:tr>
        <w:tc>
          <w:tcPr/>
          <w:p>
            <w:pPr>
              <w:pStyle w:val="Compact"/>
            </w:pPr>
            <w:r>
              <w:rPr>
                <w:rStyle w:val="VerbatimChar"/>
              </w:rPr>
              <w:t xml:space="preserve">critical</w:t>
            </w:r>
          </w:p>
        </w:tc>
        <w:tc>
          <w:tcPr/>
          <w:p>
            <w:pPr>
              <w:pStyle w:val="Compact"/>
            </w:pPr>
            <w:r>
              <w:t xml:space="preserve">E-invoice IRN, payment webhooks</w:t>
            </w:r>
          </w:p>
        </w:tc>
        <w:tc>
          <w:tcPr/>
          <w:p>
            <w:pPr>
              <w:pStyle w:val="Compact"/>
            </w:pPr>
            <w:r>
              <w:t xml:space="preserve">High</w:t>
            </w:r>
          </w:p>
        </w:tc>
        <w:tc>
          <w:tcPr/>
          <w:p>
            <w:pPr>
              <w:pStyle w:val="Compact"/>
            </w:pPr>
            <w:r>
              <w:t xml:space="preserve">30 s</w:t>
            </w:r>
          </w:p>
        </w:tc>
      </w:tr>
      <w:tr>
        <w:tc>
          <w:tcPr/>
          <w:p>
            <w:pPr>
              <w:pStyle w:val="Compact"/>
            </w:pPr>
            <w:r>
              <w:rPr>
                <w:rStyle w:val="VerbatimChar"/>
              </w:rPr>
              <w:t xml:space="preserve">default</w:t>
            </w:r>
          </w:p>
        </w:tc>
        <w:tc>
          <w:tcPr/>
          <w:p>
            <w:pPr>
              <w:pStyle w:val="Compact"/>
            </w:pPr>
            <w:r>
              <w:t xml:space="preserve">Email, notifications, recalculation</w:t>
            </w:r>
          </w:p>
        </w:tc>
        <w:tc>
          <w:tcPr/>
          <w:p>
            <w:pPr>
              <w:pStyle w:val="Compact"/>
            </w:pPr>
            <w:r>
              <w:t xml:space="preserve">Medium</w:t>
            </w:r>
          </w:p>
        </w:tc>
        <w:tc>
          <w:tcPr/>
          <w:p>
            <w:pPr>
              <w:pStyle w:val="Compact"/>
            </w:pPr>
            <w:r>
              <w:t xml:space="preserve">60 s</w:t>
            </w:r>
          </w:p>
        </w:tc>
      </w:tr>
      <w:tr>
        <w:tc>
          <w:tcPr/>
          <w:p>
            <w:pPr>
              <w:pStyle w:val="Compact"/>
            </w:pPr>
            <w:r>
              <w:rPr>
                <w:rStyle w:val="VerbatimChar"/>
              </w:rPr>
              <w:t xml:space="preserve">reports</w:t>
            </w:r>
          </w:p>
        </w:tc>
        <w:tc>
          <w:tcPr/>
          <w:p>
            <w:pPr>
              <w:pStyle w:val="Compact"/>
            </w:pPr>
            <w:r>
              <w:t xml:space="preserve">Trial balance, P&amp;L, GSTR builds, exports</w:t>
            </w:r>
          </w:p>
        </w:tc>
        <w:tc>
          <w:tcPr/>
          <w:p>
            <w:pPr>
              <w:pStyle w:val="Compact"/>
            </w:pPr>
            <w:r>
              <w:t xml:space="preserve">Low</w:t>
            </w:r>
          </w:p>
        </w:tc>
        <w:tc>
          <w:tcPr/>
          <w:p>
            <w:pPr>
              <w:pStyle w:val="Compact"/>
            </w:pPr>
            <w:r>
              <w:t xml:space="preserve">15 min</w:t>
            </w:r>
          </w:p>
        </w:tc>
      </w:tr>
      <w:tr>
        <w:tc>
          <w:tcPr/>
          <w:p>
            <w:pPr>
              <w:pStyle w:val="Compact"/>
            </w:pPr>
            <w:r>
              <w:rPr>
                <w:rStyle w:val="VerbatimChar"/>
              </w:rPr>
              <w:t xml:space="preserve">imports</w:t>
            </w:r>
          </w:p>
        </w:tc>
        <w:tc>
          <w:tcPr/>
          <w:p>
            <w:pPr>
              <w:pStyle w:val="Compact"/>
            </w:pPr>
            <w:r>
              <w:t xml:space="preserve">Bulk CSV/Excel ingest</w:t>
            </w:r>
          </w:p>
        </w:tc>
        <w:tc>
          <w:tcPr/>
          <w:p>
            <w:pPr>
              <w:pStyle w:val="Compact"/>
            </w:pPr>
            <w:r>
              <w:t xml:space="preserve">Low</w:t>
            </w:r>
          </w:p>
        </w:tc>
        <w:tc>
          <w:tcPr/>
          <w:p>
            <w:pPr>
              <w:pStyle w:val="Compact"/>
            </w:pPr>
            <w:r>
              <w:t xml:space="preserve">30 min</w:t>
            </w:r>
          </w:p>
        </w:tc>
      </w:tr>
      <w:tr>
        <w:tc>
          <w:tcPr/>
          <w:p>
            <w:pPr>
              <w:pStyle w:val="Compact"/>
            </w:pPr>
            <w:r>
              <w:rPr>
                <w:rStyle w:val="VerbatimChar"/>
              </w:rPr>
              <w:t xml:space="preserve">ocr</w:t>
            </w:r>
          </w:p>
        </w:tc>
        <w:tc>
          <w:tcPr/>
          <w:p>
            <w:pPr>
              <w:pStyle w:val="Compact"/>
            </w:pPr>
            <w:r>
              <w:t xml:space="preserve">Document extraction, LLM calls</w:t>
            </w:r>
          </w:p>
        </w:tc>
        <w:tc>
          <w:tcPr/>
          <w:p>
            <w:pPr>
              <w:pStyle w:val="Compact"/>
            </w:pPr>
            <w:r>
              <w:t xml:space="preserve">Low, cost-capped</w:t>
            </w:r>
          </w:p>
        </w:tc>
        <w:tc>
          <w:tcPr/>
          <w:p>
            <w:pPr>
              <w:pStyle w:val="Compact"/>
            </w:pPr>
            <w:r>
              <w:t xml:space="preserve">5 min</w:t>
            </w:r>
          </w:p>
        </w:tc>
      </w:tr>
      <w:tr>
        <w:tc>
          <w:tcPr/>
          <w:p>
            <w:pPr>
              <w:pStyle w:val="Compact"/>
            </w:pPr>
            <w:r>
              <w:rPr>
                <w:rStyle w:val="VerbatimChar"/>
              </w:rPr>
              <w:t xml:space="preserve">webhooks</w:t>
            </w:r>
          </w:p>
        </w:tc>
        <w:tc>
          <w:tcPr/>
          <w:p>
            <w:pPr>
              <w:pStyle w:val="Compact"/>
            </w:pPr>
            <w:r>
              <w:t xml:space="preserve">Outbound delivery with retries</w:t>
            </w:r>
          </w:p>
        </w:tc>
        <w:tc>
          <w:tcPr/>
          <w:p>
            <w:pPr>
              <w:pStyle w:val="Compact"/>
            </w:pPr>
            <w:r>
              <w:t xml:space="preserve">Medium</w:t>
            </w:r>
          </w:p>
        </w:tc>
        <w:tc>
          <w:tcPr/>
          <w:p>
            <w:pPr>
              <w:pStyle w:val="Compact"/>
            </w:pPr>
            <w:r>
              <w:t xml:space="preserve">30 s</w:t>
            </w:r>
          </w:p>
        </w:tc>
      </w:tr>
    </w:tbl>
    <w:p>
      <w:pPr>
        <w:pStyle w:val="BodyText"/>
      </w:pPr>
      <w:r>
        <w:rPr>
          <w:b/>
          <w:bCs/>
        </w:rPr>
        <w:t xml:space="preserve">[JUDGEMENT]</w:t>
      </w:r>
      <w:r>
        <w:t xml:space="preserve"> </w:t>
      </w:r>
      <w:r>
        <w:t xml:space="preserve">Separate queues exist so that one tenant importing 50,000 rows cannot delay every other tenant’s e-invoice submission. Sharing one queue is the most common way a pooled system becomes unfair.</w:t>
      </w:r>
    </w:p>
    <w:bookmarkEnd w:id="153"/>
    <w:bookmarkStart w:id="157" w:name="fairness-the-noisy-neighbour-control"/>
    <w:p>
      <w:pPr>
        <w:pStyle w:val="Heading3"/>
      </w:pPr>
      <w:r>
        <w:t xml:space="preserve">18.5 Fairness — the noisy-neighbour control</w:t>
      </w:r>
    </w:p>
    <w:p>
      <w:pPr>
        <w:pStyle w:val="FirstParagraph"/>
      </w:pPr>
      <w:r>
        <w:drawing>
          <wp:inline>
            <wp:extent cx="5334000" cy="6526305"/>
            <wp:effectExtent b="0" l="0" r="0" t="0"/>
            <wp:docPr descr="" title="" id="155" name="Picture"/>
            <a:graphic>
              <a:graphicData uri="http://schemas.openxmlformats.org/drawingml/2006/picture">
                <pic:pic>
                  <pic:nvPicPr>
                    <pic:cNvPr descr="/private/tmp/claude-501/-Users-sudipto-Desktop-projects-accubook/c277cf12-a75d-42eb-a282-70d38dbc59e8/scratchpad/d24.png" id="156" name="Picture"/>
                    <pic:cNvPicPr>
                      <a:picLocks noChangeArrowheads="1" noChangeAspect="1"/>
                    </pic:cNvPicPr>
                  </pic:nvPicPr>
                  <pic:blipFill>
                    <a:blip r:embed="rId154"/>
                    <a:stretch>
                      <a:fillRect/>
                    </a:stretch>
                  </pic:blipFill>
                  <pic:spPr bwMode="auto">
                    <a:xfrm>
                      <a:off x="0" y="0"/>
                      <a:ext cx="5334000" cy="6526305"/>
                    </a:xfrm>
                    <a:prstGeom prst="rect">
                      <a:avLst/>
                    </a:prstGeom>
                    <a:noFill/>
                    <a:ln w="9525">
                      <a:noFill/>
                      <a:headEnd/>
                      <a:tailEnd/>
                    </a:ln>
                  </pic:spPr>
                </pic:pic>
              </a:graphicData>
            </a:graphic>
          </wp:inline>
        </w:drawing>
      </w:r>
    </w:p>
    <w:p>
      <w:pPr>
        <w:pStyle w:val="BodyText"/>
      </w:pPr>
      <w:r>
        <w:rPr>
          <w:b/>
          <w:bCs/>
        </w:rPr>
        <w:t xml:space="preserve">[PATTERN]</w:t>
      </w:r>
      <w:r>
        <w:t xml:space="preserve"> </w:t>
      </w:r>
      <w:r>
        <w:t xml:space="preserve">Without a per-tenant cap, one tenant queueing 500 report jobs occupies every worker and every other tenant waits. With it, that tenant’s jobs simply take longer — the cost of their behaviour lands on them. The cap is an entitlement (§24), so a larger plan legitimately buys a higher one.</w:t>
      </w:r>
    </w:p>
    <w:bookmarkEnd w:id="157"/>
    <w:bookmarkStart w:id="158" w:name="retries-and-the-dead-letter-queue"/>
    <w:p>
      <w:pPr>
        <w:pStyle w:val="Heading3"/>
      </w:pPr>
      <w:r>
        <w:t xml:space="preserve">18.6 Retries and the dead-letter queue</w:t>
      </w:r>
    </w:p>
    <w:p>
      <w:pPr>
        <w:pStyle w:val="FirstParagraph"/>
      </w:pPr>
      <w:r>
        <w:t xml:space="preserve">Exponential backoff with jitter;</w:t>
      </w:r>
      <w:r>
        <w:t xml:space="preserve"> </w:t>
      </w:r>
      <w:r>
        <w:rPr>
          <w:rStyle w:val="VerbatimChar"/>
        </w:rPr>
        <w:t xml:space="preserve">max_attempts</w:t>
      </w:r>
      <w:r>
        <w:t xml:space="preserve"> </w:t>
      </w:r>
      <w:r>
        <w:t xml:space="preserve">then</w:t>
      </w:r>
      <w:r>
        <w:t xml:space="preserve"> </w:t>
      </w:r>
      <w:r>
        <w:rPr>
          <w:rStyle w:val="VerbatimChar"/>
        </w:rPr>
        <w:t xml:space="preserve">status = 'DEAD'</w:t>
      </w:r>
      <w:r>
        <w:t xml:space="preserve">.</w:t>
      </w:r>
      <w:r>
        <w:t xml:space="preserve"> </w:t>
      </w:r>
      <w:r>
        <w:rPr>
          <w:b/>
          <w:bCs/>
        </w:rPr>
        <w:t xml:space="preserve">[JUDGEMENT]</w:t>
      </w:r>
      <w:r>
        <w:t xml:space="preserve"> </w:t>
      </w:r>
      <w:r>
        <w:t xml:space="preserve">A dead-letter row must page someone if</w:t>
      </w:r>
      <w:r>
        <w:t xml:space="preserve"> </w:t>
      </w:r>
      <w:r>
        <w:rPr>
          <w:rStyle w:val="VerbatimChar"/>
        </w:rPr>
        <w:t xml:space="preserve">kind</w:t>
      </w:r>
      <w:r>
        <w:t xml:space="preserve"> </w:t>
      </w:r>
      <w:r>
        <w:t xml:space="preserve">is in the critical set — a failed e-invoice submission is a statutory problem for the customer within 24 hours, not a background curiosity. Every handler must be idempotent, keyed by</w:t>
      </w:r>
      <w:r>
        <w:t xml:space="preserve"> </w:t>
      </w:r>
      <w:r>
        <w:rPr>
          <w:rStyle w:val="VerbatimChar"/>
        </w:rPr>
        <w:t xml:space="preserve">idempotency_key</w:t>
      </w:r>
      <w:r>
        <w:t xml:space="preserve">, because</w:t>
      </w:r>
      <w:r>
        <w:t xml:space="preserve"> </w:t>
      </w:r>
      <w:r>
        <w:t xml:space="preserve">“at least once”</w:t>
      </w:r>
      <w:r>
        <w:t xml:space="preserve"> </w:t>
      </w:r>
      <w:r>
        <w:t xml:space="preserve">is the only delivery guarantee this design offers.</w:t>
      </w:r>
    </w:p>
    <w:bookmarkEnd w:id="158"/>
    <w:bookmarkEnd w:id="159"/>
    <w:bookmarkStart w:id="166" w:name="reporting"/>
    <w:p>
      <w:pPr>
        <w:pStyle w:val="Heading2"/>
      </w:pPr>
      <w:r>
        <w:t xml:space="preserve">19. Reporting</w:t>
      </w:r>
    </w:p>
    <w:p>
      <w:pPr>
        <w:pStyle w:val="FirstParagraph"/>
      </w:pPr>
      <w:r>
        <w:rPr>
          <w:b/>
          <w:bCs/>
        </w:rPr>
        <w:t xml:space="preserve">[JUDGEMENT]</w:t>
      </w:r>
      <w:r>
        <w:t xml:space="preserve"> </w:t>
      </w:r>
      <w:r>
        <w:t xml:space="preserve">This is where AccuBook is most likely to be compared unfavourably with Zoho Books, and it is where the pooled model’s weaknesses surface first: a report is a long, wide, read-heavy query over one tenant’s entire history, running on infrastructure shared with everyone else’s writes.</w:t>
      </w:r>
    </w:p>
    <w:bookmarkStart w:id="163" w:name="three-tiers"/>
    <w:p>
      <w:pPr>
        <w:pStyle w:val="Heading3"/>
      </w:pPr>
      <w:r>
        <w:t xml:space="preserve">19.1 Three tiers</w:t>
      </w:r>
    </w:p>
    <w:p>
      <w:pPr>
        <w:pStyle w:val="FirstParagraph"/>
      </w:pPr>
      <w:r>
        <w:drawing>
          <wp:inline>
            <wp:extent cx="5334000" cy="5844267"/>
            <wp:effectExtent b="0" l="0" r="0" t="0"/>
            <wp:docPr descr="" title="" id="161" name="Picture"/>
            <a:graphic>
              <a:graphicData uri="http://schemas.openxmlformats.org/drawingml/2006/picture">
                <pic:pic>
                  <pic:nvPicPr>
                    <pic:cNvPr descr="/private/tmp/claude-501/-Users-sudipto-Desktop-projects-accubook/c277cf12-a75d-42eb-a282-70d38dbc59e8/scratchpad/d25.png" id="162" name="Picture"/>
                    <pic:cNvPicPr>
                      <a:picLocks noChangeArrowheads="1" noChangeAspect="1"/>
                    </pic:cNvPicPr>
                  </pic:nvPicPr>
                  <pic:blipFill>
                    <a:blip r:embed="rId160"/>
                    <a:stretch>
                      <a:fillRect/>
                    </a:stretch>
                  </pic:blipFill>
                  <pic:spPr bwMode="auto">
                    <a:xfrm>
                      <a:off x="0" y="0"/>
                      <a:ext cx="5334000" cy="584426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Latency</w:t>
            </w:r>
          </w:p>
        </w:tc>
        <w:tc>
          <w:tcPr/>
          <w:p>
            <w:pPr>
              <w:pStyle w:val="Compact"/>
            </w:pPr>
            <w:r>
              <w:t xml:space="preserve">Path</w:t>
            </w:r>
          </w:p>
        </w:tc>
        <w:tc>
          <w:tcPr/>
          <w:p>
            <w:pPr>
              <w:pStyle w:val="Compact"/>
            </w:pPr>
            <w:r>
              <w:t xml:space="preserve">Examples</w:t>
            </w:r>
          </w:p>
        </w:tc>
      </w:tr>
      <w:tr>
        <w:tc>
          <w:tcPr/>
          <w:p>
            <w:pPr>
              <w:pStyle w:val="Compact"/>
            </w:pPr>
            <w:r>
              <w:rPr>
                <w:b/>
                <w:bCs/>
              </w:rPr>
              <w:t xml:space="preserve">T1</w:t>
            </w:r>
          </w:p>
        </w:tc>
        <w:tc>
          <w:tcPr/>
          <w:p>
            <w:pPr>
              <w:pStyle w:val="Compact"/>
            </w:pPr>
            <w:r>
              <w:t xml:space="preserve">&lt; 2 s</w:t>
            </w:r>
          </w:p>
        </w:tc>
        <w:tc>
          <w:tcPr/>
          <w:p>
            <w:pPr>
              <w:pStyle w:val="Compact"/>
            </w:pPr>
            <w:r>
              <w:t xml:space="preserve">Synchronous, reads</w:t>
            </w:r>
            <w:r>
              <w:t xml:space="preserve"> </w:t>
            </w:r>
            <w:r>
              <w:rPr>
                <w:rStyle w:val="VerbatimChar"/>
              </w:rPr>
              <w:t xml:space="preserve">ledger_balances</w:t>
            </w:r>
          </w:p>
        </w:tc>
        <w:tc>
          <w:tcPr/>
          <w:p>
            <w:pPr>
              <w:pStyle w:val="Compact"/>
            </w:pPr>
            <w:r>
              <w:t xml:space="preserve">Dashboard, trial balance, outstanding summary</w:t>
            </w:r>
          </w:p>
        </w:tc>
      </w:tr>
      <w:tr>
        <w:tc>
          <w:tcPr/>
          <w:p>
            <w:pPr>
              <w:pStyle w:val="Compact"/>
            </w:pPr>
            <w:r>
              <w:rPr>
                <w:b/>
                <w:bCs/>
              </w:rPr>
              <w:t xml:space="preserve">T2</w:t>
            </w:r>
          </w:p>
        </w:tc>
        <w:tc>
          <w:tcPr/>
          <w:p>
            <w:pPr>
              <w:pStyle w:val="Compact"/>
            </w:pPr>
            <w:r>
              <w:t xml:space="preserve">&lt; 30 s</w:t>
            </w:r>
          </w:p>
        </w:tc>
        <w:tc>
          <w:tcPr/>
          <w:p>
            <w:pPr>
              <w:pStyle w:val="Compact"/>
            </w:pPr>
            <w:r>
              <w:t xml:space="preserve">Streamed, paginated, cursor-based</w:t>
            </w:r>
          </w:p>
        </w:tc>
        <w:tc>
          <w:tcPr/>
          <w:p>
            <w:pPr>
              <w:pStyle w:val="Compact"/>
            </w:pPr>
            <w:r>
              <w:t xml:space="preserve">Ledger detail, ageing, stock movement, day book</w:t>
            </w:r>
          </w:p>
        </w:tc>
      </w:tr>
      <w:tr>
        <w:tc>
          <w:tcPr/>
          <w:p>
            <w:pPr>
              <w:pStyle w:val="Compact"/>
            </w:pPr>
            <w:r>
              <w:rPr>
                <w:b/>
                <w:bCs/>
              </w:rPr>
              <w:t xml:space="preserve">T3</w:t>
            </w:r>
          </w:p>
        </w:tc>
        <w:tc>
          <w:tcPr/>
          <w:p>
            <w:pPr>
              <w:pStyle w:val="Compact"/>
            </w:pPr>
            <w:r>
              <w:t xml:space="preserve">Minutes</w:t>
            </w:r>
          </w:p>
        </w:tc>
        <w:tc>
          <w:tcPr/>
          <w:p>
            <w:pPr>
              <w:pStyle w:val="Compact"/>
            </w:pPr>
            <w:r>
              <w:t xml:space="preserve">Queued → file → signed URL → notification</w:t>
            </w:r>
          </w:p>
        </w:tc>
        <w:tc>
          <w:tcPr/>
          <w:p>
            <w:pPr>
              <w:pStyle w:val="Compact"/>
            </w:pPr>
            <w:r>
              <w:t xml:space="preserve">GSTR-1/3B, annual P&amp;L and balance sheet, full data export, Form 16</w:t>
            </w:r>
          </w:p>
        </w:tc>
      </w:tr>
    </w:tbl>
    <w:p>
      <w:pPr>
        <w:pStyle w:val="BodyText"/>
      </w:pPr>
      <w:r>
        <w:rPr>
          <w:b/>
          <w:bCs/>
        </w:rPr>
        <w:t xml:space="preserve">[JUDGEMENT]</w:t>
      </w:r>
      <w:r>
        <w:t xml:space="preserve"> </w:t>
      </w:r>
      <w:r>
        <w:t xml:space="preserve">The</w:t>
      </w:r>
      <w:r>
        <w:t xml:space="preserve"> </w:t>
      </w:r>
      <w:r>
        <w:rPr>
          <w:b/>
          <w:bCs/>
        </w:rPr>
        <w:t xml:space="preserve">cost estimate before execution</w:t>
      </w:r>
      <w:r>
        <w:t xml:space="preserve"> </w:t>
      </w:r>
      <w:r>
        <w:t xml:space="preserve">is what makes this work. A tenant with 200 vouchers and a tenant with 2,000,000 both ask for</w:t>
      </w:r>
      <w:r>
        <w:t xml:space="preserve"> </w:t>
      </w:r>
      <w:r>
        <w:t xml:space="preserve">“P&amp;L for the year”</w:t>
      </w:r>
      <w:r>
        <w:t xml:space="preserve">; the same request is T1 for one and T3 for the other. Estimating from row counts and routing accordingly is the mechanism that stops a large tenant’s ordinary request behaving like an attack.</w:t>
      </w:r>
    </w:p>
    <w:bookmarkEnd w:id="163"/>
    <w:bookmarkStart w:id="164" w:name="reads-go-to-a-replica"/>
    <w:p>
      <w:pPr>
        <w:pStyle w:val="Heading3"/>
      </w:pPr>
      <w:r>
        <w:t xml:space="preserve">19.2 Reads go to a replica</w:t>
      </w:r>
    </w:p>
    <w:p>
      <w:pPr>
        <w:pStyle w:val="FirstParagraph"/>
      </w:pPr>
      <w:r>
        <w:t xml:space="preserve">From Stage 1, all reporting uses</w:t>
      </w:r>
      <w:r>
        <w:t xml:space="preserve"> </w:t>
      </w:r>
      <w:r>
        <w:rPr>
          <w:rStyle w:val="VerbatimChar"/>
        </w:rPr>
        <w:t xml:space="preserve">app_report</w:t>
      </w:r>
      <w:r>
        <w:t xml:space="preserve"> </w:t>
      </w:r>
      <w:r>
        <w:t xml:space="preserve">against a read replica: read-only, its own</w:t>
      </w:r>
      <w:r>
        <w:t xml:space="preserve"> </w:t>
      </w:r>
      <w:r>
        <w:rPr>
          <w:rStyle w:val="VerbatimChar"/>
        </w:rPr>
        <w:t xml:space="preserve">statement_timeout</w:t>
      </w:r>
      <w:r>
        <w:t xml:space="preserve">, its own connection budget.</w:t>
      </w:r>
      <w:r>
        <w:t xml:space="preserve"> </w:t>
      </w:r>
      <w:r>
        <w:rPr>
          <w:b/>
          <w:bCs/>
        </w:rPr>
        <w:t xml:space="preserve">[PATTERN]</w:t>
      </w:r>
      <w:r>
        <w:t xml:space="preserve"> </w:t>
      </w:r>
      <w:r>
        <w:t xml:space="preserve">Replication lag is acceptable for reports (seconds) and unacceptable for posting — so posting never reads the replica, and the DAL enforces that by exposing a separate</w:t>
      </w:r>
      <w:r>
        <w:t xml:space="preserve"> </w:t>
      </w:r>
      <w:r>
        <w:rPr>
          <w:rStyle w:val="VerbatimChar"/>
        </w:rPr>
        <w:t xml:space="preserve">reportDb()</w:t>
      </w:r>
      <w:r>
        <w:t xml:space="preserve"> </w:t>
      </w:r>
      <w:r>
        <w:t xml:space="preserve">accessor that cannot write.</w:t>
      </w:r>
    </w:p>
    <w:bookmarkEnd w:id="164"/>
    <w:bookmarkStart w:id="165" w:name="Xb2dad85494fc52fe863b7e69b3d08710f047784"/>
    <w:p>
      <w:pPr>
        <w:pStyle w:val="Heading3"/>
      </w:pPr>
      <w:r>
        <w:t xml:space="preserve">19.3 Statutory reports are not ordinary reports</w:t>
      </w:r>
    </w:p>
    <w:p>
      <w:pPr>
        <w:pStyle w:val="FirstParagraph"/>
      </w:pPr>
      <w:r>
        <w:t xml:space="preserve">GSTR-1, GSTR-3B and Form 16 differ from a P&amp;L in a way that changes the design:</w:t>
      </w:r>
      <w:r>
        <w:t xml:space="preserve"> </w:t>
      </w:r>
      <w:r>
        <w:rPr>
          <w:b/>
          <w:bCs/>
        </w:rPr>
        <w:t xml:space="preserve">they are filed, and a filed return is a fact about the past.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Design</w:t>
            </w:r>
          </w:p>
        </w:tc>
      </w:tr>
      <w:tr>
        <w:tc>
          <w:tcPr/>
          <w:p>
            <w:pPr>
              <w:pStyle w:val="Compact"/>
            </w:pPr>
            <w:r>
              <w:t xml:space="preserve">Reproducible</w:t>
            </w:r>
          </w:p>
        </w:tc>
        <w:tc>
          <w:tcPr/>
          <w:p>
            <w:pPr>
              <w:pStyle w:val="Compact"/>
            </w:pPr>
            <w:r>
              <w:t xml:space="preserve">A generated return is</w:t>
            </w:r>
            <w:r>
              <w:t xml:space="preserve"> </w:t>
            </w:r>
            <w:r>
              <w:rPr>
                <w:b/>
                <w:bCs/>
              </w:rPr>
              <w:t xml:space="preserve">stored</w:t>
            </w:r>
            <w:r>
              <w:t xml:space="preserve">, with its inputs and the rule version used</w:t>
            </w:r>
          </w:p>
        </w:tc>
      </w:tr>
      <w:tr>
        <w:tc>
          <w:tcPr/>
          <w:p>
            <w:pPr>
              <w:pStyle w:val="Compact"/>
            </w:pPr>
            <w:r>
              <w:t xml:space="preserve">Versioned rules</w:t>
            </w:r>
          </w:p>
        </w:tc>
        <w:tc>
          <w:tcPr/>
          <w:p>
            <w:pPr>
              <w:pStyle w:val="Compact"/>
            </w:pPr>
            <w:r>
              <w:t xml:space="preserve">Tax rules are date-versioned data. A return for FY 2024-25 uses that year’s rules forever</w:t>
            </w:r>
          </w:p>
        </w:tc>
      </w:tr>
      <w:tr>
        <w:tc>
          <w:tcPr/>
          <w:p>
            <w:pPr>
              <w:pStyle w:val="Compact"/>
            </w:pPr>
            <w:r>
              <w:t xml:space="preserve">Amendable</w:t>
            </w:r>
          </w:p>
        </w:tc>
        <w:tc>
          <w:tcPr/>
          <w:p>
            <w:pPr>
              <w:pStyle w:val="Compact"/>
            </w:pPr>
            <w:r>
              <w:t xml:space="preserve">Amendments are new rows referencing the original, mirroring the GST portal’s own model</w:t>
            </w:r>
          </w:p>
        </w:tc>
      </w:tr>
      <w:tr>
        <w:tc>
          <w:tcPr/>
          <w:p>
            <w:pPr>
              <w:pStyle w:val="Compact"/>
            </w:pPr>
            <w:r>
              <w:t xml:space="preserve">Reconcilable</w:t>
            </w:r>
          </w:p>
        </w:tc>
        <w:tc>
          <w:tcPr/>
          <w:p>
            <w:pPr>
              <w:pStyle w:val="Compact"/>
            </w:pPr>
            <w:r>
              <w:t xml:space="preserve">Books vs filed return, as a report the customer can run themselves</w:t>
            </w:r>
          </w:p>
        </w:tc>
      </w:tr>
    </w:tbl>
    <w:p>
      <w:pPr>
        <w:pStyle w:val="BodyText"/>
      </w:pPr>
      <w:r>
        <w:rPr>
          <w:b/>
          <w:bCs/>
        </w:rPr>
        <w:t xml:space="preserve">[JUDGEMENT]</w:t>
      </w:r>
      <w:r>
        <w:t xml:space="preserve"> </w:t>
      </w:r>
      <w:r>
        <w:t xml:space="preserve">Tax rates in code are a defect. When a rate changes, every historical recomputation silently changes with it, and last year’s return no longer reproduces.</w:t>
      </w:r>
      <w:r>
        <w:t xml:space="preserve"> </w:t>
      </w:r>
      <w:r>
        <w:rPr>
          <w:rStyle w:val="VerbatimChar"/>
        </w:rPr>
        <w:t xml:space="preserve">TaxConfig</w:t>
      </w:r>
      <w:r>
        <w:t xml:space="preserve"> </w:t>
      </w:r>
      <w:r>
        <w:rPr>
          <w:b/>
          <w:bCs/>
        </w:rPr>
        <w:t xml:space="preserve">[VERIFIED-REPO]</w:t>
      </w:r>
      <w:r>
        <w:t xml:space="preserve"> </w:t>
      </w:r>
      <w:r>
        <w:t xml:space="preserve">exists per organisation; it needs effective-date ranges so that a rate is a fact about a period rather than a fact about the present.</w:t>
      </w:r>
    </w:p>
    <w:bookmarkEnd w:id="165"/>
    <w:bookmarkEnd w:id="166"/>
    <w:bookmarkStart w:id="170" w:name="documents-ocr-and-ai"/>
    <w:p>
      <w:pPr>
        <w:pStyle w:val="Heading2"/>
      </w:pPr>
      <w:r>
        <w:t xml:space="preserve">20. Documents, OCR and AI</w:t>
      </w:r>
    </w:p>
    <w:p>
      <w:pPr>
        <w:pStyle w:val="FirstParagraph"/>
      </w:pPr>
      <w:r>
        <w:rPr>
          <w:b/>
          <w:bCs/>
        </w:rPr>
        <w:t xml:space="preserve">[VERIFIED-REPO]</w:t>
      </w:r>
      <w:r>
        <w:t xml:space="preserve"> </w:t>
      </w:r>
      <w:r>
        <w:t xml:space="preserve">Already shipped:</w:t>
      </w:r>
      <w:r>
        <w:t xml:space="preserve"> </w:t>
      </w:r>
      <w:r>
        <w:rPr>
          <w:rStyle w:val="VerbatimChar"/>
        </w:rPr>
        <w:t xml:space="preserve">DocumentExtraction</w:t>
      </w:r>
      <w:r>
        <w:t xml:space="preserve"> </w:t>
      </w:r>
      <w:r>
        <w:t xml:space="preserve">(org-scoped), Tesseract.js,</w:t>
      </w:r>
      <w:r>
        <w:t xml:space="preserve"> </w:t>
      </w:r>
      <w:r>
        <w:rPr>
          <w:rStyle w:val="VerbatimChar"/>
        </w:rPr>
        <w:t xml:space="preserve">unpdf</w:t>
      </w:r>
      <w:r>
        <w:t xml:space="preserve">, and the Anthropic SDK.</w:t>
      </w:r>
    </w:p>
    <w:p>
      <w:pPr>
        <w:pStyle w:val="BodyText"/>
      </w:pPr>
      <w:r>
        <w:drawing>
          <wp:inline>
            <wp:extent cx="5334000" cy="333375"/>
            <wp:effectExtent b="0" l="0" r="0" t="0"/>
            <wp:docPr descr="" title="" id="168" name="Picture"/>
            <a:graphic>
              <a:graphicData uri="http://schemas.openxmlformats.org/drawingml/2006/picture">
                <pic:pic>
                  <pic:nvPicPr>
                    <pic:cNvPr descr="/private/tmp/claude-501/-Users-sudipto-Desktop-projects-accubook/c277cf12-a75d-42eb-a282-70d38dbc59e8/scratchpad/d26.png" id="169" name="Picture"/>
                    <pic:cNvPicPr>
                      <a:picLocks noChangeArrowheads="1" noChangeAspect="1"/>
                    </pic:cNvPicPr>
                  </pic:nvPicPr>
                  <pic:blipFill>
                    <a:blip r:embed="rId167"/>
                    <a:stretch>
                      <a:fillRect/>
                    </a:stretch>
                  </pic:blipFill>
                  <pic:spPr bwMode="auto">
                    <a:xfrm>
                      <a:off x="0" y="0"/>
                      <a:ext cx="5334000" cy="33337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Design</w:t>
            </w:r>
          </w:p>
        </w:tc>
      </w:tr>
      <w:tr>
        <w:tc>
          <w:tcPr/>
          <w:p>
            <w:pPr>
              <w:pStyle w:val="Compact"/>
            </w:pPr>
            <w:r>
              <w:rPr>
                <w:b/>
                <w:bCs/>
              </w:rPr>
              <w:t xml:space="preserve">Nothing auto-posts</w:t>
            </w:r>
          </w:p>
        </w:tc>
        <w:tc>
          <w:tcPr/>
          <w:p>
            <w:pPr>
              <w:pStyle w:val="Compact"/>
            </w:pPr>
            <w:r>
              <w:t xml:space="preserve">Extraction produces a</w:t>
            </w:r>
            <w:r>
              <w:t xml:space="preserve"> </w:t>
            </w:r>
            <w:r>
              <w:rPr>
                <w:i/>
                <w:iCs/>
              </w:rPr>
              <w:t xml:space="preserve">draft</w:t>
            </w:r>
            <w:r>
              <w:t xml:space="preserve">. A human confirms.</w:t>
            </w:r>
            <w:r>
              <w:t xml:space="preserve"> </w:t>
            </w:r>
            <w:r>
              <w:rPr>
                <w:b/>
                <w:bCs/>
              </w:rPr>
              <w:t xml:space="preserve">[JUDGEMENT]</w:t>
            </w:r>
            <w:r>
              <w:t xml:space="preserve"> </w:t>
            </w:r>
            <w:r>
              <w:t xml:space="preserve">An LLM misreading</w:t>
            </w:r>
            <w:r>
              <w:t xml:space="preserve"> </w:t>
            </w:r>
            <w:r>
              <w:rPr>
                <w:rStyle w:val="VerbatimChar"/>
              </w:rPr>
              <w:t xml:space="preserve">1,00,000</w:t>
            </w:r>
            <w:r>
              <w:t xml:space="preserve"> </w:t>
            </w:r>
            <w:r>
              <w:t xml:space="preserve">as</w:t>
            </w:r>
            <w:r>
              <w:t xml:space="preserve"> </w:t>
            </w:r>
            <w:r>
              <w:rPr>
                <w:rStyle w:val="VerbatimChar"/>
              </w:rPr>
              <w:t xml:space="preserve">100,000</w:t>
            </w:r>
            <w:r>
              <w:t xml:space="preserve"> </w:t>
            </w:r>
            <w:r>
              <w:t xml:space="preserve">and posting it unattended is an unrecoverable customer incident</w:t>
            </w:r>
          </w:p>
        </w:tc>
      </w:tr>
      <w:tr>
        <w:tc>
          <w:tcPr/>
          <w:p>
            <w:pPr>
              <w:pStyle w:val="Compact"/>
            </w:pPr>
            <w:r>
              <w:t xml:space="preserve">Cost control</w:t>
            </w:r>
          </w:p>
        </w:tc>
        <w:tc>
          <w:tcPr/>
          <w:p>
            <w:pPr>
              <w:pStyle w:val="Compact"/>
            </w:pPr>
            <w:r>
              <w:t xml:space="preserve">Per-tenant monthly page cap as an entitlement, enforced</w:t>
            </w:r>
            <w:r>
              <w:t xml:space="preserve"> </w:t>
            </w:r>
            <w:r>
              <w:rPr>
                <w:b/>
                <w:bCs/>
              </w:rPr>
              <w:t xml:space="preserve">before</w:t>
            </w:r>
            <w:r>
              <w:t xml:space="preserve"> </w:t>
            </w:r>
            <w:r>
              <w:t xml:space="preserve">the API call; usage metered per document</w:t>
            </w:r>
          </w:p>
        </w:tc>
      </w:tr>
      <w:tr>
        <w:tc>
          <w:tcPr/>
          <w:p>
            <w:pPr>
              <w:pStyle w:val="Compact"/>
            </w:pPr>
            <w:r>
              <w:t xml:space="preserve">Tenant isolation</w:t>
            </w:r>
          </w:p>
        </w:tc>
        <w:tc>
          <w:tcPr/>
          <w:p>
            <w:pPr>
              <w:pStyle w:val="Compact"/>
            </w:pPr>
            <w:r>
              <w:t xml:space="preserve">Prompts carry one tenant’s document only. Never batch across tenants</w:t>
            </w:r>
          </w:p>
        </w:tc>
      </w:tr>
      <w:tr>
        <w:tc>
          <w:tcPr/>
          <w:p>
            <w:pPr>
              <w:pStyle w:val="Compact"/>
            </w:pPr>
            <w:r>
              <w:t xml:space="preserve">Data handling</w:t>
            </w:r>
          </w:p>
        </w:tc>
        <w:tc>
          <w:tcPr/>
          <w:p>
            <w:pPr>
              <w:pStyle w:val="Compact"/>
            </w:pPr>
            <w:r>
              <w:t xml:space="preserve">Vendor data-retention terms are a DPDP question — record them in the sub-processor list (§25.4)</w:t>
            </w:r>
          </w:p>
        </w:tc>
      </w:tr>
      <w:tr>
        <w:tc>
          <w:tcPr/>
          <w:p>
            <w:pPr>
              <w:pStyle w:val="Compact"/>
            </w:pPr>
            <w:r>
              <w:t xml:space="preserve">Model failure</w:t>
            </w:r>
          </w:p>
        </w:tc>
        <w:tc>
          <w:tcPr/>
          <w:p>
            <w:pPr>
              <w:pStyle w:val="Compact"/>
            </w:pPr>
            <w:r>
              <w:t xml:space="preserve">Confidence below threshold → review queue, never a silent guess</w:t>
            </w:r>
          </w:p>
        </w:tc>
      </w:tr>
      <w:tr>
        <w:tc>
          <w:tcPr/>
          <w:p>
            <w:pPr>
              <w:pStyle w:val="Compact"/>
            </w:pPr>
            <w:r>
              <w:t xml:space="preserve">Extractability</w:t>
            </w:r>
          </w:p>
        </w:tc>
        <w:tc>
          <w:tcPr/>
          <w:p>
            <w:pPr>
              <w:pStyle w:val="Compact"/>
            </w:pPr>
            <w:r>
              <w:t xml:space="preserve">The only module with a genuinely different scaling profile — CPU-heavy, long-running, non-transactional. §6.3’s one candidate for later extraction</w:t>
            </w:r>
          </w:p>
        </w:tc>
      </w:tr>
    </w:tbl>
    <w:bookmarkEnd w:id="170"/>
    <w:bookmarkStart w:id="171" w:name="file-storage"/>
    <w:p>
      <w:pPr>
        <w:pStyle w:val="Heading2"/>
      </w:pPr>
      <w:r>
        <w:t xml:space="preserve">21. File storage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Reason</w:t>
            </w:r>
          </w:p>
        </w:tc>
      </w:tr>
      <w:tr>
        <w:tc>
          <w:tcPr/>
          <w:p>
            <w:pPr>
              <w:pStyle w:val="Compact"/>
            </w:pPr>
            <w:r>
              <w:t xml:space="preserve">Key layout</w:t>
            </w:r>
            <w:r>
              <w:t xml:space="preserve"> </w:t>
            </w:r>
            <w:r>
              <w:rPr>
                <w:rStyle w:val="VerbatimChar"/>
              </w:rPr>
              <w:t xml:space="preserve">documents/{orgId}/{yyyy}/{mm}/{uuid}</w:t>
            </w:r>
          </w:p>
        </w:tc>
        <w:tc>
          <w:tcPr/>
          <w:p>
            <w:pPr>
              <w:pStyle w:val="Compact"/>
            </w:pPr>
            <w:r>
              <w:rPr>
                <w:b/>
                <w:bCs/>
              </w:rPr>
              <w:t xml:space="preserve">[JUDGEMENT]</w:t>
            </w:r>
            <w:r>
              <w:t xml:space="preserve"> </w:t>
            </w:r>
            <w:r>
              <w:t xml:space="preserve">The prefix is for</w:t>
            </w:r>
            <w:r>
              <w:t xml:space="preserve"> </w:t>
            </w:r>
            <w:r>
              <w:rPr>
                <w:i/>
                <w:iCs/>
              </w:rPr>
              <w:t xml:space="preserve">lifecycle and export</w:t>
            </w:r>
            <w:r>
              <w:t xml:space="preserve">, never for authorisation</w:t>
            </w:r>
          </w:p>
        </w:tc>
      </w:tr>
      <w:tr>
        <w:tc>
          <w:tcPr/>
          <w:p>
            <w:pPr>
              <w:pStyle w:val="Compact"/>
            </w:pPr>
            <w:r>
              <w:t xml:space="preserve">Authorisation is a</w:t>
            </w:r>
            <w:r>
              <w:t xml:space="preserve"> </w:t>
            </w:r>
            <w:r>
              <w:rPr>
                <w:b/>
                <w:bCs/>
              </w:rPr>
              <w:t xml:space="preserve">row read under RLS</w:t>
            </w:r>
            <w:r>
              <w:t xml:space="preserve">, then a signed URL</w:t>
            </w:r>
          </w:p>
        </w:tc>
        <w:tc>
          <w:tcPr/>
          <w:p>
            <w:pPr>
              <w:pStyle w:val="Compact"/>
            </w:pPr>
            <w:r>
              <w:t xml:space="preserve">The key must never be the credential. A guessed or leaked key must be worthless</w:t>
            </w:r>
          </w:p>
        </w:tc>
      </w:tr>
      <w:tr>
        <w:tc>
          <w:tcPr/>
          <w:p>
            <w:pPr>
              <w:pStyle w:val="Compact"/>
            </w:pPr>
            <w:r>
              <w:t xml:space="preserve">Signed URLs, 5–15 minutes</w:t>
            </w:r>
          </w:p>
        </w:tc>
        <w:tc>
          <w:tcPr/>
          <w:p>
            <w:pPr>
              <w:pStyle w:val="Compact"/>
            </w:pPr>
            <w:r>
              <w:t xml:space="preserve">Bounded exposure if a link is forwarded</w:t>
            </w:r>
          </w:p>
        </w:tc>
      </w:tr>
      <w:tr>
        <w:tc>
          <w:tcPr/>
          <w:p>
            <w:pPr>
              <w:pStyle w:val="Compact"/>
            </w:pPr>
            <w:r>
              <w:t xml:space="preserve">Upload validation</w:t>
            </w:r>
          </w:p>
        </w:tc>
        <w:tc>
          <w:tcPr/>
          <w:p>
            <w:pPr>
              <w:pStyle w:val="Compact"/>
            </w:pPr>
            <w:r>
              <w:t xml:space="preserve">Magic bytes, not the extension; size cap; malware scan before the file is reachable</w:t>
            </w:r>
          </w:p>
        </w:tc>
      </w:tr>
      <w:tr>
        <w:tc>
          <w:tcPr/>
          <w:p>
            <w:pPr>
              <w:pStyle w:val="Compact"/>
            </w:pPr>
            <w:r>
              <w:t xml:space="preserve">Never served from the app</w:t>
            </w:r>
          </w:p>
        </w:tc>
        <w:tc>
          <w:tcPr/>
          <w:p>
            <w:pPr>
              <w:pStyle w:val="Compact"/>
            </w:pPr>
            <w:r>
              <w:t xml:space="preserve">Bandwidth through a function is the most expensive possible byte</w:t>
            </w:r>
          </w:p>
        </w:tc>
      </w:tr>
      <w:tr>
        <w:tc>
          <w:tcPr/>
          <w:p>
            <w:pPr>
              <w:pStyle w:val="Compact"/>
            </w:pPr>
            <w:r>
              <w:t xml:space="preserve">Retention</w:t>
            </w:r>
          </w:p>
        </w:tc>
        <w:tc>
          <w:tcPr/>
          <w:p>
            <w:pPr>
              <w:pStyle w:val="Compact"/>
            </w:pPr>
            <w:r>
              <w:t xml:space="preserve">Per document class (§25.3): statutory documents 8 years; OCR source images shorter</w:t>
            </w:r>
          </w:p>
        </w:tc>
      </w:tr>
    </w:tbl>
    <w:p>
      <w:pPr>
        <w:pStyle w:val="BodyText"/>
      </w:pPr>
      <w:r>
        <w:rPr>
          <w:b/>
          <w:bCs/>
        </w:rPr>
        <w:t xml:space="preserve">[VERIFIED-REPO]</w:t>
      </w:r>
      <w:r>
        <w:t xml:space="preserve"> </w:t>
      </w:r>
      <w:r>
        <w:t xml:space="preserve">This is already implemented correctly — access flows through org-scoped routes rather than direct storage links. Preserve that property through the storage-provider change that Stage 3 will bring (§29).</w:t>
      </w:r>
    </w:p>
    <w:p>
      <w:r>
        <w:pict>
          <v:rect style="width:0;height:1.5pt" o:hralign="center" o:hrstd="t" o:hr="t"/>
        </w:pict>
      </w:r>
    </w:p>
    <w:bookmarkEnd w:id="171"/>
    <w:bookmarkStart w:id="175" w:name="caching"/>
    <w:p>
      <w:pPr>
        <w:pStyle w:val="Heading2"/>
      </w:pPr>
      <w:r>
        <w:t xml:space="preserve">22. Caching</w:t>
      </w:r>
    </w:p>
    <w:p>
      <w:pPr>
        <w:pStyle w:val="FirstParagraph"/>
      </w:pPr>
      <w:r>
        <w:rPr>
          <w:b/>
          <w:bCs/>
        </w:rPr>
        <w:t xml:space="preserve">[JUDGEMENT]</w:t>
      </w:r>
      <w:r>
        <w:t xml:space="preserve"> </w:t>
      </w:r>
      <w:r>
        <w:t xml:space="preserve">The rule is short and absolute:</w:t>
      </w:r>
      <w:r>
        <w:t xml:space="preserve"> </w:t>
      </w:r>
      <w:r>
        <w:rPr>
          <w:b/>
          <w:bCs/>
        </w:rPr>
        <w:t xml:space="preserve">cache identity and configuration; never cache money.</w:t>
      </w:r>
    </w:p>
    <w:p>
      <w:pPr>
        <w:pStyle w:val="BodyText"/>
      </w:pPr>
      <w:r>
        <w:drawing>
          <wp:inline>
            <wp:extent cx="5334000" cy="5817053"/>
            <wp:effectExtent b="0" l="0" r="0" t="0"/>
            <wp:docPr descr="" title="" id="173" name="Picture"/>
            <a:graphic>
              <a:graphicData uri="http://schemas.openxmlformats.org/drawingml/2006/picture">
                <pic:pic>
                  <pic:nvPicPr>
                    <pic:cNvPr descr="/private/tmp/claude-501/-Users-sudipto-Desktop-projects-accubook/c277cf12-a75d-42eb-a282-70d38dbc59e8/scratchpad/d27.png" id="174" name="Picture"/>
                    <pic:cNvPicPr>
                      <a:picLocks noChangeArrowheads="1" noChangeAspect="1"/>
                    </pic:cNvPicPr>
                  </pic:nvPicPr>
                  <pic:blipFill>
                    <a:blip r:embed="rId172"/>
                    <a:stretch>
                      <a:fillRect/>
                    </a:stretch>
                  </pic:blipFill>
                  <pic:spPr bwMode="auto">
                    <a:xfrm>
                      <a:off x="0" y="0"/>
                      <a:ext cx="5334000" cy="5817053"/>
                    </a:xfrm>
                    <a:prstGeom prst="rect">
                      <a:avLst/>
                    </a:prstGeom>
                    <a:noFill/>
                    <a:ln w="9525">
                      <a:noFill/>
                      <a:headEnd/>
                      <a:tailEnd/>
                    </a:ln>
                  </pic:spPr>
                </pic:pic>
              </a:graphicData>
            </a:graphic>
          </wp:inline>
        </w:drawing>
      </w:r>
    </w:p>
    <w:p>
      <w:pPr>
        <w:pStyle w:val="BodyText"/>
      </w:pPr>
      <w:r>
        <w:rPr>
          <w:b/>
          <w:bCs/>
        </w:rPr>
        <w:t xml:space="preserve">Cache keys are always tenant-prefixed</w:t>
      </w:r>
      <w:r>
        <w:t xml:space="preserve"> </w:t>
      </w:r>
      <w:r>
        <w:t xml:space="preserve">—</w:t>
      </w:r>
      <w:r>
        <w:t xml:space="preserve"> </w:t>
      </w:r>
      <w:r>
        <w:rPr>
          <w:rStyle w:val="VerbatimChar"/>
        </w:rPr>
        <w:t xml:space="preserve">tenant:{orgId}:…</w:t>
      </w:r>
      <w:r>
        <w:t xml:space="preserve"> </w:t>
      </w:r>
      <w:r>
        <w:t xml:space="preserve">— and a cache client that permits an unprefixed key is a bug.</w:t>
      </w:r>
      <w:r>
        <w:t xml:space="preserve"> </w:t>
      </w:r>
      <w:r>
        <w:rPr>
          <w:b/>
          <w:bCs/>
        </w:rPr>
        <w:t xml:space="preserve">[JUDGEMENT]</w:t>
      </w:r>
      <w:r>
        <w:t xml:space="preserve"> </w:t>
      </w:r>
      <w:r>
        <w:t xml:space="preserve">Cross-tenant cache poisoning is a real and under-tested breach path: it does not touch the database at all, so RLS cannot help, and it will not appear in any SQL-based isolation test. It needs its own test row in the isolation matrix.</w:t>
      </w:r>
    </w:p>
    <w:bookmarkEnd w:id="175"/>
    <w:bookmarkStart w:id="179" w:name="api-architecture"/>
    <w:p>
      <w:pPr>
        <w:pStyle w:val="Heading2"/>
      </w:pPr>
      <w:r>
        <w:t xml:space="preserve">23. API architecture</w:t>
      </w:r>
    </w:p>
    <w:bookmarkStart w:id="176" w:name="surface"/>
    <w:p>
      <w:pPr>
        <w:pStyle w:val="Heading3"/>
      </w:pPr>
      <w:r>
        <w:t xml:space="preserve">23.1 Surface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Surface</w:t>
            </w:r>
          </w:p>
        </w:tc>
        <w:tc>
          <w:tcPr/>
          <w:p>
            <w:pPr>
              <w:pStyle w:val="Compact"/>
            </w:pPr>
            <w:r>
              <w:t xml:space="preserve">Consumers</w:t>
            </w:r>
          </w:p>
        </w:tc>
        <w:tc>
          <w:tcPr/>
          <w:p>
            <w:pPr>
              <w:pStyle w:val="Compact"/>
            </w:pPr>
            <w:r>
              <w:t xml:space="preserve">Auth</w:t>
            </w:r>
          </w:p>
        </w:tc>
        <w:tc>
          <w:tcPr/>
          <w:p>
            <w:pPr>
              <w:pStyle w:val="Compact"/>
            </w:pPr>
            <w:r>
              <w:t xml:space="preserve">Notes</w:t>
            </w:r>
          </w:p>
        </w:tc>
      </w:tr>
      <w:tr>
        <w:tc>
          <w:tcPr/>
          <w:p>
            <w:pPr>
              <w:pStyle w:val="Compact"/>
            </w:pPr>
            <w:r>
              <w:rPr>
                <w:rStyle w:val="VerbatimChar"/>
              </w:rPr>
              <w:t xml:space="preserve">/api/organizations/[orgId]/…</w:t>
            </w:r>
          </w:p>
        </w:tc>
        <w:tc>
          <w:tcPr/>
          <w:p>
            <w:pPr>
              <w:pStyle w:val="Compact"/>
            </w:pPr>
            <w:r>
              <w:t xml:space="preserve">The web app, integrations</w:t>
            </w:r>
          </w:p>
        </w:tc>
        <w:tc>
          <w:tcPr/>
          <w:p>
            <w:pPr>
              <w:pStyle w:val="Compact"/>
            </w:pPr>
            <w:r>
              <w:t xml:space="preserve">Session or API key</w:t>
            </w:r>
          </w:p>
        </w:tc>
        <w:tc>
          <w:tcPr/>
          <w:p>
            <w:pPr>
              <w:pStyle w:val="Compact"/>
            </w:pPr>
            <w:r>
              <w:rPr>
                <w:b/>
                <w:bCs/>
              </w:rPr>
              <w:t xml:space="preserve">[VERIFIED-REPO]</w:t>
            </w:r>
            <w:r>
              <w:t xml:space="preserve"> </w:t>
            </w:r>
            <w:r>
              <w:t xml:space="preserve">110 routes, all wrapped in</w:t>
            </w:r>
            <w:r>
              <w:t xml:space="preserve"> </w:t>
            </w:r>
            <w:r>
              <w:rPr>
                <w:rStyle w:val="VerbatimChar"/>
              </w:rPr>
              <w:t xml:space="preserve">withOrgAuth</w:t>
            </w:r>
          </w:p>
        </w:tc>
      </w:tr>
      <w:tr>
        <w:tc>
          <w:tcPr/>
          <w:p>
            <w:pPr>
              <w:pStyle w:val="Compact"/>
            </w:pPr>
            <w:r>
              <w:rPr>
                <w:rStyle w:val="VerbatimChar"/>
              </w:rPr>
              <w:t xml:space="preserve">/api/auth/…</w:t>
            </w:r>
          </w:p>
        </w:tc>
        <w:tc>
          <w:tcPr/>
          <w:p>
            <w:pPr>
              <w:pStyle w:val="Compact"/>
            </w:pPr>
            <w:r>
              <w:t xml:space="preserve">Sign-in, registration, reset</w:t>
            </w:r>
          </w:p>
        </w:tc>
        <w:tc>
          <w:tcPr/>
          <w:p>
            <w:pPr>
              <w:pStyle w:val="Compact"/>
            </w:pPr>
            <w:r>
              <w:t xml:space="preserve">Public, rate-limited</w:t>
            </w:r>
          </w:p>
        </w:tc>
        <w:tc>
          <w:tcPr/>
          <w:p>
            <w:pPr>
              <w:pStyle w:val="Compact"/>
            </w:pPr>
            <w:r>
              <w:t xml:space="preserve">Registration is limited today; sign-in must be too</w:t>
            </w:r>
          </w:p>
        </w:tc>
      </w:tr>
      <w:tr>
        <w:tc>
          <w:tcPr/>
          <w:p>
            <w:pPr>
              <w:pStyle w:val="Compact"/>
            </w:pPr>
            <w:r>
              <w:rPr>
                <w:rStyle w:val="VerbatimChar"/>
              </w:rPr>
              <w:t xml:space="preserve">/api/cron/…</w:t>
            </w:r>
          </w:p>
        </w:tc>
        <w:tc>
          <w:tcPr/>
          <w:p>
            <w:pPr>
              <w:pStyle w:val="Compact"/>
            </w:pPr>
            <w:r>
              <w:t xml:space="preserve">Scheduler</w:t>
            </w:r>
          </w:p>
        </w:tc>
        <w:tc>
          <w:tcPr/>
          <w:p>
            <w:pPr>
              <w:pStyle w:val="Compact"/>
            </w:pPr>
            <w:r>
              <w:rPr>
                <w:rStyle w:val="VerbatimChar"/>
              </w:rPr>
              <w:t xml:space="preserve">Bearer CRON_SECRET</w:t>
            </w:r>
            <w:r>
              <w:t xml:space="preserve"> </w:t>
            </w:r>
            <w:r>
              <w:rPr>
                <w:b/>
                <w:bCs/>
              </w:rPr>
              <w:t xml:space="preserve">[VERIFIED-REPO]</w:t>
            </w:r>
          </w:p>
        </w:tc>
        <w:tc>
          <w:tcPr/>
          <w:p>
            <w:pPr>
              <w:pStyle w:val="Compact"/>
            </w:pPr>
            <w:r>
              <w:t xml:space="preserve">Platform-scoped by declaration</w:t>
            </w:r>
          </w:p>
        </w:tc>
      </w:tr>
      <w:tr>
        <w:tc>
          <w:tcPr/>
          <w:p>
            <w:pPr>
              <w:pStyle w:val="Compact"/>
            </w:pPr>
            <w:r>
              <w:rPr>
                <w:rStyle w:val="VerbatimChar"/>
              </w:rPr>
              <w:t xml:space="preserve">/api/health</w:t>
            </w:r>
          </w:p>
        </w:tc>
        <w:tc>
          <w:tcPr/>
          <w:p>
            <w:pPr>
              <w:pStyle w:val="Compact"/>
            </w:pPr>
            <w:r>
              <w:t xml:space="preserve">Load balancer, monitoring</w:t>
            </w:r>
          </w:p>
        </w:tc>
        <w:tc>
          <w:tcPr/>
          <w:p>
            <w:pPr>
              <w:pStyle w:val="Compact"/>
            </w:pPr>
            <w:r>
              <w:t xml:space="preserve">None</w:t>
            </w:r>
          </w:p>
        </w:tc>
        <w:tc>
          <w:tcPr/>
          <w:p>
            <w:pPr>
              <w:pStyle w:val="Compact"/>
            </w:pPr>
            <w:r>
              <w:t xml:space="preserve">DB reachability + migration drift</w:t>
            </w:r>
          </w:p>
        </w:tc>
      </w:tr>
      <w:tr>
        <w:tc>
          <w:tcPr/>
          <w:p>
            <w:pPr>
              <w:pStyle w:val="Compact"/>
            </w:pPr>
            <w:r>
              <w:rPr>
                <w:rStyle w:val="VerbatimChar"/>
              </w:rPr>
              <w:t xml:space="preserve">/api/webhooks/…</w:t>
            </w:r>
          </w:p>
        </w:tc>
        <w:tc>
          <w:tcPr/>
          <w:p>
            <w:pPr>
              <w:pStyle w:val="Compact"/>
            </w:pPr>
            <w:r>
              <w:t xml:space="preserve">Razorpay, banks, GST</w:t>
            </w:r>
          </w:p>
        </w:tc>
        <w:tc>
          <w:tcPr/>
          <w:p>
            <w:pPr>
              <w:pStyle w:val="Compact"/>
            </w:pPr>
            <w:r>
              <w:t xml:space="preserve">Signature verification</w:t>
            </w:r>
          </w:p>
        </w:tc>
        <w:tc>
          <w:tcPr/>
          <w:p>
            <w:pPr>
              <w:pStyle w:val="Compact"/>
            </w:pPr>
            <w:r>
              <w:t xml:space="preserve">Never trust the payload; re-fetch the object</w:t>
            </w:r>
          </w:p>
        </w:tc>
      </w:tr>
      <w:tr>
        <w:tc>
          <w:tcPr/>
          <w:p>
            <w:pPr>
              <w:pStyle w:val="Compact"/>
            </w:pPr>
            <w:r>
              <w:t xml:space="preserve">Global reference</w:t>
            </w:r>
          </w:p>
        </w:tc>
        <w:tc>
          <w:tcPr/>
          <w:p>
            <w:pPr>
              <w:pStyle w:val="Compact"/>
            </w:pPr>
            <w:r>
              <w:rPr>
                <w:rStyle w:val="VerbatimChar"/>
              </w:rPr>
              <w:t xml:space="preserve">currencies</w:t>
            </w:r>
            <w:r>
              <w:t xml:space="preserve">,</w:t>
            </w:r>
            <w:r>
              <w:t xml:space="preserve"> </w:t>
            </w:r>
            <w:r>
              <w:rPr>
                <w:rStyle w:val="VerbatimChar"/>
              </w:rPr>
              <w:t xml:space="preserve">units</w:t>
            </w:r>
            <w:r>
              <w:t xml:space="preserve">,</w:t>
            </w:r>
            <w:r>
              <w:t xml:space="preserve"> </w:t>
            </w:r>
            <w:r>
              <w:rPr>
                <w:rStyle w:val="VerbatimChar"/>
              </w:rPr>
              <w:t xml:space="preserve">hsn-search</w:t>
            </w:r>
          </w:p>
        </w:tc>
        <w:tc>
          <w:tcPr/>
          <w:p>
            <w:pPr>
              <w:pStyle w:val="Compact"/>
            </w:pPr>
            <w:r>
              <w:t xml:space="preserve">Session</w:t>
            </w:r>
          </w:p>
        </w:tc>
        <w:tc>
          <w:tcPr/>
          <w:p>
            <w:pPr>
              <w:pStyle w:val="Compact"/>
            </w:pPr>
            <w:r>
              <w:t xml:space="preserve">Read-only, no tenant scope</w:t>
            </w:r>
          </w:p>
        </w:tc>
      </w:tr>
    </w:tbl>
    <w:p>
      <w:pPr>
        <w:pStyle w:val="BodyText"/>
      </w:pPr>
      <w:r>
        <w:rPr>
          <w:b/>
          <w:bCs/>
        </w:rPr>
        <w:t xml:space="preserve">[JUDGEMENT]</w:t>
      </w:r>
      <w:r>
        <w:t xml:space="preserve"> </w:t>
      </w:r>
      <w:r>
        <w:t xml:space="preserve">The</w:t>
      </w:r>
      <w:r>
        <w:t xml:space="preserve"> </w:t>
      </w:r>
      <w:r>
        <w:rPr>
          <w:rStyle w:val="VerbatimChar"/>
        </w:rPr>
        <w:t xml:space="preserve">orgId</w:t>
      </w:r>
      <w:r>
        <w:t xml:space="preserve"> </w:t>
      </w:r>
      <w:r>
        <w:t xml:space="preserve">in the path is a</w:t>
      </w:r>
      <w:r>
        <w:t xml:space="preserve"> </w:t>
      </w:r>
      <w:r>
        <w:rPr>
          <w:i/>
          <w:iCs/>
        </w:rPr>
        <w:t xml:space="preserve">routing</w:t>
      </w:r>
      <w:r>
        <w:t xml:space="preserve"> </w:t>
      </w:r>
      <w:r>
        <w:t xml:space="preserve">device, not an</w:t>
      </w:r>
      <w:r>
        <w:t xml:space="preserve"> </w:t>
      </w:r>
      <w:r>
        <w:rPr>
          <w:i/>
          <w:iCs/>
        </w:rPr>
        <w:t xml:space="preserve">authorisation</w:t>
      </w:r>
      <w:r>
        <w:t xml:space="preserve"> </w:t>
      </w:r>
      <w:r>
        <w:t xml:space="preserve">device. It says which tenant the caller is asking about; Gate 2 decides whether they may. Any design in which the path parameter alone determines access is an IDOR, and this codebase already gets that right.</w:t>
      </w:r>
    </w:p>
    <w:bookmarkEnd w:id="176"/>
    <w:bookmarkStart w:id="177" w:name="contract-rules"/>
    <w:p>
      <w:pPr>
        <w:pStyle w:val="Heading3"/>
      </w:pPr>
      <w:r>
        <w:t xml:space="preserve">23.2 Contract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Reason</w:t>
            </w:r>
          </w:p>
        </w:tc>
      </w:tr>
      <w:tr>
        <w:tc>
          <w:tcPr/>
          <w:p>
            <w:pPr>
              <w:pStyle w:val="Compact"/>
            </w:pPr>
            <w:r>
              <w:t xml:space="preserve">Versioned (</w:t>
            </w:r>
            <w:r>
              <w:rPr>
                <w:rStyle w:val="VerbatimChar"/>
              </w:rPr>
              <w:t xml:space="preserve">/v1/</w:t>
            </w:r>
            <w:r>
              <w:t xml:space="preserve">) for the public API from the first external consumer</w:t>
            </w:r>
          </w:p>
        </w:tc>
        <w:tc>
          <w:tcPr/>
          <w:p>
            <w:pPr>
              <w:pStyle w:val="Compact"/>
            </w:pPr>
            <w:r>
              <w:t xml:space="preserve">Breaking a partner’s integration is a support incident you cannot roll back</w:t>
            </w:r>
          </w:p>
        </w:tc>
      </w:tr>
      <w:tr>
        <w:tc>
          <w:tcPr/>
          <w:p>
            <w:pPr>
              <w:pStyle w:val="Compact"/>
            </w:pPr>
            <w:r>
              <w:rPr>
                <w:b/>
                <w:bCs/>
              </w:rPr>
              <w:t xml:space="preserve">Idempotency keys mandatory on financial writes</w:t>
            </w:r>
          </w:p>
        </w:tc>
        <w:tc>
          <w:tcPr/>
          <w:p>
            <w:pPr>
              <w:pStyle w:val="Compact"/>
            </w:pPr>
            <w:r>
              <w:rPr>
                <w:b/>
                <w:bCs/>
              </w:rPr>
              <w:t xml:space="preserve">[VERIFIED-REPO]</w:t>
            </w:r>
            <w:r>
              <w:t xml:space="preserve"> </w:t>
            </w:r>
            <w:r>
              <w:t xml:space="preserve">currently absent on all of them. A retried invoice POST creates a duplicate invoice today</w:t>
            </w:r>
          </w:p>
        </w:tc>
      </w:tr>
      <w:tr>
        <w:tc>
          <w:tcPr/>
          <w:p>
            <w:pPr>
              <w:pStyle w:val="Compact"/>
            </w:pPr>
            <w:r>
              <w:t xml:space="preserve">Cursor pagination, never offset</w:t>
            </w:r>
          </w:p>
        </w:tc>
        <w:tc>
          <w:tcPr/>
          <w:p>
            <w:pPr>
              <w:pStyle w:val="Compact"/>
            </w:pPr>
            <w:r>
              <w:t xml:space="preserve">Offset degrades on large tenants and is inconsistent under concurrent writes</w:t>
            </w:r>
          </w:p>
        </w:tc>
      </w:tr>
      <w:tr>
        <w:tc>
          <w:tcPr/>
          <w:p>
            <w:pPr>
              <w:pStyle w:val="Compact"/>
            </w:pPr>
            <w:r>
              <w:t xml:space="preserve">Zod validation at every boundary</w:t>
            </w:r>
            <w:r>
              <w:t xml:space="preserve"> </w:t>
            </w:r>
            <w:r>
              <w:rPr>
                <w:b/>
                <w:bCs/>
              </w:rPr>
              <w:t xml:space="preserve">[VERIFIED-REPO]</w:t>
            </w:r>
          </w:p>
        </w:tc>
        <w:tc>
          <w:tcPr/>
          <w:p>
            <w:pPr>
              <w:pStyle w:val="Compact"/>
            </w:pPr>
            <w:r>
              <w:t xml:space="preserve">Already done; keep it</w:t>
            </w:r>
          </w:p>
        </w:tc>
      </w:tr>
      <w:tr>
        <w:tc>
          <w:tcPr/>
          <w:p>
            <w:pPr>
              <w:pStyle w:val="Compact"/>
            </w:pPr>
            <w:r>
              <w:t xml:space="preserve">Errors carry a stable</w:t>
            </w:r>
            <w:r>
              <w:t xml:space="preserve"> </w:t>
            </w:r>
            <w:r>
              <w:rPr>
                <w:rStyle w:val="VerbatimChar"/>
              </w:rPr>
              <w:t xml:space="preserve">code</w:t>
            </w:r>
            <w:r>
              <w:t xml:space="preserve"> </w:t>
            </w:r>
            <w:r>
              <w:t xml:space="preserve">and the</w:t>
            </w:r>
            <w:r>
              <w:t xml:space="preserve"> </w:t>
            </w:r>
            <w:r>
              <w:rPr>
                <w:rStyle w:val="VerbatimChar"/>
              </w:rPr>
              <w:t xml:space="preserve">requestId</w:t>
            </w:r>
          </w:p>
        </w:tc>
        <w:tc>
          <w:tcPr/>
          <w:p>
            <w:pPr>
              <w:pStyle w:val="Compact"/>
            </w:pPr>
            <w:r>
              <w:t xml:space="preserve">Support cannot help without a correlation ID</w:t>
            </w:r>
          </w:p>
        </w:tc>
      </w:tr>
      <w:tr>
        <w:tc>
          <w:tcPr/>
          <w:p>
            <w:pPr>
              <w:pStyle w:val="Compact"/>
            </w:pPr>
            <w:r>
              <w:t xml:space="preserve">404 for cross-tenant, uniformly</w:t>
            </w:r>
          </w:p>
        </w:tc>
        <w:tc>
          <w:tcPr/>
          <w:p>
            <w:pPr>
              <w:pStyle w:val="Compact"/>
            </w:pPr>
            <w:r>
              <w:t xml:space="preserve">No existence oracle — §9.1</w:t>
            </w:r>
          </w:p>
        </w:tc>
      </w:tr>
      <w:tr>
        <w:tc>
          <w:tcPr/>
          <w:p>
            <w:pPr>
              <w:pStyle w:val="Compact"/>
            </w:pPr>
            <w:r>
              <w:t xml:space="preserve">Per-key rate limits, not just per-IP</w:t>
            </w:r>
          </w:p>
        </w:tc>
        <w:tc>
          <w:tcPr/>
          <w:p>
            <w:pPr>
              <w:pStyle w:val="Compact"/>
            </w:pPr>
            <w:r>
              <w:t xml:space="preserve">One partner integration must not consume a tenant’s budget</w:t>
            </w:r>
          </w:p>
        </w:tc>
      </w:tr>
    </w:tbl>
    <w:bookmarkEnd w:id="177"/>
    <w:bookmarkStart w:id="178" w:name="outbound-webhooks"/>
    <w:p>
      <w:pPr>
        <w:pStyle w:val="Heading3"/>
      </w:pPr>
      <w:r>
        <w:t xml:space="preserve">23.3 Outbound webhooks</w:t>
      </w:r>
    </w:p>
    <w:p>
      <w:pPr>
        <w:pStyle w:val="FirstParagraph"/>
      </w:pPr>
      <w:r>
        <w:t xml:space="preserve">Tenants need events (invoice paid, stock low). Delivery is a queue: signed payloads (HMAC + timestamp), exponential backoff, dead-letter after N attempts, per-tenant delivery caps, and a delivery log the tenant can inspect and replay.</w:t>
      </w:r>
      <w:r>
        <w:t xml:space="preserve"> </w:t>
      </w:r>
      <w:r>
        <w:rPr>
          <w:b/>
          <w:bCs/>
        </w:rPr>
        <w:t xml:space="preserve">[JUDGEMENT]</w:t>
      </w:r>
      <w:r>
        <w:t xml:space="preserve"> </w:t>
      </w:r>
      <w:r>
        <w:t xml:space="preserve">SSRF is the risk that matters — a tenant-supplied URL pointing at internal infrastructure. Egress must be filtered: block private ranges, link-local, and the cloud metadata endpoint.</w:t>
      </w:r>
    </w:p>
    <w:bookmarkEnd w:id="178"/>
    <w:bookmarkEnd w:id="179"/>
    <w:bookmarkStart w:id="188" w:name="subscriptions-and-entitlements"/>
    <w:p>
      <w:pPr>
        <w:pStyle w:val="Heading2"/>
      </w:pPr>
      <w:r>
        <w:t xml:space="preserve">24. Subscriptions and entitlements</w:t>
      </w:r>
    </w:p>
    <w:p>
      <w:pPr>
        <w:pStyle w:val="FirstParagraph"/>
      </w:pPr>
      <w:r>
        <w:rPr>
          <w:b/>
          <w:bCs/>
        </w:rPr>
        <w:t xml:space="preserve">[VERIFIED-REPO]</w:t>
      </w:r>
      <w:r>
        <w:t xml:space="preserve"> </w:t>
      </w:r>
      <w:r>
        <w:t xml:space="preserve">There is no</w:t>
      </w:r>
      <w:r>
        <w:t xml:space="preserve"> </w:t>
      </w:r>
      <w:r>
        <w:rPr>
          <w:rStyle w:val="VerbatimChar"/>
        </w:rPr>
        <w:t xml:space="preserve">Plan</w:t>
      </w:r>
      <w:r>
        <w:t xml:space="preserve">,</w:t>
      </w:r>
      <w:r>
        <w:t xml:space="preserve"> </w:t>
      </w:r>
      <w:r>
        <w:rPr>
          <w:rStyle w:val="VerbatimChar"/>
        </w:rPr>
        <w:t xml:space="preserve">Subscription</w:t>
      </w:r>
      <w:r>
        <w:t xml:space="preserve">,</w:t>
      </w:r>
      <w:r>
        <w:t xml:space="preserve"> </w:t>
      </w:r>
      <w:r>
        <w:rPr>
          <w:rStyle w:val="VerbatimChar"/>
        </w:rPr>
        <w:t xml:space="preserve">Feature</w:t>
      </w:r>
      <w:r>
        <w:t xml:space="preserve">,</w:t>
      </w:r>
      <w:r>
        <w:t xml:space="preserve"> </w:t>
      </w:r>
      <w:r>
        <w:rPr>
          <w:rStyle w:val="VerbatimChar"/>
        </w:rPr>
        <w:t xml:space="preserve">Entitlement</w:t>
      </w:r>
      <w:r>
        <w:t xml:space="preserve"> </w:t>
      </w:r>
      <w:r>
        <w:t xml:space="preserve">or</w:t>
      </w:r>
      <w:r>
        <w:t xml:space="preserve"> </w:t>
      </w:r>
      <w:r>
        <w:rPr>
          <w:rStyle w:val="VerbatimChar"/>
        </w:rPr>
        <w:t xml:space="preserve">Usage</w:t>
      </w:r>
      <w:r>
        <w:t xml:space="preserve"> </w:t>
      </w:r>
      <w:r>
        <w:t xml:space="preserve">model in the schema.</w:t>
      </w:r>
      <w:r>
        <w:t xml:space="preserve"> </w:t>
      </w:r>
      <w:r>
        <w:rPr>
          <w:b/>
          <w:bCs/>
        </w:rPr>
        <w:t xml:space="preserve">AccuBook cannot currently charge anybody.</w:t>
      </w:r>
      <w:r>
        <w:t xml:space="preserve"> </w:t>
      </w:r>
      <w:r>
        <w:t xml:space="preserve">This is a commercial blocker, not a scaling one, and it arrives before every scaling problem in this document.</w:t>
      </w:r>
    </w:p>
    <w:bookmarkStart w:id="183" w:name="the-model"/>
    <w:p>
      <w:pPr>
        <w:pStyle w:val="Heading3"/>
      </w:pPr>
      <w:r>
        <w:t xml:space="preserve">24.1 The model</w:t>
      </w:r>
    </w:p>
    <w:p>
      <w:pPr>
        <w:pStyle w:val="FirstParagraph"/>
      </w:pPr>
      <w:r>
        <w:drawing>
          <wp:inline>
            <wp:extent cx="5334000" cy="2183946"/>
            <wp:effectExtent b="0" l="0" r="0" t="0"/>
            <wp:docPr descr="" title="" id="181" name="Picture"/>
            <a:graphic>
              <a:graphicData uri="http://schemas.openxmlformats.org/drawingml/2006/picture">
                <pic:pic>
                  <pic:nvPicPr>
                    <pic:cNvPr descr="/private/tmp/claude-501/-Users-sudipto-Desktop-projects-accubook/c277cf12-a75d-42eb-a282-70d38dbc59e8/scratchpad/d28.png" id="182" name="Picture"/>
                    <pic:cNvPicPr>
                      <a:picLocks noChangeArrowheads="1" noChangeAspect="1"/>
                    </pic:cNvPicPr>
                  </pic:nvPicPr>
                  <pic:blipFill>
                    <a:blip r:embed="rId180"/>
                    <a:stretch>
                      <a:fillRect/>
                    </a:stretch>
                  </pic:blipFill>
                  <pic:spPr bwMode="auto">
                    <a:xfrm>
                      <a:off x="0" y="0"/>
                      <a:ext cx="5334000" cy="2183946"/>
                    </a:xfrm>
                    <a:prstGeom prst="rect">
                      <a:avLst/>
                    </a:prstGeom>
                    <a:noFill/>
                    <a:ln w="9525">
                      <a:noFill/>
                      <a:headEnd/>
                      <a:tailEnd/>
                    </a:ln>
                  </pic:spPr>
                </pic:pic>
              </a:graphicData>
            </a:graphic>
          </wp:inline>
        </w:drawing>
      </w:r>
    </w:p>
    <w:bookmarkEnd w:id="183"/>
    <w:bookmarkStart w:id="184" w:name="why-entitlements-are-materialised"/>
    <w:p>
      <w:pPr>
        <w:pStyle w:val="Heading3"/>
      </w:pPr>
      <w:r>
        <w:t xml:space="preserve">24.2 Why entitlements are materialised</w:t>
      </w:r>
    </w:p>
    <w:p>
      <w:pPr>
        <w:pStyle w:val="FirstParagraph"/>
      </w:pPr>
      <w:r>
        <w:rPr>
          <w:b/>
          <w:bCs/>
        </w:rPr>
        <w:t xml:space="preserve">[JUDGEMENT]</w:t>
      </w:r>
      <w:r>
        <w:t xml:space="preserve"> </w:t>
      </w:r>
      <w:r>
        <w:t xml:space="preserve">Resolving plan → features on every request seems simpler and is a trap. It makes four ordinary business situations inexpressible:</w:t>
      </w:r>
    </w:p>
    <w:p>
      <w:pPr>
        <w:pStyle w:val="Compact"/>
        <w:numPr>
          <w:ilvl w:val="0"/>
          <w:numId w:val="1005"/>
        </w:numPr>
      </w:pPr>
      <w:r>
        <w:rPr>
          <w:i/>
          <w:iCs/>
        </w:rPr>
        <w:t xml:space="preserve">“Give this customer e-invoicing for two months while they evaluate”</w:t>
      </w:r>
      <w:r>
        <w:t xml:space="preserve"> </w:t>
      </w:r>
      <w:r>
        <w:t xml:space="preserve">— an override with an expiry</w:t>
      </w:r>
    </w:p>
    <w:p>
      <w:pPr>
        <w:pStyle w:val="Compact"/>
        <w:numPr>
          <w:ilvl w:val="0"/>
          <w:numId w:val="1005"/>
        </w:numPr>
      </w:pPr>
      <w:r>
        <w:rPr>
          <w:i/>
          <w:iCs/>
        </w:rPr>
        <w:t xml:space="preserve">“Grandfather these 40 tenants on old limits”</w:t>
      </w:r>
      <w:r>
        <w:t xml:space="preserve"> </w:t>
      </w:r>
      <w:r>
        <w:t xml:space="preserve">— an override with no expiry</w:t>
      </w:r>
    </w:p>
    <w:p>
      <w:pPr>
        <w:pStyle w:val="Compact"/>
        <w:numPr>
          <w:ilvl w:val="0"/>
          <w:numId w:val="1005"/>
        </w:numPr>
      </w:pPr>
      <w:r>
        <w:rPr>
          <w:i/>
          <w:iCs/>
        </w:rPr>
        <w:t xml:space="preserve">“This trial includes the Business feature set”</w:t>
      </w:r>
      <w:r>
        <w:t xml:space="preserve"> </w:t>
      </w:r>
      <w:r>
        <w:t xml:space="preserve">— a trial-sourced entitlement</w:t>
      </w:r>
    </w:p>
    <w:p>
      <w:pPr>
        <w:pStyle w:val="Compact"/>
        <w:numPr>
          <w:ilvl w:val="0"/>
          <w:numId w:val="1005"/>
        </w:numPr>
      </w:pPr>
      <w:r>
        <w:rPr>
          <w:i/>
          <w:iCs/>
        </w:rPr>
        <w:t xml:space="preserve">“Why does this tenant have API access when they are on Starter?”</w:t>
      </w:r>
      <w:r>
        <w:t xml:space="preserve"> </w:t>
      </w:r>
      <w:r>
        <w:t xml:space="preserve">— a question a computed value cannot answer</w:t>
      </w:r>
    </w:p>
    <w:p>
      <w:pPr>
        <w:pStyle w:val="FirstParagraph"/>
      </w:pPr>
      <w:r>
        <w:t xml:space="preserve">A materialised</w:t>
      </w:r>
      <w:r>
        <w:t xml:space="preserve"> </w:t>
      </w:r>
      <w:r>
        <w:rPr>
          <w:rStyle w:val="VerbatimChar"/>
        </w:rPr>
        <w:t xml:space="preserve">entitlement</w:t>
      </w:r>
      <w:r>
        <w:t xml:space="preserve"> </w:t>
      </w:r>
      <w:r>
        <w:t xml:space="preserve">row with a</w:t>
      </w:r>
      <w:r>
        <w:t xml:space="preserve"> </w:t>
      </w:r>
      <w:r>
        <w:rPr>
          <w:rStyle w:val="VerbatimChar"/>
        </w:rPr>
        <w:t xml:space="preserve">source</w:t>
      </w:r>
      <w:r>
        <w:t xml:space="preserve"> </w:t>
      </w:r>
      <w:r>
        <w:t xml:space="preserve">column answers all four. Recomputation happens on plan change, trial expiry, payment success and payment failure — events, not requests.</w:t>
      </w:r>
    </w:p>
    <w:bookmarkEnd w:id="184"/>
    <w:bookmarkStart w:id="185" w:name="never-if-plan-pro"/>
    <w:p>
      <w:pPr>
        <w:pStyle w:val="Heading3"/>
      </w:pPr>
      <w:r>
        <w:t xml:space="preserve">24.3 Never</w:t>
      </w:r>
      <w:r>
        <w:t xml:space="preserve"> </w:t>
      </w:r>
      <w:r>
        <w:rPr>
          <w:rStyle w:val="VerbatimChar"/>
        </w:rPr>
        <w:t xml:space="preserve">if (plan === 'PRO')</w:t>
      </w:r>
    </w:p>
    <w:p>
      <w:pPr>
        <w:pStyle w:val="SourceCode"/>
      </w:pPr>
      <w:r>
        <w:rPr>
          <w:rStyle w:val="CommentTok"/>
        </w:rPr>
        <w:t xml:space="preserve">// ❌ A business rule compiled into a deployment.</w:t>
      </w:r>
      <w:r>
        <w:br/>
      </w:r>
      <w:r>
        <w:rPr>
          <w:rStyle w:val="ControlFlowTok"/>
        </w:rPr>
        <w:t xml:space="preserve">if</w:t>
      </w:r>
      <w:r>
        <w:rPr>
          <w:rStyle w:val="NormalTok"/>
        </w:rPr>
        <w:t xml:space="preserve"> (subscription</w:t>
      </w:r>
      <w:r>
        <w:rPr>
          <w:rStyle w:val="OperatorTok"/>
        </w:rPr>
        <w:t xml:space="preserve">.</w:t>
      </w:r>
      <w:r>
        <w:rPr>
          <w:rStyle w:val="AttributeTok"/>
        </w:rPr>
        <w:t xml:space="preserve">plan</w:t>
      </w:r>
      <w:r>
        <w:rPr>
          <w:rStyle w:val="NormalTok"/>
        </w:rPr>
        <w:t xml:space="preserve"> </w:t>
      </w:r>
      <w:r>
        <w:rPr>
          <w:rStyle w:val="OperatorTok"/>
        </w:rPr>
        <w:t xml:space="preserve">===</w:t>
      </w:r>
      <w:r>
        <w:rPr>
          <w:rStyle w:val="NormalTok"/>
        </w:rPr>
        <w:t xml:space="preserve"> </w:t>
      </w:r>
      <w:r>
        <w:rPr>
          <w:rStyle w:val="StringTok"/>
        </w:rPr>
        <w:t xml:space="preserve">"PRO"</w:t>
      </w:r>
      <w:r>
        <w:rPr>
          <w:rStyle w:val="NormalTok"/>
        </w:rPr>
        <w:t xml:space="preserve">) { … }</w:t>
      </w:r>
      <w:r>
        <w:br/>
      </w:r>
      <w:r>
        <w:br/>
      </w:r>
      <w:r>
        <w:rPr>
          <w:rStyle w:val="CommentTok"/>
        </w:rPr>
        <w:t xml:space="preserve">// ✅ A business rule that is data.</w:t>
      </w:r>
      <w:r>
        <w:br/>
      </w:r>
      <w:r>
        <w:rPr>
          <w:rStyle w:val="ControlFlowTok"/>
        </w:rPr>
        <w:t xml:space="preserve">if</w:t>
      </w:r>
      <w:r>
        <w:rPr>
          <w:rStyle w:val="NormalTok"/>
        </w:rPr>
        <w:t xml:space="preserve"> (</w:t>
      </w:r>
      <w:r>
        <w:rPr>
          <w:rStyle w:val="OperatorTok"/>
        </w:rPr>
        <w:t xml:space="preserve">!</w:t>
      </w:r>
      <w:r>
        <w:rPr>
          <w:rStyle w:val="NormalTok"/>
        </w:rPr>
        <w:t xml:space="preserve">(</w:t>
      </w:r>
      <w:r>
        <w:rPr>
          <w:rStyle w:val="ControlFlowTok"/>
        </w:rPr>
        <w:t xml:space="preserve">await</w:t>
      </w:r>
      <w:r>
        <w:rPr>
          <w:rStyle w:val="NormalTok"/>
        </w:rPr>
        <w:t xml:space="preserve"> </w:t>
      </w:r>
      <w:r>
        <w:rPr>
          <w:rStyle w:val="FunctionTok"/>
        </w:rPr>
        <w:t xml:space="preserve">entitled</w:t>
      </w:r>
      <w:r>
        <w:rPr>
          <w:rStyle w:val="NormalTok"/>
        </w:rPr>
        <w:t xml:space="preserve">(tenantId</w:t>
      </w:r>
      <w:r>
        <w:rPr>
          <w:rStyle w:val="OperatorTok"/>
        </w:rPr>
        <w:t xml:space="preserve">,</w:t>
      </w:r>
      <w:r>
        <w:rPr>
          <w:rStyle w:val="NormalTok"/>
        </w:rPr>
        <w:t xml:space="preserve"> </w:t>
      </w:r>
      <w:r>
        <w:rPr>
          <w:rStyle w:val="StringTok"/>
        </w:rPr>
        <w:t xml:space="preserve">"feature.einvoice"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NotEntitled</w:t>
      </w:r>
      <w:r>
        <w:rPr>
          <w:rStyle w:val="NormalTok"/>
        </w:rPr>
        <w:t xml:space="preserve">()</w:t>
      </w:r>
      <w:r>
        <w:rPr>
          <w:rStyle w:val="OperatorTok"/>
        </w:rPr>
        <w:t xml:space="preserve">;</w:t>
      </w:r>
      <w:r>
        <w:br/>
      </w:r>
      <w:r>
        <w:rPr>
          <w:rStyle w:val="KeywordTok"/>
        </w:rPr>
        <w:t xml:space="preserve">const</w:t>
      </w:r>
      <w:r>
        <w:rPr>
          <w:rStyle w:val="NormalTok"/>
        </w:rPr>
        <w:t xml:space="preserve"> cap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limit</w:t>
      </w:r>
      <w:r>
        <w:rPr>
          <w:rStyle w:val="NormalTok"/>
        </w:rPr>
        <w:t xml:space="preserve">(tenantId</w:t>
      </w:r>
      <w:r>
        <w:rPr>
          <w:rStyle w:val="OperatorTok"/>
        </w:rPr>
        <w:t xml:space="preserve">,</w:t>
      </w:r>
      <w:r>
        <w:rPr>
          <w:rStyle w:val="NormalTok"/>
        </w:rPr>
        <w:t xml:space="preserve"> </w:t>
      </w:r>
      <w:r>
        <w:rPr>
          <w:rStyle w:val="StringTok"/>
        </w:rPr>
        <w:t xml:space="preserve">"limit.invoices_per_month"</w:t>
      </w:r>
      <w:r>
        <w:rPr>
          <w:rStyle w:val="NormalTok"/>
        </w:rPr>
        <w:t xml:space="preserve">)</w:t>
      </w:r>
      <w:r>
        <w:rPr>
          <w:rStyle w:val="OperatorTok"/>
        </w:rPr>
        <w:t xml:space="preserve">;</w:t>
      </w:r>
    </w:p>
    <w:p>
      <w:pPr>
        <w:pStyle w:val="FirstParagraph"/>
      </w:pPr>
      <w:r>
        <w:t xml:space="preserve">Adding a plan, running a promotion or grandfathering a cohort must be an</w:t>
      </w:r>
      <w:r>
        <w:t xml:space="preserve"> </w:t>
      </w:r>
      <w:r>
        <w:rPr>
          <w:rStyle w:val="VerbatimChar"/>
        </w:rPr>
        <w:t xml:space="preserve">INSERT</w:t>
      </w:r>
      <w:r>
        <w:t xml:space="preserve">, never a release. This is the Salesforce lesson of §2.1 applied to commerce.</w:t>
      </w:r>
    </w:p>
    <w:bookmarkEnd w:id="185"/>
    <w:bookmarkStart w:id="186" w:name="limits-are-the-noisy-neighbour-control"/>
    <w:p>
      <w:pPr>
        <w:pStyle w:val="Heading3"/>
      </w:pPr>
      <w:r>
        <w:t xml:space="preserve">24.4 Limits are the noisy-neighbour control</w:t>
      </w:r>
    </w:p>
    <w:p>
      <w:pPr>
        <w:pStyle w:val="FirstParagraph"/>
      </w:pPr>
      <w:r>
        <w:rPr>
          <w:b/>
          <w:bCs/>
        </w:rPr>
        <w:t xml:space="preserve">[PATTERN]</w:t>
      </w:r>
      <w:r>
        <w:t xml:space="preserve"> </w:t>
      </w:r>
      <w:r>
        <w:t xml:space="preserve">Governor limits are not a way to upsell; they are how a pooled platform stays fair. Every limit in the table below simultaneously protects the platform and defines a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Protects against</w:t>
            </w:r>
          </w:p>
        </w:tc>
        <w:tc>
          <w:tcPr/>
          <w:p>
            <w:pPr>
              <w:pStyle w:val="Compact"/>
            </w:pPr>
            <w:r>
              <w:t xml:space="preserve">Enforced at</w:t>
            </w:r>
          </w:p>
        </w:tc>
      </w:tr>
      <w:tr>
        <w:tc>
          <w:tcPr/>
          <w:p>
            <w:pPr>
              <w:pStyle w:val="Compact"/>
            </w:pPr>
            <w:r>
              <w:t xml:space="preserve">API calls / minute</w:t>
            </w:r>
          </w:p>
        </w:tc>
        <w:tc>
          <w:tcPr/>
          <w:p>
            <w:pPr>
              <w:pStyle w:val="Compact"/>
            </w:pPr>
            <w:r>
              <w:t xml:space="preserve">Runaway integration</w:t>
            </w:r>
          </w:p>
        </w:tc>
        <w:tc>
          <w:tcPr/>
          <w:p>
            <w:pPr>
              <w:pStyle w:val="Compact"/>
            </w:pPr>
            <w:r>
              <w:t xml:space="preserve">Gate 4 + Redis</w:t>
            </w:r>
          </w:p>
        </w:tc>
      </w:tr>
      <w:tr>
        <w:tc>
          <w:tcPr/>
          <w:p>
            <w:pPr>
              <w:pStyle w:val="Compact"/>
            </w:pPr>
            <w:r>
              <w:t xml:space="preserve">Concurrent report jobs</w:t>
            </w:r>
          </w:p>
        </w:tc>
        <w:tc>
          <w:tcPr/>
          <w:p>
            <w:pPr>
              <w:pStyle w:val="Compact"/>
            </w:pPr>
            <w:r>
              <w:t xml:space="preserve">One tenant occupying every worker</w:t>
            </w:r>
          </w:p>
        </w:tc>
        <w:tc>
          <w:tcPr/>
          <w:p>
            <w:pPr>
              <w:pStyle w:val="Compact"/>
            </w:pPr>
            <w:r>
              <w:t xml:space="preserve">§18.5</w:t>
            </w:r>
          </w:p>
        </w:tc>
      </w:tr>
      <w:tr>
        <w:tc>
          <w:tcPr/>
          <w:p>
            <w:pPr>
              <w:pStyle w:val="Compact"/>
            </w:pPr>
            <w:r>
              <w:t xml:space="preserve">OCR pages / month</w:t>
            </w:r>
          </w:p>
        </w:tc>
        <w:tc>
          <w:tcPr/>
          <w:p>
            <w:pPr>
              <w:pStyle w:val="Compact"/>
            </w:pPr>
            <w:r>
              <w:t xml:space="preserve">Unbounded LLM spend —</w:t>
            </w:r>
            <w:r>
              <w:t xml:space="preserve"> </w:t>
            </w:r>
            <w:r>
              <w:rPr>
                <w:b/>
                <w:bCs/>
              </w:rPr>
              <w:t xml:space="preserve">margin risk</w:t>
            </w:r>
          </w:p>
        </w:tc>
        <w:tc>
          <w:tcPr/>
          <w:p>
            <w:pPr>
              <w:pStyle w:val="Compact"/>
            </w:pPr>
            <w:r>
              <w:t xml:space="preserve">Before the vendor call</w:t>
            </w:r>
          </w:p>
        </w:tc>
      </w:tr>
      <w:tr>
        <w:tc>
          <w:tcPr/>
          <w:p>
            <w:pPr>
              <w:pStyle w:val="Compact"/>
            </w:pPr>
            <w:r>
              <w:t xml:space="preserve">Storage GB</w:t>
            </w:r>
          </w:p>
        </w:tc>
        <w:tc>
          <w:tcPr/>
          <w:p>
            <w:pPr>
              <w:pStyle w:val="Compact"/>
            </w:pPr>
            <w:r>
              <w:t xml:space="preserve">Unbounded object cost</w:t>
            </w:r>
          </w:p>
        </w:tc>
        <w:tc>
          <w:tcPr/>
          <w:p>
            <w:pPr>
              <w:pStyle w:val="Compact"/>
            </w:pPr>
            <w:r>
              <w:t xml:space="preserve">Upload time</w:t>
            </w:r>
          </w:p>
        </w:tc>
      </w:tr>
      <w:tr>
        <w:tc>
          <w:tcPr/>
          <w:p>
            <w:pPr>
              <w:pStyle w:val="Compact"/>
            </w:pPr>
            <w:r>
              <w:t xml:space="preserve">Rows per export</w:t>
            </w:r>
          </w:p>
        </w:tc>
        <w:tc>
          <w:tcPr/>
          <w:p>
            <w:pPr>
              <w:pStyle w:val="Compact"/>
            </w:pPr>
            <w:r>
              <w:t xml:space="preserve">A memory-exhausting export</w:t>
            </w:r>
          </w:p>
        </w:tc>
        <w:tc>
          <w:tcPr/>
          <w:p>
            <w:pPr>
              <w:pStyle w:val="Compact"/>
            </w:pPr>
            <w:r>
              <w:t xml:space="preserve">Report tier estimate</w:t>
            </w:r>
          </w:p>
        </w:tc>
      </w:tr>
      <w:tr>
        <w:tc>
          <w:tcPr/>
          <w:p>
            <w:pPr>
              <w:pStyle w:val="Compact"/>
            </w:pPr>
            <w:r>
              <w:t xml:space="preserve">Users</w:t>
            </w:r>
          </w:p>
        </w:tc>
        <w:tc>
          <w:tcPr/>
          <w:p>
            <w:pPr>
              <w:pStyle w:val="Compact"/>
            </w:pPr>
            <w:r>
              <w:t xml:space="preserve">Commercial</w:t>
            </w:r>
          </w:p>
        </w:tc>
        <w:tc>
          <w:tcPr/>
          <w:p>
            <w:pPr>
              <w:pStyle w:val="Compact"/>
            </w:pPr>
            <w:r>
              <w:t xml:space="preserve">Membership creation</w:t>
            </w:r>
          </w:p>
        </w:tc>
      </w:tr>
      <w:tr>
        <w:tc>
          <w:tcPr/>
          <w:p>
            <w:pPr>
              <w:pStyle w:val="Compact"/>
            </w:pPr>
            <w:r>
              <w:t xml:space="preserve">Webhook deliveries / hour</w:t>
            </w:r>
          </w:p>
        </w:tc>
        <w:tc>
          <w:tcPr/>
          <w:p>
            <w:pPr>
              <w:pStyle w:val="Compact"/>
            </w:pPr>
            <w:r>
              <w:t xml:space="preserve">Outbound amplification</w:t>
            </w:r>
          </w:p>
        </w:tc>
        <w:tc>
          <w:tcPr/>
          <w:p>
            <w:pPr>
              <w:pStyle w:val="Compact"/>
            </w:pPr>
            <w:r>
              <w:t xml:space="preserve">§23.3</w:t>
            </w:r>
          </w:p>
        </w:tc>
      </w:tr>
    </w:tbl>
    <w:p>
      <w:pPr>
        <w:pStyle w:val="BodyText"/>
      </w:pPr>
      <w:r>
        <w:rPr>
          <w:b/>
          <w:bCs/>
        </w:rPr>
        <w:t xml:space="preserve">[JUDGEMENT]</w:t>
      </w:r>
      <w:r>
        <w:t xml:space="preserve"> </w:t>
      </w:r>
      <w:r>
        <w:t xml:space="preserve">The OCR cap is the one to build first. It is the only limit whose absence can produce a</w:t>
      </w:r>
      <w:r>
        <w:t xml:space="preserve"> </w:t>
      </w:r>
      <w:r>
        <w:rPr>
          <w:i/>
          <w:iCs/>
        </w:rPr>
        <w:t xml:space="preserve">negative-margin tenant</w:t>
      </w:r>
      <w:r>
        <w:t xml:space="preserve"> </w:t>
      </w:r>
      <w:r>
        <w:t xml:space="preserve">— a customer paying ₹499/month who runs ₹50,000 of model inference. Every other limit costs latency; this one costs money.</w:t>
      </w:r>
    </w:p>
    <w:bookmarkEnd w:id="186"/>
    <w:bookmarkStart w:id="187" w:name="billing-flows"/>
    <w:p>
      <w:pPr>
        <w:pStyle w:val="Heading3"/>
      </w:pPr>
      <w:r>
        <w:t xml:space="preserve">24.5 Billing flows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Flow</w:t>
            </w:r>
          </w:p>
        </w:tc>
        <w:tc>
          <w:tcPr/>
          <w:p>
            <w:pPr>
              <w:pStyle w:val="Compact"/>
            </w:pPr>
            <w:r>
              <w:t xml:space="preserve">Design</w:t>
            </w:r>
          </w:p>
        </w:tc>
      </w:tr>
      <w:tr>
        <w:tc>
          <w:tcPr/>
          <w:p>
            <w:pPr>
              <w:pStyle w:val="Compact"/>
            </w:pPr>
            <w:r>
              <w:t xml:space="preserve">Trial → paid</w:t>
            </w:r>
          </w:p>
        </w:tc>
        <w:tc>
          <w:tcPr/>
          <w:p>
            <w:pPr>
              <w:pStyle w:val="Compact"/>
            </w:pPr>
            <w:r>
              <w:t xml:space="preserve">Entitlements recomputed on payment success</w:t>
            </w:r>
          </w:p>
        </w:tc>
      </w:tr>
      <w:tr>
        <w:tc>
          <w:tcPr/>
          <w:p>
            <w:pPr>
              <w:pStyle w:val="Compact"/>
            </w:pPr>
            <w:r>
              <w:t xml:space="preserve">Payment failure</w:t>
            </w:r>
          </w:p>
        </w:tc>
        <w:tc>
          <w:tcPr/>
          <w:p>
            <w:pPr>
              <w:pStyle w:val="Compact"/>
            </w:pPr>
            <w:r>
              <w:rPr>
                <w:rStyle w:val="VerbatimChar"/>
              </w:rPr>
              <w:t xml:space="preserve">PAST_DUE</w:t>
            </w:r>
            <w:r>
              <w:t xml:space="preserve"> </w:t>
            </w:r>
            <w:r>
              <w:t xml:space="preserve">→</w:t>
            </w:r>
            <w:r>
              <w:t xml:space="preserve"> </w:t>
            </w:r>
            <w:r>
              <w:rPr>
                <w:b/>
                <w:bCs/>
              </w:rPr>
              <w:t xml:space="preserve">read-only, not locked out</w:t>
            </w:r>
            <w:r>
              <w:t xml:space="preserve"> </w:t>
            </w:r>
            <w:r>
              <w:t xml:space="preserve">→ dunning emails → suspend after a stated grace period</w:t>
            </w:r>
          </w:p>
        </w:tc>
      </w:tr>
      <w:tr>
        <w:tc>
          <w:tcPr/>
          <w:p>
            <w:pPr>
              <w:pStyle w:val="Compact"/>
            </w:pPr>
            <w:r>
              <w:t xml:space="preserve">Upgrade</w:t>
            </w:r>
          </w:p>
        </w:tc>
        <w:tc>
          <w:tcPr/>
          <w:p>
            <w:pPr>
              <w:pStyle w:val="Compact"/>
            </w:pPr>
            <w:r>
              <w:t xml:space="preserve">Immediate; prorate; recompute entitlements</w:t>
            </w:r>
          </w:p>
        </w:tc>
      </w:tr>
      <w:tr>
        <w:tc>
          <w:tcPr/>
          <w:p>
            <w:pPr>
              <w:pStyle w:val="Compact"/>
            </w:pPr>
            <w:r>
              <w:t xml:space="preserve">Downgrade</w:t>
            </w:r>
          </w:p>
        </w:tc>
        <w:tc>
          <w:tcPr/>
          <w:p>
            <w:pPr>
              <w:pStyle w:val="Compact"/>
            </w:pPr>
            <w:r>
              <w:t xml:space="preserve">At period end;</w:t>
            </w:r>
            <w:r>
              <w:t xml:space="preserve"> </w:t>
            </w:r>
            <w:r>
              <w:rPr>
                <w:b/>
                <w:bCs/>
              </w:rPr>
              <w:t xml:space="preserve">validate current usage against the new limits first</w:t>
            </w:r>
            <w:r>
              <w:t xml:space="preserve"> </w:t>
            </w:r>
            <w:r>
              <w:t xml:space="preserve">and say what will break</w:t>
            </w:r>
          </w:p>
        </w:tc>
      </w:tr>
      <w:tr>
        <w:tc>
          <w:tcPr/>
          <w:p>
            <w:pPr>
              <w:pStyle w:val="Compact"/>
            </w:pPr>
            <w:r>
              <w:t xml:space="preserve">Webhooks</w:t>
            </w:r>
          </w:p>
        </w:tc>
        <w:tc>
          <w:tcPr/>
          <w:p>
            <w:pPr>
              <w:pStyle w:val="Compact"/>
            </w:pPr>
            <w:r>
              <w:t xml:space="preserve">Signature-verified,</w:t>
            </w:r>
            <w:r>
              <w:t xml:space="preserve"> </w:t>
            </w:r>
            <w:r>
              <w:rPr>
                <w:b/>
                <w:bCs/>
              </w:rPr>
              <w:t xml:space="preserve">deduplicated by event id</w:t>
            </w:r>
            <w:r>
              <w:t xml:space="preserve">, and reconciled nightly against the provider</w:t>
            </w:r>
          </w:p>
        </w:tc>
      </w:tr>
      <w:tr>
        <w:tc>
          <w:tcPr/>
          <w:p>
            <w:pPr>
              <w:pStyle w:val="Compact"/>
            </w:pPr>
            <w:r>
              <w:t xml:space="preserve">Cancellation</w:t>
            </w:r>
          </w:p>
        </w:tc>
        <w:tc>
          <w:tcPr/>
          <w:p>
            <w:pPr>
              <w:pStyle w:val="Compact"/>
            </w:pPr>
            <w:r>
              <w:rPr>
                <w:rStyle w:val="VerbatimChar"/>
              </w:rPr>
              <w:t xml:space="preserve">CLOSING</w:t>
            </w:r>
            <w:r>
              <w:t xml:space="preserve"> </w:t>
            </w:r>
            <w:r>
              <w:t xml:space="preserve">→ export offered → retention window →</w:t>
            </w:r>
            <w:r>
              <w:t xml:space="preserve"> </w:t>
            </w:r>
            <w:r>
              <w:rPr>
                <w:rStyle w:val="VerbatimChar"/>
              </w:rPr>
              <w:t xml:space="preserve">CLOSED</w:t>
            </w:r>
            <w:r>
              <w:t xml:space="preserve"> </w:t>
            </w:r>
            <w:r>
              <w:t xml:space="preserve">→ erasure per §25.3</w:t>
            </w:r>
          </w:p>
        </w:tc>
      </w:tr>
    </w:tbl>
    <w:p>
      <w:pPr>
        <w:pStyle w:val="BodyText"/>
      </w:pPr>
      <w:r>
        <w:rPr>
          <w:b/>
          <w:bCs/>
        </w:rPr>
        <w:t xml:space="preserve">[JUDGEMENT]</w:t>
      </w:r>
      <w:r>
        <w:t xml:space="preserve"> </w:t>
      </w:r>
      <w:r>
        <w:t xml:space="preserve">Never trust a webhook payload as the source of truth. Verify the signature, then re-fetch the subscription from the provider. A replayed or forged webhook that upgrades a plan is a straightforward revenue loss, and webhook endpoints are public by necessity.</w:t>
      </w:r>
    </w:p>
    <w:bookmarkEnd w:id="187"/>
    <w:bookmarkEnd w:id="188"/>
    <w:bookmarkStart w:id="199" w:name="india-regulatory-architecture"/>
    <w:p>
      <w:pPr>
        <w:pStyle w:val="Heading2"/>
      </w:pPr>
      <w:r>
        <w:t xml:space="preserve">25. India regulatory architecture</w:t>
      </w:r>
    </w:p>
    <w:p>
      <w:pPr>
        <w:pStyle w:val="FirstParagraph"/>
      </w:pPr>
      <w:r>
        <w:rPr>
          <w:b/>
          <w:bCs/>
        </w:rPr>
        <w:t xml:space="preserve">[JUDGEMENT]</w:t>
      </w:r>
      <w:r>
        <w:t xml:space="preserve"> </w:t>
      </w:r>
      <w:r>
        <w:t xml:space="preserve">This is the competitive core against Zoho Books and the reason a customer leaves Tally, so it is architecture rather than feature work.</w:t>
      </w:r>
      <w:r>
        <w:t xml:space="preserve"> </w:t>
      </w:r>
      <w:r>
        <w:rPr>
          <w:b/>
          <w:bCs/>
        </w:rPr>
        <w:t xml:space="preserve">Nothing in this section is legal advice</w:t>
      </w:r>
      <w:r>
        <w:t xml:space="preserve"> </w:t>
      </w:r>
      <w:r>
        <w:t xml:space="preserve">— confirm each obligation with counsel and a practising CA.</w:t>
      </w:r>
    </w:p>
    <w:bookmarkStart w:id="192" w:name="tax-as-versioned-data"/>
    <w:p>
      <w:pPr>
        <w:pStyle w:val="Heading3"/>
      </w:pPr>
      <w:r>
        <w:t xml:space="preserve">25.1 Tax as versioned data</w:t>
      </w:r>
    </w:p>
    <w:p>
      <w:pPr>
        <w:pStyle w:val="FirstParagraph"/>
      </w:pPr>
      <w:r>
        <w:drawing>
          <wp:inline>
            <wp:extent cx="2670048" cy="6945994"/>
            <wp:effectExtent b="0" l="0" r="0" t="0"/>
            <wp:docPr descr="" title="" id="190" name="Picture"/>
            <a:graphic>
              <a:graphicData uri="http://schemas.openxmlformats.org/drawingml/2006/picture">
                <pic:pic>
                  <pic:nvPicPr>
                    <pic:cNvPr descr="/private/tmp/claude-501/-Users-sudipto-Desktop-projects-accubook/c277cf12-a75d-42eb-a282-70d38dbc59e8/scratchpad/d29.png" id="191" name="Picture"/>
                    <pic:cNvPicPr>
                      <a:picLocks noChangeArrowheads="1" noChangeAspect="1"/>
                    </pic:cNvPicPr>
                  </pic:nvPicPr>
                  <pic:blipFill>
                    <a:blip r:embed="rId189"/>
                    <a:stretch>
                      <a:fillRect/>
                    </a:stretch>
                  </pic:blipFill>
                  <pic:spPr bwMode="auto">
                    <a:xfrm>
                      <a:off x="0" y="0"/>
                      <a:ext cx="2670048" cy="6945994"/>
                    </a:xfrm>
                    <a:prstGeom prst="rect">
                      <a:avLst/>
                    </a:prstGeom>
                    <a:noFill/>
                    <a:ln w="9525">
                      <a:noFill/>
                      <a:headEnd/>
                      <a:tailEnd/>
                    </a:ln>
                  </pic:spPr>
                </pic:pic>
              </a:graphicData>
            </a:graphic>
          </wp:inline>
        </w:drawing>
      </w:r>
    </w:p>
    <w:p>
      <w:pPr>
        <w:pStyle w:val="BodyText"/>
      </w:pPr>
      <w:r>
        <w:rPr>
          <w:b/>
          <w:bCs/>
        </w:rPr>
        <w:t xml:space="preserve">[JUDGEMENT]</w:t>
      </w:r>
      <w:r>
        <w:t xml:space="preserve"> </w:t>
      </w:r>
      <w:r>
        <w:t xml:space="preserve">Two properties, both essential. Rates are looked up</w:t>
      </w:r>
      <w:r>
        <w:t xml:space="preserve"> </w:t>
      </w:r>
      <w:r>
        <w:rPr>
          <w:b/>
          <w:bCs/>
        </w:rPr>
        <w:t xml:space="preserve">by voucher date</w:t>
      </w:r>
      <w:r>
        <w:t xml:space="preserve">, not by today’s date — so a rate change does not silently rewrite history. And the rate actually applied is</w:t>
      </w:r>
      <w:r>
        <w:t xml:space="preserve"> </w:t>
      </w:r>
      <w:r>
        <w:rPr>
          <w:b/>
          <w:bCs/>
        </w:rPr>
        <w:t xml:space="preserve">stored on the row</w:t>
      </w:r>
      <w:r>
        <w:t xml:space="preserve"> </w:t>
      </w:r>
      <w:r>
        <w:t xml:space="preserve">— so a filed return reproduces even if a rule row is later corrected. Without the second property the first is not enough.</w:t>
      </w:r>
    </w:p>
    <w:bookmarkEnd w:id="192"/>
    <w:bookmarkStart w:id="193" w:name="the-statutory-surface"/>
    <w:p>
      <w:pPr>
        <w:pStyle w:val="Heading3"/>
      </w:pPr>
      <w:r>
        <w:t xml:space="preserve">25.2 The statutory surface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Obligation</w:t>
            </w:r>
          </w:p>
        </w:tc>
        <w:tc>
          <w:tcPr/>
          <w:p>
            <w:pPr>
              <w:pStyle w:val="Compact"/>
            </w:pPr>
            <w:r>
              <w:t xml:space="preserve">Architectural consequence</w:t>
            </w:r>
          </w:p>
        </w:tc>
      </w:tr>
      <w:tr>
        <w:tc>
          <w:tcPr/>
          <w:p>
            <w:pPr>
              <w:pStyle w:val="Compact"/>
            </w:pPr>
            <w:r>
              <w:rPr>
                <w:b/>
                <w:bCs/>
              </w:rPr>
              <w:t xml:space="preserve">E-invoice (IRP)</w:t>
            </w:r>
          </w:p>
        </w:tc>
        <w:tc>
          <w:tcPr/>
          <w:p>
            <w:pPr>
              <w:pStyle w:val="Compact"/>
            </w:pPr>
            <w:r>
              <w:t xml:space="preserve">Above the turnover threshold, B2B invoices need an IRN before issue. Synchronous submission is fragile — queue on</w:t>
            </w:r>
            <w:r>
              <w:t xml:space="preserve"> </w:t>
            </w:r>
            <w:r>
              <w:rPr>
                <w:rStyle w:val="VerbatimChar"/>
              </w:rPr>
              <w:t xml:space="preserve">critical</w:t>
            </w:r>
            <w:r>
              <w:t xml:space="preserve">, retry, and make IRN state visible on the invoice. The threshold is a</w:t>
            </w:r>
            <w:r>
              <w:t xml:space="preserve"> </w:t>
            </w:r>
            <w:r>
              <w:rPr>
                <w:b/>
                <w:bCs/>
              </w:rPr>
              <w:t xml:space="preserve">per-tenant configuration</w:t>
            </w:r>
            <w:r>
              <w:t xml:space="preserve">, not a constant</w:t>
            </w:r>
          </w:p>
        </w:tc>
      </w:tr>
      <w:tr>
        <w:tc>
          <w:tcPr/>
          <w:p>
            <w:pPr>
              <w:pStyle w:val="Compact"/>
            </w:pPr>
            <w:r>
              <w:rPr>
                <w:b/>
                <w:bCs/>
              </w:rPr>
              <w:t xml:space="preserve">E-way bill</w:t>
            </w:r>
          </w:p>
        </w:tc>
        <w:tc>
          <w:tcPr/>
          <w:p>
            <w:pPr>
              <w:pStyle w:val="Compact"/>
            </w:pPr>
            <w:r>
              <w:t xml:space="preserve">Movement above a value threshold needs a bill. Triggered from dispatch, not from the invoice</w:t>
            </w:r>
          </w:p>
        </w:tc>
      </w:tr>
      <w:tr>
        <w:tc>
          <w:tcPr/>
          <w:p>
            <w:pPr>
              <w:pStyle w:val="Compact"/>
            </w:pPr>
            <w:r>
              <w:rPr>
                <w:b/>
                <w:bCs/>
              </w:rPr>
              <w:t xml:space="preserve">GSTR-1 / 3B / 9</w:t>
            </w:r>
          </w:p>
        </w:tc>
        <w:tc>
          <w:tcPr/>
          <w:p>
            <w:pPr>
              <w:pStyle w:val="Compact"/>
            </w:pPr>
            <w:r>
              <w:t xml:space="preserve">Period-scoped generated returns, stored, amendable, reconcilable — §19.3</w:t>
            </w:r>
          </w:p>
        </w:tc>
      </w:tr>
      <w:tr>
        <w:tc>
          <w:tcPr/>
          <w:p>
            <w:pPr>
              <w:pStyle w:val="Compact"/>
            </w:pPr>
            <w:r>
              <w:rPr>
                <w:b/>
                <w:bCs/>
              </w:rPr>
              <w:t xml:space="preserve">Composition scheme</w:t>
            </w:r>
          </w:p>
        </w:tc>
        <w:tc>
          <w:tcPr/>
          <w:p>
            <w:pPr>
              <w:pStyle w:val="Compact"/>
            </w:pPr>
            <w:r>
              <w:rPr>
                <w:b/>
                <w:bCs/>
              </w:rPr>
              <w:t xml:space="preserve">[VERIFIED-REPO]</w:t>
            </w:r>
            <w:r>
              <w:t xml:space="preserve"> </w:t>
            </w:r>
            <w:r>
              <w:t xml:space="preserve">already modelled on</w:t>
            </w:r>
            <w:r>
              <w:t xml:space="preserve"> </w:t>
            </w:r>
            <w:r>
              <w:rPr>
                <w:rStyle w:val="VerbatimChar"/>
              </w:rPr>
              <w:t xml:space="preserve">Organization</w:t>
            </w:r>
            <w:r>
              <w:t xml:space="preserve"> </w:t>
            </w:r>
            <w:r>
              <w:t xml:space="preserve">with</w:t>
            </w:r>
            <w:r>
              <w:t xml:space="preserve"> </w:t>
            </w:r>
            <w:r>
              <w:rPr>
                <w:rStyle w:val="VerbatimChar"/>
              </w:rPr>
              <w:t xml:space="preserve">compositionScheme</w:t>
            </w:r>
            <w:r>
              <w:t xml:space="preserve"> </w:t>
            </w:r>
            <w:r>
              <w:t xml:space="preserve">+</w:t>
            </w:r>
            <w:r>
              <w:t xml:space="preserve"> </w:t>
            </w:r>
            <w:r>
              <w:rPr>
                <w:rStyle w:val="VerbatimChar"/>
              </w:rPr>
              <w:t xml:space="preserve">compositionRate</w:t>
            </w:r>
            <w:r>
              <w:t xml:space="preserve">, and the comment correctly records that outward GST must not be charged, ITC is not claimable, and CMP-08/GSTR-4 replace GSTR-1/3B. This is a</w:t>
            </w:r>
            <w:r>
              <w:t xml:space="preserve"> </w:t>
            </w:r>
            <w:r>
              <w:rPr>
                <w:b/>
                <w:bCs/>
              </w:rPr>
              <w:t xml:space="preserve">different posting path</w:t>
            </w:r>
            <w:r>
              <w:t xml:space="preserve">, not a rate change — exactly the right place for the flag to live</w:t>
            </w:r>
          </w:p>
        </w:tc>
      </w:tr>
      <w:tr>
        <w:tc>
          <w:tcPr/>
          <w:p>
            <w:pPr>
              <w:pStyle w:val="Compact"/>
            </w:pPr>
            <w:r>
              <w:rPr>
                <w:b/>
                <w:bCs/>
              </w:rPr>
              <w:t xml:space="preserve">TDS / TCS</w:t>
            </w:r>
          </w:p>
        </w:tc>
        <w:tc>
          <w:tcPr/>
          <w:p>
            <w:pPr>
              <w:pStyle w:val="Compact"/>
            </w:pPr>
            <w:r>
              <w:t xml:space="preserve">Deduction at posting; challan and Form 16A/27D generation; rate tables versioned as §25.1</w:t>
            </w:r>
          </w:p>
        </w:tc>
      </w:tr>
      <w:tr>
        <w:tc>
          <w:tcPr/>
          <w:p>
            <w:pPr>
              <w:pStyle w:val="Compact"/>
            </w:pPr>
            <w:r>
              <w:rPr>
                <w:b/>
                <w:bCs/>
              </w:rPr>
              <w:t xml:space="preserve">Multi-GSTIN</w:t>
            </w:r>
          </w:p>
        </w:tc>
        <w:tc>
          <w:tcPr/>
          <w:p>
            <w:pPr>
              <w:pStyle w:val="Compact"/>
            </w:pPr>
            <w:r>
              <w:t xml:space="preserve">One legal entity, several state registrations. Modelled as</w:t>
            </w:r>
            <w:r>
              <w:t xml:space="preserve"> </w:t>
            </w:r>
            <w:r>
              <w:rPr>
                <w:rStyle w:val="VerbatimChar"/>
              </w:rPr>
              <w:t xml:space="preserve">Branch</w:t>
            </w:r>
            <w:r>
              <w:t xml:space="preserve"> </w:t>
            </w:r>
            <w:r>
              <w:t xml:space="preserve">with its own</w:t>
            </w:r>
            <w:r>
              <w:t xml:space="preserve"> </w:t>
            </w:r>
            <w:r>
              <w:rPr>
                <w:rStyle w:val="VerbatimChar"/>
              </w:rPr>
              <w:t xml:space="preserve">gstNo</w:t>
            </w:r>
            <w:r>
              <w:t xml:space="preserve"> </w:t>
            </w:r>
            <w:r>
              <w:rPr>
                <w:b/>
                <w:bCs/>
              </w:rPr>
              <w:t xml:space="preserve">[VERIFIED-REPO]</w:t>
            </w:r>
            <w:r>
              <w:t xml:space="preserve"> </w:t>
            </w:r>
            <w:r>
              <w:t xml:space="preserve">— correct, and it means branch scope (§11) is a statutory boundary, not only a permission</w:t>
            </w:r>
          </w:p>
        </w:tc>
      </w:tr>
      <w:tr>
        <w:tc>
          <w:tcPr/>
          <w:p>
            <w:pPr>
              <w:pStyle w:val="Compact"/>
            </w:pPr>
            <w:r>
              <w:rPr>
                <w:b/>
                <w:bCs/>
              </w:rPr>
              <w:t xml:space="preserve">Fiscal year Apr–Mar</w:t>
            </w:r>
          </w:p>
        </w:tc>
        <w:tc>
          <w:tcPr/>
          <w:p>
            <w:pPr>
              <w:pStyle w:val="Compact"/>
            </w:pPr>
            <w:r>
              <w:rPr>
                <w:b/>
                <w:bCs/>
              </w:rPr>
              <w:t xml:space="preserve">[VERIFIED-REPO]</w:t>
            </w:r>
            <w:r>
              <w:t xml:space="preserve"> </w:t>
            </w:r>
            <w:r>
              <w:rPr>
                <w:rStyle w:val="VerbatimChar"/>
              </w:rPr>
              <w:t xml:space="preserve">fiscalYearStart</w:t>
            </w:r>
            <w:r>
              <w:t xml:space="preserve"> </w:t>
            </w:r>
            <w:r>
              <w:t xml:space="preserve">defaults to 4. Correct</w:t>
            </w:r>
          </w:p>
        </w:tc>
      </w:tr>
      <w:tr>
        <w:tc>
          <w:tcPr/>
          <w:p>
            <w:pPr>
              <w:pStyle w:val="Compact"/>
            </w:pPr>
            <w:r>
              <w:rPr>
                <w:b/>
                <w:bCs/>
              </w:rPr>
              <w:t xml:space="preserve">Books retention</w:t>
            </w:r>
          </w:p>
        </w:tc>
        <w:tc>
          <w:tcPr/>
          <w:p>
            <w:pPr>
              <w:pStyle w:val="Compact"/>
            </w:pPr>
            <w:r>
              <w:t xml:space="preserve">8 years under the Companies Act</w:t>
            </w:r>
            <w:r>
              <w:t xml:space="preserve"> </w:t>
            </w:r>
            <w:r>
              <w:rPr>
                <w:b/>
                <w:bCs/>
              </w:rPr>
              <w:t xml:space="preserve">[VENDOR-CHECK — confirm with counsel]</w:t>
            </w:r>
          </w:p>
        </w:tc>
      </w:tr>
    </w:tbl>
    <w:bookmarkEnd w:id="193"/>
    <w:bookmarkStart w:id="197" w:name="dpdp-and-the-retention-conflict"/>
    <w:p>
      <w:pPr>
        <w:pStyle w:val="Heading3"/>
      </w:pPr>
      <w:r>
        <w:t xml:space="preserve">25.3 DPDP and the retention conflict</w:t>
      </w:r>
    </w:p>
    <w:p>
      <w:pPr>
        <w:pStyle w:val="FirstParagraph"/>
      </w:pPr>
      <w:r>
        <w:rPr>
          <w:b/>
          <w:bCs/>
        </w:rPr>
        <w:t xml:space="preserve">[JUDGEMENT]</w:t>
      </w:r>
      <w:r>
        <w:t xml:space="preserve"> </w:t>
      </w:r>
      <w:r>
        <w:t xml:space="preserve">This is a genuine architectural conflict and it needs a legal answer before launch, not after.</w:t>
      </w:r>
    </w:p>
    <w:p>
      <w:pPr>
        <w:pStyle w:val="BodyText"/>
      </w:pPr>
      <w:r>
        <w:drawing>
          <wp:inline>
            <wp:extent cx="5334000" cy="5943860"/>
            <wp:effectExtent b="0" l="0" r="0" t="0"/>
            <wp:docPr descr="" title="" id="195" name="Picture"/>
            <a:graphic>
              <a:graphicData uri="http://schemas.openxmlformats.org/drawingml/2006/picture">
                <pic:pic>
                  <pic:nvPicPr>
                    <pic:cNvPr descr="/private/tmp/claude-501/-Users-sudipto-Desktop-projects-accubook/c277cf12-a75d-42eb-a282-70d38dbc59e8/scratchpad/d30.png" id="196" name="Picture"/>
                    <pic:cNvPicPr>
                      <a:picLocks noChangeArrowheads="1" noChangeAspect="1"/>
                    </pic:cNvPicPr>
                  </pic:nvPicPr>
                  <pic:blipFill>
                    <a:blip r:embed="rId194"/>
                    <a:stretch>
                      <a:fillRect/>
                    </a:stretch>
                  </pic:blipFill>
                  <pic:spPr bwMode="auto">
                    <a:xfrm>
                      <a:off x="0" y="0"/>
                      <a:ext cx="5334000" cy="5943860"/>
                    </a:xfrm>
                    <a:prstGeom prst="rect">
                      <a:avLst/>
                    </a:prstGeom>
                    <a:noFill/>
                    <a:ln w="9525">
                      <a:noFill/>
                      <a:headEnd/>
                      <a:tailEnd/>
                    </a:ln>
                  </pic:spPr>
                </pic:pic>
              </a:graphicData>
            </a:graphic>
          </wp:inline>
        </w:drawing>
      </w:r>
    </w:p>
    <w:p>
      <w:pPr>
        <w:pStyle w:val="BodyText"/>
      </w:pPr>
      <w:r>
        <w:t xml:space="preserve">The architecture required either way: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Design</w:t>
            </w:r>
          </w:p>
        </w:tc>
      </w:tr>
      <w:tr>
        <w:tc>
          <w:tcPr/>
          <w:p>
            <w:pPr>
              <w:pStyle w:val="Compact"/>
            </w:pPr>
            <w:r>
              <w:t xml:space="preserve">Data classification register</w:t>
            </w:r>
          </w:p>
        </w:tc>
        <w:tc>
          <w:tcPr/>
          <w:p>
            <w:pPr>
              <w:pStyle w:val="Compact"/>
            </w:pPr>
            <w:r>
              <w:t xml:space="preserve">Every column tagged: statutory · personal · derived · operational</w:t>
            </w:r>
          </w:p>
        </w:tc>
      </w:tr>
      <w:tr>
        <w:tc>
          <w:tcPr/>
          <w:p>
            <w:pPr>
              <w:pStyle w:val="Compact"/>
            </w:pPr>
            <w:r>
              <w:t xml:space="preserve">Field-level erasure</w:t>
            </w:r>
          </w:p>
        </w:tc>
        <w:tc>
          <w:tcPr/>
          <w:p>
            <w:pPr>
              <w:pStyle w:val="Compact"/>
            </w:pPr>
            <w:r>
              <w:t xml:space="preserve">Erasure targets fields, not rows — a statutory record survives with its personal fields tombstoned</w:t>
            </w:r>
          </w:p>
        </w:tc>
      </w:tr>
      <w:tr>
        <w:tc>
          <w:tcPr/>
          <w:p>
            <w:pPr>
              <w:pStyle w:val="Compact"/>
            </w:pPr>
            <w:r>
              <w:t xml:space="preserve">Export on request</w:t>
            </w:r>
          </w:p>
        </w:tc>
        <w:tc>
          <w:tcPr/>
          <w:p>
            <w:pPr>
              <w:pStyle w:val="Compact"/>
            </w:pPr>
            <w:r>
              <w:t xml:space="preserve">The §33.4 single-tenant export, in a machine-readable form</w:t>
            </w:r>
          </w:p>
        </w:tc>
      </w:tr>
      <w:tr>
        <w:tc>
          <w:tcPr/>
          <w:p>
            <w:pPr>
              <w:pStyle w:val="Compact"/>
            </w:pPr>
            <w:r>
              <w:t xml:space="preserve">Consent and purpose records</w:t>
            </w:r>
          </w:p>
        </w:tc>
        <w:tc>
          <w:tcPr/>
          <w:p>
            <w:pPr>
              <w:pStyle w:val="Compact"/>
            </w:pPr>
            <w:r>
              <w:t xml:space="preserve">Control plane; per identity, versioned</w:t>
            </w:r>
          </w:p>
        </w:tc>
      </w:tr>
      <w:tr>
        <w:tc>
          <w:tcPr/>
          <w:p>
            <w:pPr>
              <w:pStyle w:val="Compact"/>
            </w:pPr>
            <w:r>
              <w:t xml:space="preserve">Breach notification</w:t>
            </w:r>
          </w:p>
        </w:tc>
        <w:tc>
          <w:tcPr/>
          <w:p>
            <w:pPr>
              <w:pStyle w:val="Compact"/>
            </w:pPr>
            <w:r>
              <w:t xml:space="preserve">§27.2 alerting must detect fast enough to meet the statutory window</w:t>
            </w:r>
          </w:p>
        </w:tc>
      </w:tr>
      <w:tr>
        <w:tc>
          <w:tcPr/>
          <w:p>
            <w:pPr>
              <w:pStyle w:val="Compact"/>
            </w:pPr>
            <w:r>
              <w:t xml:space="preserve">Sub-processor list</w:t>
            </w:r>
          </w:p>
        </w:tc>
        <w:tc>
          <w:tcPr/>
          <w:p>
            <w:pPr>
              <w:pStyle w:val="Compact"/>
            </w:pPr>
            <w:r>
              <w:t xml:space="preserve">Every vendor touching tenant data — including the LLM provider (§20)</w:t>
            </w:r>
          </w:p>
        </w:tc>
      </w:tr>
    </w:tbl>
    <w:bookmarkEnd w:id="197"/>
    <w:bookmarkStart w:id="198" w:name="residency"/>
    <w:p>
      <w:pPr>
        <w:pStyle w:val="Heading3"/>
      </w:pPr>
      <w:r>
        <w:t xml:space="preserve">25.4 Residency</w:t>
      </w:r>
    </w:p>
    <w:p>
      <w:pPr>
        <w:pStyle w:val="FirstParagraph"/>
      </w:pPr>
      <w:r>
        <w:rPr>
          <w:b/>
          <w:bCs/>
        </w:rPr>
        <w:t xml:space="preserve">[JUDGEMENT]</w:t>
      </w:r>
      <w:r>
        <w:t xml:space="preserve"> </w:t>
      </w:r>
      <w:r>
        <w:t xml:space="preserve">Not currently a legal requirement for this data class</w:t>
      </w:r>
      <w:r>
        <w:t xml:space="preserve"> </w:t>
      </w:r>
      <w:r>
        <w:rPr>
          <w:b/>
          <w:bCs/>
        </w:rPr>
        <w:t xml:space="preserve">[VENDOR-CHECK — confirm]</w:t>
      </w:r>
      <w:r>
        <w:t xml:space="preserve">, but reliably a</w:t>
      </w:r>
      <w:r>
        <w:t xml:space="preserve"> </w:t>
      </w:r>
      <w:r>
        <w:rPr>
          <w:i/>
          <w:iCs/>
        </w:rPr>
        <w:t xml:space="preserve">sales</w:t>
      </w:r>
      <w:r>
        <w:t xml:space="preserve"> </w:t>
      </w:r>
      <w:r>
        <w:t xml:space="preserve">requirement from larger customers. §17.5’s region-carrying placement is the entire architectural answer; the operational answer is choosing</w:t>
      </w:r>
      <w:r>
        <w:t xml:space="preserve"> </w:t>
      </w:r>
      <w:r>
        <w:rPr>
          <w:rStyle w:val="VerbatimChar"/>
        </w:rPr>
        <w:t xml:space="preserve">ap-south-1</w:t>
      </w:r>
      <w:r>
        <w:t xml:space="preserve"> </w:t>
      </w:r>
      <w:r>
        <w:t xml:space="preserve">when Stage 3 forces a platform decision anyway (§29).</w:t>
      </w:r>
    </w:p>
    <w:bookmarkEnd w:id="198"/>
    <w:bookmarkEnd w:id="199"/>
    <w:bookmarkStart w:id="209" w:name="security-architecture"/>
    <w:p>
      <w:pPr>
        <w:pStyle w:val="Heading2"/>
      </w:pPr>
      <w:r>
        <w:t xml:space="preserve">26. Security architecture</w:t>
      </w:r>
    </w:p>
    <w:bookmarkStart w:id="203" w:name="layers"/>
    <w:p>
      <w:pPr>
        <w:pStyle w:val="Heading3"/>
      </w:pPr>
      <w:r>
        <w:t xml:space="preserve">26.1 Layers</w:t>
      </w:r>
    </w:p>
    <w:p>
      <w:pPr>
        <w:pStyle w:val="FirstParagraph"/>
      </w:pPr>
      <w:r>
        <w:drawing>
          <wp:inline>
            <wp:extent cx="1234440" cy="6968324"/>
            <wp:effectExtent b="0" l="0" r="0" t="0"/>
            <wp:docPr descr="" title="" id="201" name="Picture"/>
            <a:graphic>
              <a:graphicData uri="http://schemas.openxmlformats.org/drawingml/2006/picture">
                <pic:pic>
                  <pic:nvPicPr>
                    <pic:cNvPr descr="/private/tmp/claude-501/-Users-sudipto-Desktop-projects-accubook/c277cf12-a75d-42eb-a282-70d38dbc59e8/scratchpad/d31.png" id="202" name="Picture"/>
                    <pic:cNvPicPr>
                      <a:picLocks noChangeArrowheads="1" noChangeAspect="1"/>
                    </pic:cNvPicPr>
                  </pic:nvPicPr>
                  <pic:blipFill>
                    <a:blip r:embed="rId200"/>
                    <a:stretch>
                      <a:fillRect/>
                    </a:stretch>
                  </pic:blipFill>
                  <pic:spPr bwMode="auto">
                    <a:xfrm>
                      <a:off x="0" y="0"/>
                      <a:ext cx="1234440" cy="6968324"/>
                    </a:xfrm>
                    <a:prstGeom prst="rect">
                      <a:avLst/>
                    </a:prstGeom>
                    <a:noFill/>
                    <a:ln w="9525">
                      <a:noFill/>
                      <a:headEnd/>
                      <a:tailEnd/>
                    </a:ln>
                  </pic:spPr>
                </pic:pic>
              </a:graphicData>
            </a:graphic>
          </wp:inline>
        </w:drawing>
      </w:r>
    </w:p>
    <w:p>
      <w:pPr>
        <w:pStyle w:val="BodyText"/>
      </w:pPr>
      <w:r>
        <w:t xml:space="preserve">✅ marks what</w:t>
      </w:r>
      <w:r>
        <w:t xml:space="preserve"> </w:t>
      </w:r>
      <w:r>
        <w:rPr>
          <w:b/>
          <w:bCs/>
        </w:rPr>
        <w:t xml:space="preserve">[VERIFIED-REPO]</w:t>
      </w:r>
      <w:r>
        <w:t xml:space="preserve"> </w:t>
      </w:r>
      <w:r>
        <w:t xml:space="preserve">already exists.</w:t>
      </w:r>
    </w:p>
    <w:bookmarkEnd w:id="203"/>
    <w:bookmarkStart w:id="204" w:name="credential-separation"/>
    <w:p>
      <w:pPr>
        <w:pStyle w:val="Heading3"/>
      </w:pPr>
      <w:r>
        <w:t xml:space="preserve">26.2 Credential separation</w:t>
      </w:r>
    </w:p>
    <w:p>
      <w:pPr>
        <w:pStyle w:val="FirstParagraph"/>
      </w:pPr>
      <w:r>
        <w:rPr>
          <w:b/>
          <w:bCs/>
        </w:rPr>
        <w:t xml:space="preserve">[JUDGEMENT]</w:t>
      </w:r>
      <w:r>
        <w:t xml:space="preserve"> </w:t>
      </w:r>
      <w:r>
        <w:t xml:space="preserve">The most damaging single credential in this design is a database role that can bypass RLS. It must not exist in any deployment environment.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Credential</w:t>
            </w:r>
          </w:p>
        </w:tc>
        <w:tc>
          <w:tcPr/>
          <w:p>
            <w:pPr>
              <w:pStyle w:val="Compact"/>
            </w:pPr>
            <w:r>
              <w:t xml:space="preserve">Where it lives</w:t>
            </w:r>
          </w:p>
        </w:tc>
        <w:tc>
          <w:tcPr/>
          <w:p>
            <w:pPr>
              <w:pStyle w:val="Compact"/>
            </w:pPr>
            <w:r>
              <w:t xml:space="preserve">Never</w:t>
            </w:r>
          </w:p>
        </w:tc>
      </w:tr>
      <w:tr>
        <w:tc>
          <w:tcPr/>
          <w:p>
            <w:pPr>
              <w:pStyle w:val="Compact"/>
            </w:pPr>
            <w:r>
              <w:rPr>
                <w:rStyle w:val="VerbatimChar"/>
              </w:rPr>
              <w:t xml:space="preserve">app_tenant</w:t>
            </w:r>
          </w:p>
        </w:tc>
        <w:tc>
          <w:tcPr/>
          <w:p>
            <w:pPr>
              <w:pStyle w:val="Compact"/>
            </w:pPr>
            <w:r>
              <w:t xml:space="preserve">The application environment</w:t>
            </w:r>
          </w:p>
        </w:tc>
        <w:tc>
          <w:tcPr/>
          <w:p>
            <w:pPr>
              <w:pStyle w:val="Compact"/>
            </w:pPr>
            <w:r>
              <w:t xml:space="preserve">Has</w:t>
            </w:r>
            <w:r>
              <w:t xml:space="preserve"> </w:t>
            </w:r>
            <w:r>
              <w:rPr>
                <w:rStyle w:val="VerbatimChar"/>
              </w:rPr>
              <w:t xml:space="preserve">BYPASSRLS</w:t>
            </w:r>
          </w:p>
        </w:tc>
      </w:tr>
      <w:tr>
        <w:tc>
          <w:tcPr/>
          <w:p>
            <w:pPr>
              <w:pStyle w:val="Compact"/>
            </w:pPr>
            <w:r>
              <w:rPr>
                <w:rStyle w:val="VerbatimChar"/>
              </w:rPr>
              <w:t xml:space="preserve">accubook_owner</w:t>
            </w:r>
          </w:p>
        </w:tc>
        <w:tc>
          <w:tcPr/>
          <w:p>
            <w:pPr>
              <w:pStyle w:val="Compact"/>
            </w:pPr>
            <w:r>
              <w:t xml:space="preserve">The migration runner only</w:t>
            </w:r>
          </w:p>
        </w:tc>
        <w:tc>
          <w:tcPr/>
          <w:p>
            <w:pPr>
              <w:pStyle w:val="Compact"/>
            </w:pPr>
            <w:r>
              <w:t xml:space="preserve">In the app environment</w:t>
            </w:r>
          </w:p>
        </w:tc>
      </w:tr>
      <w:tr>
        <w:tc>
          <w:tcPr/>
          <w:p>
            <w:pPr>
              <w:pStyle w:val="Compact"/>
            </w:pPr>
            <w:r>
              <w:rPr>
                <w:rStyle w:val="VerbatimChar"/>
              </w:rPr>
              <w:t xml:space="preserve">app_report</w:t>
            </w:r>
          </w:p>
        </w:tc>
        <w:tc>
          <w:tcPr/>
          <w:p>
            <w:pPr>
              <w:pStyle w:val="Compact"/>
            </w:pPr>
            <w:r>
              <w:t xml:space="preserve">Reporting, replica only</w:t>
            </w:r>
          </w:p>
        </w:tc>
        <w:tc>
          <w:tcPr/>
          <w:p>
            <w:pPr>
              <w:pStyle w:val="Compact"/>
            </w:pPr>
            <w:r>
              <w:t xml:space="preserve">Writes</w:t>
            </w:r>
          </w:p>
        </w:tc>
      </w:tr>
      <w:tr>
        <w:tc>
          <w:tcPr/>
          <w:p>
            <w:pPr>
              <w:pStyle w:val="Compact"/>
            </w:pPr>
            <w:r>
              <w:rPr>
                <w:rStyle w:val="VerbatimChar"/>
              </w:rPr>
              <w:t xml:space="preserve">app_admin_support</w:t>
            </w:r>
          </w:p>
        </w:tc>
        <w:tc>
          <w:tcPr/>
          <w:p>
            <w:pPr>
              <w:pStyle w:val="Compact"/>
            </w:pPr>
            <w:r>
              <w:t xml:space="preserve">A vault; checked out per</w:t>
            </w:r>
            <w:r>
              <w:t xml:space="preserve"> </w:t>
            </w:r>
            <w:r>
              <w:rPr>
                <w:rStyle w:val="VerbatimChar"/>
              </w:rPr>
              <w:t xml:space="preserve">SupportGrant</w:t>
            </w:r>
          </w:p>
        </w:tc>
        <w:tc>
          <w:tcPr/>
          <w:p>
            <w:pPr>
              <w:pStyle w:val="Compact"/>
            </w:pPr>
            <w:r>
              <w:t xml:space="preserve">A long-lived deployment secret</w:t>
            </w:r>
          </w:p>
        </w:tc>
      </w:tr>
      <w:tr>
        <w:tc>
          <w:tcPr/>
          <w:p>
            <w:pPr>
              <w:pStyle w:val="Compact"/>
            </w:pPr>
            <w:r>
              <w:t xml:space="preserve">Backup credentials</w:t>
            </w:r>
          </w:p>
        </w:tc>
        <w:tc>
          <w:tcPr/>
          <w:p>
            <w:pPr>
              <w:pStyle w:val="Compact"/>
            </w:pPr>
            <w:r>
              <w:t xml:space="preserve">A separate account</w:t>
            </w:r>
          </w:p>
        </w:tc>
        <w:tc>
          <w:tcPr/>
          <w:p>
            <w:pPr>
              <w:pStyle w:val="Compact"/>
            </w:pPr>
            <w:r>
              <w:t xml:space="preserve">Reachable by the application role</w:t>
            </w:r>
          </w:p>
        </w:tc>
      </w:tr>
    </w:tbl>
    <w:p>
      <w:pPr>
        <w:pStyle w:val="BodyText"/>
      </w:pPr>
      <w:r>
        <w:t xml:space="preserve">The application asserts at boot that</w:t>
      </w:r>
      <w:r>
        <w:t xml:space="preserve"> </w:t>
      </w:r>
      <w:r>
        <w:rPr>
          <w:rStyle w:val="VerbatimChar"/>
        </w:rPr>
        <w:t xml:space="preserve">current_user</w:t>
      </w:r>
      <w:r>
        <w:t xml:space="preserve"> </w:t>
      </w:r>
      <w:r>
        <w:t xml:space="preserve">is not the owner and refuses to start otherwise — because a single wrong connection string silently disables every policy in the system.</w:t>
      </w:r>
    </w:p>
    <w:bookmarkEnd w:id="204"/>
    <w:bookmarkStart w:id="205" w:name="the-isolation-test-matrix"/>
    <w:p>
      <w:pPr>
        <w:pStyle w:val="Heading3"/>
      </w:pPr>
      <w:r>
        <w:t xml:space="preserve">26.3 The isolation test matrix</w:t>
      </w:r>
    </w:p>
    <w:p>
      <w:pPr>
        <w:pStyle w:val="FirstParagraph"/>
      </w:pPr>
      <w:r>
        <w:rPr>
          <w:b/>
          <w:bCs/>
        </w:rPr>
        <w:t xml:space="preserve">[JUDGEMENT]</w:t>
      </w:r>
      <w:r>
        <w:t xml:space="preserve"> </w:t>
      </w:r>
      <w:r>
        <w:t xml:space="preserve">Isolation that is not tested is isolation that is assumed. Every row below is an automated test that must be green before RLS is enabled on a high-traffic table, and must run on every commit thereafter.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Attempt</w:t>
            </w:r>
          </w:p>
        </w:tc>
        <w:tc>
          <w:tcPr/>
          <w:p>
            <w:pPr>
              <w:pStyle w:val="Compact"/>
            </w:pPr>
            <w:r>
              <w:t xml:space="preserve">Expected</w:t>
            </w:r>
          </w:p>
        </w:tc>
      </w:tr>
      <w:tr>
        <w:tc>
          <w:tcPr/>
          <w:p>
            <w:pPr>
              <w:pStyle w:val="Compact"/>
            </w:pPr>
            <w:r>
              <w:t xml:space="preserve">1</w:t>
            </w:r>
          </w:p>
        </w:tc>
        <w:tc>
          <w:tcPr/>
          <w:p>
            <w:pPr>
              <w:pStyle w:val="Compact"/>
            </w:pPr>
            <w:r>
              <w:t xml:space="preserve">Read another tenant’s invoice by id</w:t>
            </w:r>
          </w:p>
        </w:tc>
        <w:tc>
          <w:tcPr/>
          <w:p>
            <w:pPr>
              <w:pStyle w:val="Compact"/>
            </w:pPr>
            <w:r>
              <w:t xml:space="preserve">404</w:t>
            </w:r>
          </w:p>
        </w:tc>
      </w:tr>
      <w:tr>
        <w:tc>
          <w:tcPr/>
          <w:p>
            <w:pPr>
              <w:pStyle w:val="Compact"/>
            </w:pPr>
            <w:r>
              <w:t xml:space="preserve">2</w:t>
            </w:r>
          </w:p>
        </w:tc>
        <w:tc>
          <w:tcPr/>
          <w:p>
            <w:pPr>
              <w:pStyle w:val="Compact"/>
            </w:pPr>
            <w:r>
              <w:t xml:space="preserve">Update another tenant’s voucher</w:t>
            </w:r>
          </w:p>
        </w:tc>
        <w:tc>
          <w:tcPr/>
          <w:p>
            <w:pPr>
              <w:pStyle w:val="Compact"/>
            </w:pPr>
            <w:r>
              <w:t xml:space="preserve">404 / 0 rows</w:t>
            </w:r>
          </w:p>
        </w:tc>
      </w:tr>
      <w:tr>
        <w:tc>
          <w:tcPr/>
          <w:p>
            <w:pPr>
              <w:pStyle w:val="Compact"/>
            </w:pPr>
            <w:r>
              <w:t xml:space="preserve">3</w:t>
            </w:r>
          </w:p>
        </w:tc>
        <w:tc>
          <w:tcPr/>
          <w:p>
            <w:pPr>
              <w:pStyle w:val="Compact"/>
            </w:pPr>
            <w:r>
              <w:t xml:space="preserve">Create a row with a foreign</w:t>
            </w:r>
            <w:r>
              <w:t xml:space="preserve"> </w:t>
            </w:r>
            <w:r>
              <w:rPr>
                <w:rStyle w:val="VerbatimChar"/>
              </w:rPr>
              <w:t xml:space="preserve">organizationId</w:t>
            </w:r>
          </w:p>
        </w:tc>
        <w:tc>
          <w:tcPr/>
          <w:p>
            <w:pPr>
              <w:pStyle w:val="Compact"/>
            </w:pPr>
            <w:r>
              <w:t xml:space="preserve">Rejected by</w:t>
            </w:r>
            <w:r>
              <w:t xml:space="preserve"> </w:t>
            </w:r>
            <w:r>
              <w:rPr>
                <w:rStyle w:val="VerbatimChar"/>
              </w:rPr>
              <w:t xml:space="preserve">WITH CHECK</w:t>
            </w:r>
          </w:p>
        </w:tc>
      </w:tr>
      <w:tr>
        <w:tc>
          <w:tcPr/>
          <w:p>
            <w:pPr>
              <w:pStyle w:val="Compact"/>
            </w:pPr>
            <w:r>
              <w:t xml:space="preserve">4</w:t>
            </w:r>
          </w:p>
        </w:tc>
        <w:tc>
          <w:tcPr/>
          <w:p>
            <w:pPr>
              <w:pStyle w:val="Compact"/>
            </w:pPr>
            <w:r>
              <w:t xml:space="preserve">Reference a foreign ledger in an own-tenant voucher</w:t>
            </w:r>
          </w:p>
        </w:tc>
        <w:tc>
          <w:tcPr/>
          <w:p>
            <w:pPr>
              <w:pStyle w:val="Compact"/>
            </w:pPr>
            <w:r>
              <w:t xml:space="preserve">Rejected by the composite FK</w:t>
            </w:r>
          </w:p>
        </w:tc>
      </w:tr>
      <w:tr>
        <w:tc>
          <w:tcPr/>
          <w:p>
            <w:pPr>
              <w:pStyle w:val="Compact"/>
            </w:pPr>
            <w:r>
              <w:t xml:space="preserve">5</w:t>
            </w:r>
          </w:p>
        </w:tc>
        <w:tc>
          <w:tcPr/>
          <w:p>
            <w:pPr>
              <w:pStyle w:val="Compact"/>
            </w:pPr>
            <w:r>
              <w:t xml:space="preserve">Move a row to another tenant via</w:t>
            </w:r>
            <w:r>
              <w:t xml:space="preserve"> </w:t>
            </w:r>
            <w:r>
              <w:rPr>
                <w:rStyle w:val="VerbatimChar"/>
              </w:rPr>
              <w:t xml:space="preserve">UPDATE</w:t>
            </w:r>
          </w:p>
        </w:tc>
        <w:tc>
          <w:tcPr/>
          <w:p>
            <w:pPr>
              <w:pStyle w:val="Compact"/>
            </w:pPr>
            <w:r>
              <w:t xml:space="preserve">Rejected by</w:t>
            </w:r>
            <w:r>
              <w:t xml:space="preserve"> </w:t>
            </w:r>
            <w:r>
              <w:rPr>
                <w:rStyle w:val="VerbatimChar"/>
              </w:rPr>
              <w:t xml:space="preserve">WITH CHECK</w:t>
            </w:r>
          </w:p>
        </w:tc>
      </w:tr>
      <w:tr>
        <w:tc>
          <w:tcPr/>
          <w:p>
            <w:pPr>
              <w:pStyle w:val="Compact"/>
            </w:pPr>
            <w:r>
              <w:t xml:space="preserve">6</w:t>
            </w:r>
          </w:p>
        </w:tc>
        <w:tc>
          <w:tcPr/>
          <w:p>
            <w:pPr>
              <w:pStyle w:val="Compact"/>
            </w:pPr>
            <w:r>
              <w:t xml:space="preserve">Raw SQL with no tenant predicate</w:t>
            </w:r>
          </w:p>
        </w:tc>
        <w:tc>
          <w:tcPr/>
          <w:p>
            <w:pPr>
              <w:pStyle w:val="Compact"/>
            </w:pPr>
            <w:r>
              <w:t xml:space="preserve">Zero rows</w:t>
            </w:r>
          </w:p>
        </w:tc>
      </w:tr>
      <w:tr>
        <w:tc>
          <w:tcPr/>
          <w:p>
            <w:pPr>
              <w:pStyle w:val="Compact"/>
            </w:pPr>
            <w:r>
              <w:t xml:space="preserve">7</w:t>
            </w:r>
          </w:p>
        </w:tc>
        <w:tc>
          <w:tcPr/>
          <w:p>
            <w:pPr>
              <w:pStyle w:val="Compact"/>
            </w:pPr>
            <w:r>
              <w:t xml:space="preserve">Report query across tenants</w:t>
            </w:r>
          </w:p>
        </w:tc>
        <w:tc>
          <w:tcPr/>
          <w:p>
            <w:pPr>
              <w:pStyle w:val="Compact"/>
            </w:pPr>
            <w:r>
              <w:t xml:space="preserve">Zero rows</w:t>
            </w:r>
          </w:p>
        </w:tc>
      </w:tr>
      <w:tr>
        <w:tc>
          <w:tcPr/>
          <w:p>
            <w:pPr>
              <w:pStyle w:val="Compact"/>
            </w:pPr>
            <w:r>
              <w:t xml:space="preserve">8</w:t>
            </w:r>
          </w:p>
        </w:tc>
        <w:tc>
          <w:tcPr/>
          <w:p>
            <w:pPr>
              <w:pStyle w:val="Compact"/>
            </w:pPr>
            <w:r>
              <w:t xml:space="preserve">Export another tenant’s data</w:t>
            </w:r>
          </w:p>
        </w:tc>
        <w:tc>
          <w:tcPr/>
          <w:p>
            <w:pPr>
              <w:pStyle w:val="Compact"/>
            </w:pPr>
            <w:r>
              <w:t xml:space="preserve">404</w:t>
            </w:r>
          </w:p>
        </w:tc>
      </w:tr>
      <w:tr>
        <w:tc>
          <w:tcPr/>
          <w:p>
            <w:pPr>
              <w:pStyle w:val="Compact"/>
            </w:pPr>
            <w:r>
              <w:t xml:space="preserve">9</w:t>
            </w:r>
          </w:p>
        </w:tc>
        <w:tc>
          <w:tcPr/>
          <w:p>
            <w:pPr>
              <w:pStyle w:val="Compact"/>
            </w:pPr>
            <w:r>
              <w:t xml:space="preserve">API key from tenant A against tenant B</w:t>
            </w:r>
          </w:p>
        </w:tc>
        <w:tc>
          <w:tcPr/>
          <w:p>
            <w:pPr>
              <w:pStyle w:val="Compact"/>
            </w:pPr>
            <w:r>
              <w:t xml:space="preserve">404</w:t>
            </w:r>
          </w:p>
        </w:tc>
      </w:tr>
      <w:tr>
        <w:tc>
          <w:tcPr/>
          <w:p>
            <w:pPr>
              <w:pStyle w:val="Compact"/>
            </w:pPr>
            <w:r>
              <w:t xml:space="preserve">10</w:t>
            </w:r>
          </w:p>
        </w:tc>
        <w:tc>
          <w:tcPr/>
          <w:p>
            <w:pPr>
              <w:pStyle w:val="Compact"/>
            </w:pPr>
            <w:r>
              <w:t xml:space="preserve">Job with a mismatched</w:t>
            </w:r>
            <w:r>
              <w:t xml:space="preserve"> </w:t>
            </w:r>
            <w:r>
              <w:rPr>
                <w:rStyle w:val="VerbatimChar"/>
              </w:rPr>
              <w:t xml:space="preserve">tenant_id</w:t>
            </w:r>
          </w:p>
        </w:tc>
        <w:tc>
          <w:tcPr/>
          <w:p>
            <w:pPr>
              <w:pStyle w:val="Compact"/>
            </w:pPr>
            <w:r>
              <w:t xml:space="preserve">Assertion failure</w:t>
            </w:r>
          </w:p>
        </w:tc>
      </w:tr>
      <w:tr>
        <w:tc>
          <w:tcPr/>
          <w:p>
            <w:pPr>
              <w:pStyle w:val="Compact"/>
            </w:pPr>
            <w:r>
              <w:t xml:space="preserve">11</w:t>
            </w:r>
          </w:p>
        </w:tc>
        <w:tc>
          <w:tcPr/>
          <w:p>
            <w:pPr>
              <w:pStyle w:val="Compact"/>
            </w:pPr>
            <w:r>
              <w:t xml:space="preserve">File download by another tenant’s storage key</w:t>
            </w:r>
          </w:p>
        </w:tc>
        <w:tc>
          <w:tcPr/>
          <w:p>
            <w:pPr>
              <w:pStyle w:val="Compact"/>
            </w:pPr>
            <w:r>
              <w:t xml:space="preserve">404</w:t>
            </w:r>
          </w:p>
        </w:tc>
      </w:tr>
      <w:tr>
        <w:tc>
          <w:tcPr/>
          <w:p>
            <w:pPr>
              <w:pStyle w:val="Compact"/>
            </w:pPr>
            <w:r>
              <w:t xml:space="preserve">12</w:t>
            </w:r>
          </w:p>
        </w:tc>
        <w:tc>
          <w:tcPr/>
          <w:p>
            <w:pPr>
              <w:pStyle w:val="Compact"/>
            </w:pPr>
            <w:r>
              <w:t xml:space="preserve">Cache key without a tenant prefix</w:t>
            </w:r>
          </w:p>
        </w:tc>
        <w:tc>
          <w:tcPr/>
          <w:p>
            <w:pPr>
              <w:pStyle w:val="Compact"/>
            </w:pPr>
            <w:r>
              <w:t xml:space="preserve">Test fails the build</w:t>
            </w:r>
          </w:p>
        </w:tc>
      </w:tr>
      <w:tr>
        <w:tc>
          <w:tcPr/>
          <w:p>
            <w:pPr>
              <w:pStyle w:val="Compact"/>
            </w:pPr>
            <w:r>
              <w:t xml:space="preserve">13</w:t>
            </w:r>
          </w:p>
        </w:tc>
        <w:tc>
          <w:tcPr/>
          <w:p>
            <w:pPr>
              <w:pStyle w:val="Compact"/>
            </w:pPr>
            <w:r>
              <w:t xml:space="preserve">Aggregate/count leaking a foreign row</w:t>
            </w:r>
          </w:p>
        </w:tc>
        <w:tc>
          <w:tcPr/>
          <w:p>
            <w:pPr>
              <w:pStyle w:val="Compact"/>
            </w:pPr>
            <w:r>
              <w:t xml:space="preserve">Zero</w:t>
            </w:r>
          </w:p>
        </w:tc>
      </w:tr>
      <w:tr>
        <w:tc>
          <w:tcPr/>
          <w:p>
            <w:pPr>
              <w:pStyle w:val="Compact"/>
            </w:pPr>
            <w:r>
              <w:t xml:space="preserve">14</w:t>
            </w:r>
          </w:p>
        </w:tc>
        <w:tc>
          <w:tcPr/>
          <w:p>
            <w:pPr>
              <w:pStyle w:val="Compact"/>
            </w:pPr>
            <w:r>
              <w:t xml:space="preserve">Search across tenants</w:t>
            </w:r>
          </w:p>
        </w:tc>
        <w:tc>
          <w:tcPr/>
          <w:p>
            <w:pPr>
              <w:pStyle w:val="Compact"/>
            </w:pPr>
            <w:r>
              <w:t xml:space="preserve">Zero</w:t>
            </w:r>
          </w:p>
        </w:tc>
      </w:tr>
      <w:tr>
        <w:tc>
          <w:tcPr/>
          <w:p>
            <w:pPr>
              <w:pStyle w:val="Compact"/>
            </w:pPr>
            <w:r>
              <w:t xml:space="preserve">15</w:t>
            </w:r>
          </w:p>
        </w:tc>
        <w:tc>
          <w:tcPr/>
          <w:p>
            <w:pPr>
              <w:pStyle w:val="Compact"/>
            </w:pPr>
            <w:r>
              <w:t xml:space="preserve">Webhook payload containing foreign data</w:t>
            </w:r>
          </w:p>
        </w:tc>
        <w:tc>
          <w:tcPr/>
          <w:p>
            <w:pPr>
              <w:pStyle w:val="Compact"/>
            </w:pPr>
            <w:r>
              <w:t xml:space="preserve">Zero</w:t>
            </w:r>
          </w:p>
        </w:tc>
      </w:tr>
      <w:tr>
        <w:tc>
          <w:tcPr/>
          <w:p>
            <w:pPr>
              <w:pStyle w:val="Compact"/>
            </w:pPr>
            <w:r>
              <w:t xml:space="preserve">16</w:t>
            </w:r>
          </w:p>
        </w:tc>
        <w:tc>
          <w:tcPr/>
          <w:p>
            <w:pPr>
              <w:pStyle w:val="Compact"/>
            </w:pPr>
            <w:r>
              <w:t xml:space="preserve">Suspended tenant attempting a write</w:t>
            </w:r>
          </w:p>
        </w:tc>
        <w:tc>
          <w:tcPr/>
          <w:p>
            <w:pPr>
              <w:pStyle w:val="Compact"/>
            </w:pPr>
            <w:r>
              <w:t xml:space="preserve">402/423</w:t>
            </w:r>
          </w:p>
        </w:tc>
      </w:tr>
      <w:tr>
        <w:tc>
          <w:tcPr/>
          <w:p>
            <w:pPr>
              <w:pStyle w:val="Compact"/>
            </w:pPr>
            <w:r>
              <w:t xml:space="preserve">17</w:t>
            </w:r>
          </w:p>
        </w:tc>
        <w:tc>
          <w:tcPr/>
          <w:p>
            <w:pPr>
              <w:pStyle w:val="Compact"/>
            </w:pPr>
            <w:r>
              <w:t xml:space="preserve">Revoked membership using a live session</w:t>
            </w:r>
          </w:p>
        </w:tc>
        <w:tc>
          <w:tcPr/>
          <w:p>
            <w:pPr>
              <w:pStyle w:val="Compact"/>
            </w:pPr>
            <w:r>
              <w:t xml:space="preserve">404 on the next request</w:t>
            </w:r>
          </w:p>
        </w:tc>
      </w:tr>
      <w:tr>
        <w:tc>
          <w:tcPr/>
          <w:p>
            <w:pPr>
              <w:pStyle w:val="Compact"/>
            </w:pPr>
            <w:r>
              <w:t xml:space="preserve">18</w:t>
            </w:r>
          </w:p>
        </w:tc>
        <w:tc>
          <w:tcPr/>
          <w:p>
            <w:pPr>
              <w:pStyle w:val="Compact"/>
            </w:pPr>
            <w:r>
              <w:t xml:space="preserve">Expired</w:t>
            </w:r>
            <w:r>
              <w:t xml:space="preserve"> </w:t>
            </w:r>
            <w:r>
              <w:rPr>
                <w:rStyle w:val="VerbatimChar"/>
              </w:rPr>
              <w:t xml:space="preserve">SupportGrant</w:t>
            </w:r>
          </w:p>
        </w:tc>
        <w:tc>
          <w:tcPr/>
          <w:p>
            <w:pPr>
              <w:pStyle w:val="Compact"/>
            </w:pPr>
            <w:r>
              <w:t xml:space="preserve">Denied and logged</w:t>
            </w:r>
          </w:p>
        </w:tc>
      </w:tr>
      <w:tr>
        <w:tc>
          <w:tcPr/>
          <w:p>
            <w:pPr>
              <w:pStyle w:val="Compact"/>
            </w:pPr>
            <w:r>
              <w:t xml:space="preserve">19</w:t>
            </w:r>
          </w:p>
        </w:tc>
        <w:tc>
          <w:tcPr/>
          <w:p>
            <w:pPr>
              <w:pStyle w:val="Compact"/>
            </w:pPr>
            <w:r>
              <w:t xml:space="preserve">Connection recycled between tenants by the pooler</w:t>
            </w:r>
          </w:p>
        </w:tc>
        <w:tc>
          <w:tcPr/>
          <w:p>
            <w:pPr>
              <w:pStyle w:val="Compact"/>
            </w:pPr>
            <w:r>
              <w:t xml:space="preserve">Context is not inherited</w:t>
            </w:r>
          </w:p>
        </w:tc>
      </w:tr>
      <w:tr>
        <w:tc>
          <w:tcPr/>
          <w:p>
            <w:pPr>
              <w:pStyle w:val="Compact"/>
            </w:pPr>
            <w:r>
              <w:t xml:space="preserve">20</w:t>
            </w:r>
          </w:p>
        </w:tc>
        <w:tc>
          <w:tcPr/>
          <w:p>
            <w:pPr>
              <w:pStyle w:val="Compact"/>
            </w:pPr>
            <w:r>
              <w:t xml:space="preserve">Missing context</w:t>
            </w:r>
          </w:p>
        </w:tc>
        <w:tc>
          <w:tcPr/>
          <w:p>
            <w:pPr>
              <w:pStyle w:val="Compact"/>
            </w:pPr>
            <w:r>
              <w:t xml:space="preserve">Zero rows, and an alert</w:t>
            </w:r>
          </w:p>
        </w:tc>
      </w:tr>
      <w:tr>
        <w:tc>
          <w:tcPr/>
          <w:p>
            <w:pPr>
              <w:pStyle w:val="Compact"/>
            </w:pPr>
            <w:r>
              <w:t xml:space="preserve">21</w:t>
            </w:r>
          </w:p>
        </w:tc>
        <w:tc>
          <w:tcPr/>
          <w:p>
            <w:pPr>
              <w:pStyle w:val="Compact"/>
            </w:pPr>
            <w:r>
              <w:t xml:space="preserve">Nested transaction losing context</w:t>
            </w:r>
          </w:p>
        </w:tc>
        <w:tc>
          <w:tcPr/>
          <w:p>
            <w:pPr>
              <w:pStyle w:val="Compact"/>
            </w:pPr>
            <w:r>
              <w:t xml:space="preserve">Zero rows</w:t>
            </w:r>
          </w:p>
        </w:tc>
      </w:tr>
      <w:tr>
        <w:tc>
          <w:tcPr/>
          <w:p>
            <w:pPr>
              <w:pStyle w:val="Compact"/>
            </w:pPr>
            <w:r>
              <w:t xml:space="preserve">22</w:t>
            </w:r>
          </w:p>
        </w:tc>
        <w:tc>
          <w:tcPr/>
          <w:p>
            <w:pPr>
              <w:pStyle w:val="Compact"/>
            </w:pPr>
            <w:r>
              <w:t xml:space="preserve">Bulk import with a foreign id in the file</w:t>
            </w:r>
          </w:p>
        </w:tc>
        <w:tc>
          <w:tcPr/>
          <w:p>
            <w:pPr>
              <w:pStyle w:val="Compact"/>
            </w:pPr>
            <w:r>
              <w:t xml:space="preserve">Row rejected, not silently reassigned</w:t>
            </w:r>
          </w:p>
        </w:tc>
      </w:tr>
    </w:tbl>
    <w:p>
      <w:pPr>
        <w:pStyle w:val="BodyText"/>
      </w:pPr>
      <w:r>
        <w:t xml:space="preserve">Rows</w:t>
      </w:r>
      <w:r>
        <w:t xml:space="preserve"> </w:t>
      </w:r>
      <w:r>
        <w:rPr>
          <w:b/>
          <w:bCs/>
        </w:rPr>
        <w:t xml:space="preserve">19, 20 and 21</w:t>
      </w:r>
      <w:r>
        <w:t xml:space="preserve"> </w:t>
      </w:r>
      <w:r>
        <w:t xml:space="preserve">are the gate: they test the mechanism itself rather than a policy, and they are the ones that catch a pooler or</w:t>
      </w:r>
      <w:r>
        <w:t xml:space="preserve"> </w:t>
      </w:r>
      <w:r>
        <w:rPr>
          <w:rStyle w:val="VerbatimChar"/>
        </w:rPr>
        <w:t xml:space="preserve">AsyncLocalStorage</w:t>
      </w:r>
      <w:r>
        <w:t xml:space="preserve"> </w:t>
      </w:r>
      <w:r>
        <w:t xml:space="preserve">regression.</w:t>
      </w:r>
    </w:p>
    <w:bookmarkEnd w:id="205"/>
    <w:bookmarkStart w:id="206" w:name="audit"/>
    <w:p>
      <w:pPr>
        <w:pStyle w:val="Heading3"/>
      </w:pPr>
      <w:r>
        <w:t xml:space="preserve">26.4 Audit</w:t>
      </w:r>
    </w:p>
    <w:p>
      <w:pPr>
        <w:pStyle w:val="FirstParagraph"/>
      </w:pPr>
      <w:r>
        <w:t xml:space="preserve">Two separate, append-only logs.</w:t>
      </w:r>
      <w:r>
        <w:t xml:space="preserve"> </w:t>
      </w:r>
      <w:r>
        <w:rPr>
          <w:b/>
          <w:bCs/>
        </w:rPr>
        <w:t xml:space="preserve">[VERIFIED-REPO]</w:t>
      </w:r>
      <w:r>
        <w:t xml:space="preserve"> </w:t>
      </w:r>
      <w:r>
        <w:rPr>
          <w:rStyle w:val="VerbatimChar"/>
        </w:rPr>
        <w:t xml:space="preserve">AuditLog</w:t>
      </w:r>
      <w:r>
        <w:t xml:space="preserve"> </w:t>
      </w:r>
      <w:r>
        <w:t xml:space="preserve">is org-scoped and already exists.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Log</w:t>
            </w:r>
          </w:p>
        </w:tc>
        <w:tc>
          <w:tcPr/>
          <w:p>
            <w:pPr>
              <w:pStyle w:val="Compact"/>
            </w:pPr>
            <w:r>
              <w:t xml:space="preserve">Records</w:t>
            </w:r>
          </w:p>
        </w:tc>
        <w:tc>
          <w:tcPr/>
          <w:p>
            <w:pPr>
              <w:pStyle w:val="Compact"/>
            </w:pPr>
            <w:r>
              <w:t xml:space="preserve">Readable by</w:t>
            </w:r>
          </w:p>
        </w:tc>
      </w:tr>
      <w:tr>
        <w:tc>
          <w:tcPr/>
          <w:p>
            <w:pPr>
              <w:pStyle w:val="Compact"/>
            </w:pPr>
            <w:r>
              <w:rPr>
                <w:rStyle w:val="VerbatimChar"/>
              </w:rPr>
              <w:t xml:space="preserve">audit_logs</w:t>
            </w:r>
            <w:r>
              <w:t xml:space="preserve"> </w:t>
            </w:r>
            <w:r>
              <w:t xml:space="preserve">(data plane)</w:t>
            </w:r>
          </w:p>
        </w:tc>
        <w:tc>
          <w:tcPr/>
          <w:p>
            <w:pPr>
              <w:pStyle w:val="Compact"/>
            </w:pPr>
            <w:r>
              <w:t xml:space="preserve">Tenant actions: who posted, approved, changed, exported</w:t>
            </w:r>
          </w:p>
        </w:tc>
        <w:tc>
          <w:tcPr/>
          <w:p>
            <w:pPr>
              <w:pStyle w:val="Compact"/>
            </w:pPr>
            <w:r>
              <w:t xml:space="preserve">The tenant, and support under a grant</w:t>
            </w:r>
          </w:p>
        </w:tc>
      </w:tr>
      <w:tr>
        <w:tc>
          <w:tcPr/>
          <w:p>
            <w:pPr>
              <w:pStyle w:val="Compact"/>
            </w:pPr>
            <w:r>
              <w:rPr>
                <w:rStyle w:val="VerbatimChar"/>
              </w:rPr>
              <w:t xml:space="preserve">platform_audit_log</w:t>
            </w:r>
            <w:r>
              <w:t xml:space="preserve"> </w:t>
            </w:r>
            <w:r>
              <w:t xml:space="preserve">(control plane)</w:t>
            </w:r>
          </w:p>
        </w:tc>
        <w:tc>
          <w:tcPr/>
          <w:p>
            <w:pPr>
              <w:pStyle w:val="Compact"/>
            </w:pPr>
            <w:r>
              <w:rPr>
                <w:b/>
                <w:bCs/>
              </w:rPr>
              <w:t xml:space="preserve">Staff</w:t>
            </w:r>
            <w:r>
              <w:t xml:space="preserve"> </w:t>
            </w:r>
            <w:r>
              <w:t xml:space="preserve">actions: plan changes, suspensions, support access, placement moves</w:t>
            </w:r>
          </w:p>
        </w:tc>
        <w:tc>
          <w:tcPr/>
          <w:p>
            <w:pPr>
              <w:pStyle w:val="Compact"/>
            </w:pPr>
            <w:r>
              <w:t xml:space="preserve">Platform only</w:t>
            </w:r>
          </w:p>
        </w:tc>
      </w:tr>
    </w:tbl>
    <w:p>
      <w:pPr>
        <w:pStyle w:val="BodyText"/>
      </w:pPr>
      <w:r>
        <w:t xml:space="preserve">Both are append-only: the application role has</w:t>
      </w:r>
      <w:r>
        <w:t xml:space="preserve"> </w:t>
      </w:r>
      <w:r>
        <w:rPr>
          <w:rStyle w:val="VerbatimChar"/>
        </w:rPr>
        <w:t xml:space="preserve">INSERT</w:t>
      </w:r>
      <w:r>
        <w:t xml:space="preserve"> </w:t>
      </w:r>
      <w:r>
        <w:t xml:space="preserve">and</w:t>
      </w:r>
      <w:r>
        <w:t xml:space="preserve"> </w:t>
      </w:r>
      <w:r>
        <w:rPr>
          <w:rStyle w:val="VerbatimChar"/>
        </w:rPr>
        <w:t xml:space="preserve">SELECT</w:t>
      </w:r>
      <w:r>
        <w:t xml:space="preserve">, never</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w:t>
      </w:r>
      <w:r>
        <w:t xml:space="preserve"> </w:t>
      </w:r>
      <w:r>
        <w:rPr>
          <w:b/>
          <w:bCs/>
        </w:rPr>
        <w:t xml:space="preserve">[JUDGEMENT]</w:t>
      </w:r>
      <w:r>
        <w:t xml:space="preserve"> </w:t>
      </w:r>
      <w:r>
        <w:t xml:space="preserve">Separating them matters because the question</w:t>
      </w:r>
      <w:r>
        <w:t xml:space="preserve"> </w:t>
      </w:r>
      <w:r>
        <w:t xml:space="preserve">“did an AccuBook employee look at my books?”</w:t>
      </w:r>
      <w:r>
        <w:t xml:space="preserve"> </w:t>
      </w:r>
      <w:r>
        <w:t xml:space="preserve">must be answerable, and it cannot be answered from a log that the same employee could plausibly write to.</w:t>
      </w:r>
    </w:p>
    <w:bookmarkEnd w:id="206"/>
    <w:bookmarkStart w:id="207" w:name="secrets"/>
    <w:p>
      <w:pPr>
        <w:pStyle w:val="Heading3"/>
      </w:pPr>
      <w:r>
        <w:t xml:space="preserve">26.5 Secrets</w:t>
      </w:r>
    </w:p>
    <w:p>
      <w:pPr>
        <w:pStyle w:val="FirstParagraph"/>
      </w:pPr>
      <w:r>
        <w:t xml:space="preserve">Managed secret store, never</w:t>
      </w:r>
      <w:r>
        <w:t xml:space="preserve"> </w:t>
      </w:r>
      <w:r>
        <w:rPr>
          <w:rStyle w:val="VerbatimChar"/>
        </w:rPr>
        <w:t xml:space="preserve">.env</w:t>
      </w:r>
      <w:r>
        <w:t xml:space="preserve"> </w:t>
      </w:r>
      <w:r>
        <w:t xml:space="preserve">in the repository; rotation without a redeploy; secret scanning in CI and pre-commit; per-environment separation with</w:t>
      </w:r>
      <w:r>
        <w:t xml:space="preserve"> </w:t>
      </w:r>
      <w:r>
        <w:rPr>
          <w:b/>
          <w:bCs/>
        </w:rPr>
        <w:t xml:space="preserve">no shared credential between preview and production</w:t>
      </w:r>
      <w:r>
        <w:t xml:space="preserve">.</w:t>
      </w:r>
      <w:r>
        <w:t xml:space="preserve"> </w:t>
      </w:r>
      <w:r>
        <w:rPr>
          <w:b/>
          <w:bCs/>
        </w:rPr>
        <w:t xml:space="preserve">[A §45.3]</w:t>
      </w:r>
      <w:r>
        <w:t xml:space="preserve"> </w:t>
      </w:r>
      <w:r>
        <w:t xml:space="preserve">records a live instance of exactly this problem — preview deployments still read and write the production database.</w:t>
      </w:r>
    </w:p>
    <w:bookmarkEnd w:id="207"/>
    <w:bookmarkStart w:id="208" w:name="ci-as-an-architectural-control"/>
    <w:p>
      <w:pPr>
        <w:pStyle w:val="Heading3"/>
      </w:pPr>
      <w:r>
        <w:t xml:space="preserve">26.6 CI as an architectural control</w:t>
      </w:r>
    </w:p>
    <w:p>
      <w:pPr>
        <w:pStyle w:val="FirstParagraph"/>
      </w:pPr>
      <w:r>
        <w:rPr>
          <w:b/>
          <w:bCs/>
        </w:rPr>
        <w:t xml:space="preserve">[JUDGEMENT]</w:t>
      </w:r>
      <w:r>
        <w:t xml:space="preserve"> </w:t>
      </w:r>
      <w:r>
        <w:t xml:space="preserve">These tests encode invariants that code review will not reliably catch, because they fail only in combination: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Asserts</w:t>
            </w:r>
          </w:p>
        </w:tc>
      </w:tr>
      <w:tr>
        <w:tc>
          <w:tcPr/>
          <w:p>
            <w:pPr>
              <w:pStyle w:val="Compact"/>
            </w:pPr>
            <w:r>
              <w:t xml:space="preserve">Every org route is wrapped in</w:t>
            </w:r>
            <w:r>
              <w:t xml:space="preserve"> </w:t>
            </w:r>
            <w:r>
              <w:rPr>
                <w:rStyle w:val="VerbatimChar"/>
              </w:rPr>
              <w:t xml:space="preserve">withOrgAuth</w:t>
            </w:r>
          </w:p>
        </w:tc>
        <w:tc>
          <w:tcPr/>
          <w:p>
            <w:pPr>
              <w:pStyle w:val="Compact"/>
            </w:pPr>
            <w:r>
              <w:t xml:space="preserve">Invariant</w:t>
            </w:r>
            <w:r>
              <w:t xml:space="preserve"> </w:t>
            </w:r>
            <w:r>
              <w:rPr>
                <w:b/>
                <w:bCs/>
              </w:rPr>
              <w:t xml:space="preserve">I2</w:t>
            </w:r>
            <w:r>
              <w:t xml:space="preserve"> </w:t>
            </w:r>
            <w:r>
              <w:t xml:space="preserve">survives new routes</w:t>
            </w:r>
          </w:p>
        </w:tc>
      </w:tr>
      <w:tr>
        <w:tc>
          <w:tcPr/>
          <w:p>
            <w:pPr>
              <w:pStyle w:val="Compact"/>
            </w:pPr>
            <w:r>
              <w:t xml:space="preserve">Every tenant table has</w:t>
            </w:r>
            <w:r>
              <w:t xml:space="preserve"> </w:t>
            </w:r>
            <w:r>
              <w:rPr>
                <w:rStyle w:val="VerbatimChar"/>
              </w:rPr>
              <w:t xml:space="preserve">organizationId</w:t>
            </w:r>
            <w:r>
              <w:t xml:space="preserve">, NOT NULL, index-leading</w:t>
            </w:r>
          </w:p>
        </w:tc>
        <w:tc>
          <w:tcPr/>
          <w:p>
            <w:pPr>
              <w:pStyle w:val="Compact"/>
            </w:pPr>
            <w:r>
              <w:rPr>
                <w:b/>
                <w:bCs/>
              </w:rPr>
              <w:t xml:space="preserve">I1</w:t>
            </w:r>
            <w:r>
              <w:t xml:space="preserve"> </w:t>
            </w:r>
            <w:r>
              <w:t xml:space="preserve">survives new models</w:t>
            </w:r>
          </w:p>
        </w:tc>
      </w:tr>
      <w:tr>
        <w:tc>
          <w:tcPr/>
          <w:p>
            <w:pPr>
              <w:pStyle w:val="Compact"/>
            </w:pPr>
            <w:r>
              <w:t xml:space="preserve">Every tenant table has an RLS policy</w:t>
            </w:r>
          </w:p>
        </w:tc>
        <w:tc>
          <w:tcPr/>
          <w:p>
            <w:pPr>
              <w:pStyle w:val="Compact"/>
            </w:pPr>
            <w:r>
              <w:t xml:space="preserve">Coverage cannot silently regress</w:t>
            </w:r>
          </w:p>
        </w:tc>
      </w:tr>
      <w:tr>
        <w:tc>
          <w:tcPr/>
          <w:p>
            <w:pPr>
              <w:pStyle w:val="Compact"/>
            </w:pPr>
            <w:r>
              <w:t xml:space="preserve">Every</w:t>
            </w:r>
            <w:r>
              <w:t xml:space="preserve"> </w:t>
            </w:r>
            <w:r>
              <w:rPr>
                <w:rStyle w:val="VerbatimChar"/>
              </w:rPr>
              <w:t xml:space="preserve">(path, method)</w:t>
            </w:r>
            <w:r>
              <w:t xml:space="preserve"> </w:t>
            </w:r>
            <w:r>
              <w:t xml:space="preserve">maps to a permission</w:t>
            </w:r>
          </w:p>
        </w:tc>
        <w:tc>
          <w:tcPr/>
          <w:p>
            <w:pPr>
              <w:pStyle w:val="Compact"/>
            </w:pPr>
            <w:r>
              <w:t xml:space="preserve">Fail-closed authorisation stays complete</w:t>
            </w:r>
          </w:p>
        </w:tc>
      </w:tr>
      <w:tr>
        <w:tc>
          <w:tcPr/>
          <w:p>
            <w:pPr>
              <w:pStyle w:val="Compact"/>
            </w:pPr>
            <w:r>
              <w:t xml:space="preserve">No</w:t>
            </w:r>
            <w:r>
              <w:t xml:space="preserve"> </w:t>
            </w:r>
            <w:r>
              <w:rPr>
                <w:rStyle w:val="VerbatimChar"/>
              </w:rPr>
              <w:t xml:space="preserve">PrismaClient</w:t>
            </w:r>
            <w:r>
              <w:t xml:space="preserve"> </w:t>
            </w:r>
            <w:r>
              <w:t xml:space="preserve">import outside</w:t>
            </w:r>
            <w:r>
              <w:t xml:space="preserve"> </w:t>
            </w:r>
            <w:r>
              <w:rPr>
                <w:rStyle w:val="VerbatimChar"/>
              </w:rPr>
              <w:t xml:space="preserve">src/backend/db/</w:t>
            </w:r>
          </w:p>
        </w:tc>
        <w:tc>
          <w:tcPr/>
          <w:p>
            <w:pPr>
              <w:pStyle w:val="Compact"/>
            </w:pPr>
            <w:r>
              <w:t xml:space="preserve">The choke point of §13.4 holds</w:t>
            </w:r>
          </w:p>
        </w:tc>
      </w:tr>
      <w:tr>
        <w:tc>
          <w:tcPr/>
          <w:p>
            <w:pPr>
              <w:pStyle w:val="Compact"/>
            </w:pPr>
            <w:r>
              <w:t xml:space="preserve">No</w:t>
            </w:r>
            <w:r>
              <w:t xml:space="preserve"> </w:t>
            </w:r>
            <w:r>
              <w:rPr>
                <w:rStyle w:val="VerbatimChar"/>
              </w:rPr>
              <w:t xml:space="preserve">Float</w:t>
            </w:r>
            <w:r>
              <w:t xml:space="preserve"> </w:t>
            </w:r>
            <w:r>
              <w:t xml:space="preserve">in the schema</w:t>
            </w:r>
          </w:p>
        </w:tc>
        <w:tc>
          <w:tcPr/>
          <w:p>
            <w:pPr>
              <w:pStyle w:val="Compact"/>
            </w:pPr>
            <w:r>
              <w:rPr>
                <w:b/>
                <w:bCs/>
              </w:rPr>
              <w:t xml:space="preserve">I4</w:t>
            </w:r>
          </w:p>
        </w:tc>
      </w:tr>
      <w:tr>
        <w:tc>
          <w:tcPr/>
          <w:p>
            <w:pPr>
              <w:pStyle w:val="Compact"/>
            </w:pPr>
            <w:r>
              <w:t xml:space="preserve">Every status column is an enum or has a</w:t>
            </w:r>
            <w:r>
              <w:t xml:space="preserve"> </w:t>
            </w:r>
            <w:r>
              <w:rPr>
                <w:rStyle w:val="VerbatimChar"/>
              </w:rPr>
              <w:t xml:space="preserve">CHECK</w:t>
            </w:r>
          </w:p>
        </w:tc>
        <w:tc>
          <w:tcPr/>
          <w:p>
            <w:pPr>
              <w:pStyle w:val="Compact"/>
            </w:pPr>
            <w:r>
              <w:t xml:space="preserve">§7.2</w:t>
            </w:r>
          </w:p>
        </w:tc>
      </w:tr>
      <w:tr>
        <w:tc>
          <w:tcPr/>
          <w:p>
            <w:pPr>
              <w:pStyle w:val="Compact"/>
            </w:pPr>
            <w:r>
              <w:t xml:space="preserve">Migrations follow expand/contract</w:t>
            </w:r>
          </w:p>
        </w:tc>
        <w:tc>
          <w:tcPr/>
          <w:p>
            <w:pPr>
              <w:pStyle w:val="Compact"/>
            </w:pPr>
            <w:r>
              <w:t xml:space="preserve">No destructive migration in one release</w:t>
            </w:r>
          </w:p>
        </w:tc>
      </w:tr>
      <w:tr>
        <w:tc>
          <w:tcPr/>
          <w:p>
            <w:pPr>
              <w:pStyle w:val="Compact"/>
            </w:pPr>
            <w:r>
              <w:t xml:space="preserve">Secret scanning</w:t>
            </w:r>
          </w:p>
        </w:tc>
        <w:tc>
          <w:tcPr/>
          <w:p>
            <w:pPr>
              <w:pStyle w:val="Compact"/>
            </w:pPr>
            <w:r>
              <w:t xml:space="preserve">§26.5</w:t>
            </w:r>
          </w:p>
        </w:tc>
      </w:tr>
    </w:tbl>
    <w:bookmarkEnd w:id="208"/>
    <w:bookmarkEnd w:id="209"/>
    <w:bookmarkStart w:id="217" w:name="observability"/>
    <w:p>
      <w:pPr>
        <w:pStyle w:val="Heading2"/>
      </w:pPr>
      <w:r>
        <w:t xml:space="preserve">27. Observability</w:t>
      </w:r>
    </w:p>
    <w:bookmarkStart w:id="213" w:name="the-cardinality-rule"/>
    <w:p>
      <w:pPr>
        <w:pStyle w:val="Heading3"/>
      </w:pPr>
      <w:r>
        <w:t xml:space="preserve">27.1 The cardinality rule</w:t>
      </w:r>
    </w:p>
    <w:p>
      <w:pPr>
        <w:pStyle w:val="FirstParagraph"/>
      </w:pPr>
      <w:r>
        <w:rPr>
          <w:b/>
          <w:bCs/>
        </w:rPr>
        <w:t xml:space="preserve">[PATTERN]</w:t>
      </w:r>
      <w:r>
        <w:t xml:space="preserve"> </w:t>
      </w:r>
      <w:r>
        <w:t xml:space="preserve">The single most common observability mistake in multi-tenant systems: putting</w:t>
      </w:r>
      <w:r>
        <w:t xml:space="preserve"> </w:t>
      </w:r>
      <w:r>
        <w:rPr>
          <w:rStyle w:val="VerbatimChar"/>
        </w:rPr>
        <w:t xml:space="preserve">tenantId</w:t>
      </w:r>
      <w:r>
        <w:t xml:space="preserve"> </w:t>
      </w:r>
      <w:r>
        <w:t xml:space="preserve">on a metric label. At 100,000 tenants × a handful of metrics × their own labels, the time-series count explodes and the metrics backend fails — usually during the incident you built it for.</w:t>
      </w:r>
    </w:p>
    <w:p>
      <w:pPr>
        <w:pStyle w:val="BodyText"/>
      </w:pPr>
      <w:r>
        <w:drawing>
          <wp:inline>
            <wp:extent cx="5334000" cy="5401094"/>
            <wp:effectExtent b="0" l="0" r="0" t="0"/>
            <wp:docPr descr="" title="" id="211" name="Picture"/>
            <a:graphic>
              <a:graphicData uri="http://schemas.openxmlformats.org/drawingml/2006/picture">
                <pic:pic>
                  <pic:nvPicPr>
                    <pic:cNvPr descr="/private/tmp/claude-501/-Users-sudipto-Desktop-projects-accubook/c277cf12-a75d-42eb-a282-70d38dbc59e8/scratchpad/d32.png" id="212" name="Picture"/>
                    <pic:cNvPicPr>
                      <a:picLocks noChangeArrowheads="1" noChangeAspect="1"/>
                    </pic:cNvPicPr>
                  </pic:nvPicPr>
                  <pic:blipFill>
                    <a:blip r:embed="rId210"/>
                    <a:stretch>
                      <a:fillRect/>
                    </a:stretch>
                  </pic:blipFill>
                  <pic:spPr bwMode="auto">
                    <a:xfrm>
                      <a:off x="0" y="0"/>
                      <a:ext cx="5334000" cy="5401094"/>
                    </a:xfrm>
                    <a:prstGeom prst="rect">
                      <a:avLst/>
                    </a:prstGeom>
                    <a:noFill/>
                    <a:ln w="9525">
                      <a:noFill/>
                      <a:headEnd/>
                      <a:tailEnd/>
                    </a:ln>
                  </pic:spPr>
                </pic:pic>
              </a:graphicData>
            </a:graphic>
          </wp:inline>
        </w:drawing>
      </w:r>
    </w:p>
    <w:bookmarkEnd w:id="213"/>
    <w:bookmarkStart w:id="214" w:name="alerts"/>
    <w:p>
      <w:pPr>
        <w:pStyle w:val="Heading3"/>
      </w:pPr>
      <w:r>
        <w:t xml:space="preserve">27.2 Alerts</w:t>
      </w:r>
    </w:p>
    <w:p>
      <w:pPr>
        <w:pStyle w:val="FirstParagraph"/>
      </w:pPr>
      <w:r>
        <w:t xml:space="preserve">Each alert has a runbook.</w:t>
      </w:r>
      <w:r>
        <w:t xml:space="preserve"> </w:t>
      </w:r>
      <w:r>
        <w:rPr>
          <w:b/>
          <w:bCs/>
        </w:rPr>
        <w:t xml:space="preserve">[JUDGEMENT]</w:t>
      </w:r>
      <w:r>
        <w:t xml:space="preserve"> </w:t>
      </w:r>
      <w:r>
        <w:t xml:space="preserve">An alert without a runbook is a 3 a.m. research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t xml:space="preserve">Threshold</w:t>
            </w:r>
          </w:p>
        </w:tc>
        <w:tc>
          <w:tcPr/>
          <w:p>
            <w:pPr>
              <w:pStyle w:val="Compact"/>
            </w:pPr>
            <w:r>
              <w:t xml:space="preserve">Runbook answers</w:t>
            </w:r>
          </w:p>
        </w:tc>
      </w:tr>
      <w:tr>
        <w:tc>
          <w:tcPr/>
          <w:p>
            <w:pPr>
              <w:pStyle w:val="Compact"/>
            </w:pPr>
            <w:r>
              <w:rPr>
                <w:b/>
                <w:bCs/>
              </w:rPr>
              <w:t xml:space="preserve">Trial balance mismatch</w:t>
            </w:r>
          </w:p>
        </w:tc>
        <w:tc>
          <w:tcPr/>
          <w:p>
            <w:pPr>
              <w:pStyle w:val="Compact"/>
            </w:pPr>
            <w:r>
              <w:t xml:space="preserve">Any</w:t>
            </w:r>
          </w:p>
        </w:tc>
        <w:tc>
          <w:tcPr/>
          <w:p>
            <w:pPr>
              <w:pStyle w:val="Compact"/>
            </w:pPr>
            <w:r>
              <w:t xml:space="preserve">Which tenant, which period, which voucher — §14.6</w:t>
            </w:r>
          </w:p>
        </w:tc>
      </w:tr>
      <w:tr>
        <w:tc>
          <w:tcPr/>
          <w:p>
            <w:pPr>
              <w:pStyle w:val="Compact"/>
            </w:pPr>
            <w:r>
              <w:t xml:space="preserve">Migration drift across placements</w:t>
            </w:r>
          </w:p>
        </w:tc>
        <w:tc>
          <w:tcPr/>
          <w:p>
            <w:pPr>
              <w:pStyle w:val="Compact"/>
            </w:pPr>
            <w:r>
              <w:t xml:space="preserve">Any</w:t>
            </w:r>
          </w:p>
        </w:tc>
        <w:tc>
          <w:tcPr/>
          <w:p>
            <w:pPr>
              <w:pStyle w:val="Compact"/>
            </w:pPr>
            <w:r>
              <w:t xml:space="preserve">Which placement, which migration</w:t>
            </w:r>
          </w:p>
        </w:tc>
      </w:tr>
      <w:tr>
        <w:tc>
          <w:tcPr/>
          <w:p>
            <w:pPr>
              <w:pStyle w:val="Compact"/>
            </w:pPr>
            <w:r>
              <w:t xml:space="preserve">Connection pool saturation</w:t>
            </w:r>
          </w:p>
        </w:tc>
        <w:tc>
          <w:tcPr/>
          <w:p>
            <w:pPr>
              <w:pStyle w:val="Compact"/>
            </w:pPr>
            <w:r>
              <w:t xml:space="preserve">&gt;80% for 5 min</w:t>
            </w:r>
          </w:p>
        </w:tc>
        <w:tc>
          <w:tcPr/>
          <w:p>
            <w:pPr>
              <w:pStyle w:val="Compact"/>
            </w:pPr>
            <w:r>
              <w:t xml:space="preserve">Scale, or find the leak</w:t>
            </w:r>
          </w:p>
        </w:tc>
      </w:tr>
      <w:tr>
        <w:tc>
          <w:tcPr/>
          <w:p>
            <w:pPr>
              <w:pStyle w:val="Compact"/>
            </w:pPr>
            <w:r>
              <w:t xml:space="preserve">Job queue depth</w:t>
            </w:r>
          </w:p>
        </w:tc>
        <w:tc>
          <w:tcPr/>
          <w:p>
            <w:pPr>
              <w:pStyle w:val="Compact"/>
            </w:pPr>
            <w:r>
              <w:t xml:space="preserve">&gt;N for 10 min, or any critical dead-letter</w:t>
            </w:r>
          </w:p>
        </w:tc>
        <w:tc>
          <w:tcPr/>
          <w:p>
            <w:pPr>
              <w:pStyle w:val="Compact"/>
            </w:pPr>
            <w:r>
              <w:t xml:space="preserve">Which queue, which tenant</w:t>
            </w:r>
          </w:p>
        </w:tc>
      </w:tr>
      <w:tr>
        <w:tc>
          <w:tcPr/>
          <w:p>
            <w:pPr>
              <w:pStyle w:val="Compact"/>
            </w:pPr>
            <w:r>
              <w:t xml:space="preserve">Replication lag</w:t>
            </w:r>
          </w:p>
        </w:tc>
        <w:tc>
          <w:tcPr/>
          <w:p>
            <w:pPr>
              <w:pStyle w:val="Compact"/>
            </w:pPr>
            <w:r>
              <w:t xml:space="preserve">&gt;30 s</w:t>
            </w:r>
          </w:p>
        </w:tc>
        <w:tc>
          <w:tcPr/>
          <w:p>
            <w:pPr>
              <w:pStyle w:val="Compact"/>
            </w:pPr>
            <w:r>
              <w:t xml:space="preserve">Reporting degrades before posting does</w:t>
            </w:r>
          </w:p>
        </w:tc>
      </w:tr>
      <w:tr>
        <w:tc>
          <w:tcPr/>
          <w:p>
            <w:pPr>
              <w:pStyle w:val="Compact"/>
            </w:pPr>
            <w:r>
              <w:t xml:space="preserve">Backup age</w:t>
            </w:r>
          </w:p>
        </w:tc>
        <w:tc>
          <w:tcPr/>
          <w:p>
            <w:pPr>
              <w:pStyle w:val="Compact"/>
            </w:pPr>
            <w:r>
              <w:t xml:space="preserve">&gt;24 h</w:t>
            </w:r>
          </w:p>
        </w:tc>
        <w:tc>
          <w:tcPr/>
          <w:p>
            <w:pPr>
              <w:pStyle w:val="Compact"/>
            </w:pPr>
            <w:r>
              <w:t xml:space="preserve">The most-ignored alert in most systems</w:t>
            </w:r>
          </w:p>
        </w:tc>
      </w:tr>
      <w:tr>
        <w:tc>
          <w:tcPr/>
          <w:p>
            <w:pPr>
              <w:pStyle w:val="Compact"/>
            </w:pPr>
            <w:r>
              <w:t xml:space="preserve">Transaction-ID wraparound</w:t>
            </w:r>
          </w:p>
        </w:tc>
        <w:tc>
          <w:tcPr/>
          <w:p>
            <w:pPr>
              <w:pStyle w:val="Compact"/>
            </w:pPr>
            <w:r>
              <w:t xml:space="preserve">Standard threshold</w:t>
            </w:r>
          </w:p>
        </w:tc>
        <w:tc>
          <w:tcPr/>
          <w:p>
            <w:pPr>
              <w:pStyle w:val="Compact"/>
            </w:pPr>
            <w:r>
              <w:t xml:space="preserve">The one that takes the whole database down</w:t>
            </w:r>
          </w:p>
        </w:tc>
      </w:tr>
      <w:tr>
        <w:tc>
          <w:tcPr/>
          <w:p>
            <w:pPr>
              <w:pStyle w:val="Compact"/>
            </w:pPr>
            <w:r>
              <w:t xml:space="preserve">Error rate by route</w:t>
            </w:r>
          </w:p>
        </w:tc>
        <w:tc>
          <w:tcPr/>
          <w:p>
            <w:pPr>
              <w:pStyle w:val="Compact"/>
            </w:pPr>
            <w:r>
              <w:t xml:space="preserve">Baseline deviation</w:t>
            </w:r>
          </w:p>
        </w:tc>
        <w:tc>
          <w:tcPr/>
          <w:p>
            <w:pPr>
              <w:pStyle w:val="Compact"/>
            </w:pPr>
          </w:p>
        </w:tc>
      </w:tr>
      <w:tr>
        <w:tc>
          <w:tcPr/>
          <w:p>
            <w:pPr>
              <w:pStyle w:val="Compact"/>
            </w:pPr>
            <w:r>
              <w:t xml:space="preserve">E-invoice submission failure</w:t>
            </w:r>
          </w:p>
        </w:tc>
        <w:tc>
          <w:tcPr/>
          <w:p>
            <w:pPr>
              <w:pStyle w:val="Compact"/>
            </w:pPr>
            <w:r>
              <w:t xml:space="preserve">Any sustained</w:t>
            </w:r>
          </w:p>
        </w:tc>
        <w:tc>
          <w:tcPr/>
          <w:p>
            <w:pPr>
              <w:pStyle w:val="Compact"/>
            </w:pPr>
            <w:r>
              <w:t xml:space="preserve">Statutory deadline pressure</w:t>
            </w:r>
          </w:p>
        </w:tc>
      </w:tr>
      <w:tr>
        <w:tc>
          <w:tcPr/>
          <w:p>
            <w:pPr>
              <w:pStyle w:val="Compact"/>
            </w:pPr>
            <w:r>
              <w:t xml:space="preserve">RLS policy count changed</w:t>
            </w:r>
          </w:p>
        </w:tc>
        <w:tc>
          <w:tcPr/>
          <w:p>
            <w:pPr>
              <w:pStyle w:val="Compact"/>
            </w:pPr>
            <w:r>
              <w:t xml:space="preserve">Any</w:t>
            </w:r>
          </w:p>
        </w:tc>
        <w:tc>
          <w:tcPr/>
          <w:p>
            <w:pPr>
              <w:pStyle w:val="Compact"/>
            </w:pPr>
            <w:r>
              <w:t xml:space="preserve">A policy was dropped; that is a security event</w:t>
            </w:r>
          </w:p>
        </w:tc>
      </w:tr>
    </w:tbl>
    <w:bookmarkEnd w:id="214"/>
    <w:bookmarkStart w:id="215" w:name="per-tenant-health-without-cardinality"/>
    <w:p>
      <w:pPr>
        <w:pStyle w:val="Heading3"/>
      </w:pPr>
      <w:r>
        <w:t xml:space="preserve">27.3 Per-tenant health, without cardinality</w:t>
      </w:r>
    </w:p>
    <w:p>
      <w:pPr>
        <w:pStyle w:val="FirstParagraph"/>
      </w:pPr>
      <w:r>
        <w:rPr>
          <w:rStyle w:val="VerbatimChar"/>
        </w:rPr>
        <w:t xml:space="preserve">tenant_health</w:t>
      </w:r>
      <w:r>
        <w:t xml:space="preserve"> </w:t>
      </w:r>
      <w:r>
        <w:t xml:space="preserve">rows, recomputed on a schedule: error rate, p95 latency, storage, job backlog, failed logins, last activity.</w:t>
      </w:r>
      <w:r>
        <w:t xml:space="preserve"> </w:t>
      </w:r>
      <w:r>
        <w:rPr>
          <w:b/>
          <w:bCs/>
        </w:rPr>
        <w:t xml:space="preserve">[JUDGEMENT]</w:t>
      </w:r>
      <w:r>
        <w:t xml:space="preserve"> </w:t>
      </w:r>
      <w:r>
        <w:t xml:space="preserve">This is the table support asks first —</w:t>
      </w:r>
      <w:r>
        <w:t xml:space="preserve"> </w:t>
      </w:r>
      <w:r>
        <w:t xml:space="preserve">“is this customer’s problem theirs or ours?”</w:t>
      </w:r>
      <w:r>
        <w:t xml:space="preserve"> </w:t>
      </w:r>
      <w:r>
        <w:t xml:space="preserve">— and it doubles as the churn signal and the noisy-neighbour detector.</w:t>
      </w:r>
    </w:p>
    <w:bookmarkEnd w:id="215"/>
    <w:bookmarkStart w:id="216" w:name="redaction"/>
    <w:p>
      <w:pPr>
        <w:pStyle w:val="Heading3"/>
      </w:pPr>
      <w:r>
        <w:t xml:space="preserve">27.4 Redaction</w:t>
      </w:r>
    </w:p>
    <w:p>
      <w:pPr>
        <w:pStyle w:val="FirstParagraph"/>
      </w:pPr>
      <w:r>
        <w:t xml:space="preserve">Structured logging with an explicit allow-list. Never logged: GSTINs, PANs, bank accounts, full names in error payloads, document contents, credentials, session tokens.</w:t>
      </w:r>
      <w:r>
        <w:t xml:space="preserve"> </w:t>
      </w:r>
      <w:r>
        <w:rPr>
          <w:b/>
          <w:bCs/>
        </w:rPr>
        <w:t xml:space="preserve">[JUDGEMENT]</w:t>
      </w:r>
      <w:r>
        <w:t xml:space="preserve"> </w:t>
      </w:r>
      <w:r>
        <w:t xml:space="preserve">Error-tracking payloads are the usual leak — a Sentry event containing a full request body is a copy of tenant financial data in a third-party system, and it is outside RLS, outside audit, and inside the sub-processor list whether or not anyone declared it.</w:t>
      </w:r>
    </w:p>
    <w:bookmarkEnd w:id="216"/>
    <w:bookmarkEnd w:id="217"/>
    <w:bookmarkStart w:id="224" w:name="deployment-architecture"/>
    <w:p>
      <w:pPr>
        <w:pStyle w:val="Heading2"/>
      </w:pPr>
      <w:r>
        <w:t xml:space="preserve">28. Deployment architecture</w:t>
      </w:r>
    </w:p>
    <w:bookmarkStart w:id="218" w:name="environments"/>
    <w:p>
      <w:pPr>
        <w:pStyle w:val="Heading3"/>
      </w:pPr>
      <w:r>
        <w:t xml:space="preserve">28.1 Environments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Environment</w:t>
            </w:r>
          </w:p>
        </w:tc>
        <w:tc>
          <w:tcPr/>
          <w:p>
            <w:pPr>
              <w:pStyle w:val="Compact"/>
            </w:pPr>
            <w:r>
              <w:t xml:space="preserve">Data</w:t>
            </w:r>
          </w:p>
        </w:tc>
        <w:tc>
          <w:tcPr/>
          <w:p>
            <w:pPr>
              <w:pStyle w:val="Compact"/>
            </w:pPr>
            <w:r>
              <w:t xml:space="preserve">Rule</w:t>
            </w:r>
          </w:p>
        </w:tc>
      </w:tr>
      <w:tr>
        <w:tc>
          <w:tcPr/>
          <w:p>
            <w:pPr>
              <w:pStyle w:val="Compact"/>
            </w:pPr>
            <w:r>
              <w:t xml:space="preserve">Local</w:t>
            </w:r>
          </w:p>
        </w:tc>
        <w:tc>
          <w:tcPr/>
          <w:p>
            <w:pPr>
              <w:pStyle w:val="Compact"/>
            </w:pPr>
            <w:r>
              <w:t xml:space="preserve">Seeded fixtures</w:t>
            </w:r>
          </w:p>
        </w:tc>
        <w:tc>
          <w:tcPr/>
          <w:p>
            <w:pPr>
              <w:pStyle w:val="Compact"/>
            </w:pPr>
            <w:r>
              <w:t xml:space="preserve">Never a production dump</w:t>
            </w:r>
          </w:p>
        </w:tc>
      </w:tr>
      <w:tr>
        <w:tc>
          <w:tcPr/>
          <w:p>
            <w:pPr>
              <w:pStyle w:val="Compact"/>
            </w:pPr>
            <w:r>
              <w:rPr>
                <w:b/>
                <w:bCs/>
              </w:rPr>
              <w:t xml:space="preserve">Preview (per PR)</w:t>
            </w:r>
          </w:p>
        </w:tc>
        <w:tc>
          <w:tcPr/>
          <w:p>
            <w:pPr>
              <w:pStyle w:val="Compact"/>
            </w:pPr>
            <w:r>
              <w:rPr>
                <w:b/>
                <w:bCs/>
              </w:rPr>
              <w:t xml:space="preserve">Its own database branch</w:t>
            </w:r>
          </w:p>
        </w:tc>
        <w:tc>
          <w:tcPr/>
          <w:p>
            <w:pPr>
              <w:pStyle w:val="Compact"/>
            </w:pPr>
            <w:r>
              <w:rPr>
                <w:b/>
                <w:bCs/>
              </w:rPr>
              <w:t xml:space="preserve">[A §45.3]</w:t>
            </w:r>
            <w:r>
              <w:t xml:space="preserve"> </w:t>
            </w:r>
            <w:r>
              <w:t xml:space="preserve">— today previews read and write production. This is the highest-value single fix available</w:t>
            </w:r>
          </w:p>
        </w:tc>
      </w:tr>
      <w:tr>
        <w:tc>
          <w:tcPr/>
          <w:p>
            <w:pPr>
              <w:pStyle w:val="Compact"/>
            </w:pPr>
            <w:r>
              <w:t xml:space="preserve">Staging</w:t>
            </w:r>
          </w:p>
        </w:tc>
        <w:tc>
          <w:tcPr/>
          <w:p>
            <w:pPr>
              <w:pStyle w:val="Compact"/>
            </w:pPr>
            <w:r>
              <w:t xml:space="preserve">Anonymised, production-shaped</w:t>
            </w:r>
          </w:p>
        </w:tc>
        <w:tc>
          <w:tcPr/>
          <w:p>
            <w:pPr>
              <w:pStyle w:val="Compact"/>
            </w:pPr>
            <w:r>
              <w:t xml:space="preserve">Migration rehearsal, load testing</w:t>
            </w:r>
          </w:p>
        </w:tc>
      </w:tr>
      <w:tr>
        <w:tc>
          <w:tcPr/>
          <w:p>
            <w:pPr>
              <w:pStyle w:val="Compact"/>
            </w:pPr>
            <w:r>
              <w:t xml:space="preserve">Production</w:t>
            </w:r>
          </w:p>
        </w:tc>
        <w:tc>
          <w:tcPr/>
          <w:p>
            <w:pPr>
              <w:pStyle w:val="Compact"/>
            </w:pPr>
            <w:r>
              <w:t xml:space="preserve">Real</w:t>
            </w:r>
          </w:p>
        </w:tc>
        <w:tc>
          <w:tcPr/>
          <w:p>
            <w:pPr>
              <w:pStyle w:val="Compact"/>
            </w:pPr>
            <w:r>
              <w:t xml:space="preserve">Migrations run only here</w:t>
            </w:r>
            <w:r>
              <w:t xml:space="preserve"> </w:t>
            </w:r>
            <w:r>
              <w:rPr>
                <w:b/>
                <w:bCs/>
              </w:rPr>
              <w:t xml:space="preserve">[VERIFIED-REPO]</w:t>
            </w:r>
          </w:p>
        </w:tc>
      </w:tr>
    </w:tbl>
    <w:bookmarkEnd w:id="218"/>
    <w:bookmarkStart w:id="222" w:name="migration-discipline"/>
    <w:p>
      <w:pPr>
        <w:pStyle w:val="Heading3"/>
      </w:pPr>
      <w:r>
        <w:t xml:space="preserve">28.2 Migration discipline</w:t>
      </w:r>
    </w:p>
    <w:p>
      <w:pPr>
        <w:pStyle w:val="FirstParagraph"/>
      </w:pPr>
      <w:r>
        <w:rPr>
          <w:b/>
          <w:bCs/>
        </w:rPr>
        <w:t xml:space="preserve">[PATTERN]</w:t>
      </w:r>
      <w:r>
        <w:t xml:space="preserve"> </w:t>
      </w:r>
      <w:r>
        <w:t xml:space="preserve">Expand/contract, always, in separate releases:</w:t>
      </w:r>
    </w:p>
    <w:p>
      <w:pPr>
        <w:pStyle w:val="BodyText"/>
      </w:pPr>
      <w:r>
        <w:drawing>
          <wp:inline>
            <wp:extent cx="5334000" cy="625928"/>
            <wp:effectExtent b="0" l="0" r="0" t="0"/>
            <wp:docPr descr="" title="" id="220" name="Picture"/>
            <a:graphic>
              <a:graphicData uri="http://schemas.openxmlformats.org/drawingml/2006/picture">
                <pic:pic>
                  <pic:nvPicPr>
                    <pic:cNvPr descr="/private/tmp/claude-501/-Users-sudipto-Desktop-projects-accubook/c277cf12-a75d-42eb-a282-70d38dbc59e8/scratchpad/d33.png" id="221" name="Picture"/>
                    <pic:cNvPicPr>
                      <a:picLocks noChangeArrowheads="1" noChangeAspect="1"/>
                    </pic:cNvPicPr>
                  </pic:nvPicPr>
                  <pic:blipFill>
                    <a:blip r:embed="rId219"/>
                    <a:stretch>
                      <a:fillRect/>
                    </a:stretch>
                  </pic:blipFill>
                  <pic:spPr bwMode="auto">
                    <a:xfrm>
                      <a:off x="0" y="0"/>
                      <a:ext cx="5334000" cy="625928"/>
                    </a:xfrm>
                    <a:prstGeom prst="rect">
                      <a:avLst/>
                    </a:prstGeom>
                    <a:noFill/>
                    <a:ln w="9525">
                      <a:noFill/>
                      <a:headEnd/>
                      <a:tailEnd/>
                    </a:ln>
                  </pic:spPr>
                </pic:pic>
              </a:graphicData>
            </a:graphic>
          </wp:inline>
        </w:drawing>
      </w:r>
    </w:p>
    <w:p>
      <w:pPr>
        <w:pStyle w:val="BodyText"/>
      </w:pPr>
      <w:r>
        <w:rPr>
          <w:b/>
          <w:bCs/>
        </w:rPr>
        <w:t xml:space="preserve">[VERIFIED-REPO]</w:t>
      </w:r>
      <w:r>
        <w:t xml:space="preserve"> </w:t>
      </w:r>
      <w:r>
        <w:rPr>
          <w:rStyle w:val="VerbatimChar"/>
        </w:rPr>
        <w:t xml:space="preserve">scripts/migrate-on-deploy.mjs</w:t>
      </w:r>
      <w:r>
        <w:t xml:space="preserve"> </w:t>
      </w:r>
      <w:r>
        <w:t xml:space="preserve">restricts</w:t>
      </w:r>
      <w:r>
        <w:t xml:space="preserve"> </w:t>
      </w:r>
      <w:r>
        <w:rPr>
          <w:rStyle w:val="VerbatimChar"/>
        </w:rPr>
        <w:t xml:space="preserve">prisma migrate deploy</w:t>
      </w:r>
      <w:r>
        <w:t xml:space="preserve"> </w:t>
      </w:r>
      <w:r>
        <w:t xml:space="preserve">to</w:t>
      </w:r>
      <w:r>
        <w:t xml:space="preserve"> </w:t>
      </w:r>
      <w:r>
        <w:rPr>
          <w:rStyle w:val="VerbatimChar"/>
        </w:rPr>
        <w:t xml:space="preserve">VERCEL_ENV=production</w:t>
      </w:r>
      <w:r>
        <w:t xml:space="preserve">, with a comment documenting the incident that caused it — preview builds migrating the production database. Keep this behaviour through any deployment change. The remaining weakness is that migrations still run inside the build: acceptable now, untenable once a migration takes minutes, at which point it becomes a separate gated step.</w:t>
      </w:r>
    </w:p>
    <w:bookmarkEnd w:id="222"/>
    <w:bookmarkStart w:id="223" w:name="release-safety"/>
    <w:p>
      <w:pPr>
        <w:pStyle w:val="Heading3"/>
      </w:pPr>
      <w:r>
        <w:t xml:space="preserve">28.3 Release safety</w:t>
      </w:r>
    </w:p>
    <w:p>
      <w:pPr>
        <w:pStyle w:val="FirstParagraph"/>
      </w:pPr>
      <w:r>
        <w:t xml:space="preserve">Feature flags per module and per tenant tier; canary by placement once there is more than one; a rollback that does not require a database rollback (which is why contract is a later release); the</w:t>
      </w:r>
      <w:r>
        <w:t xml:space="preserve"> </w:t>
      </w:r>
      <w:r>
        <w:rPr>
          <w:rStyle w:val="VerbatimChar"/>
        </w:rPr>
        <w:t xml:space="preserve">/api/health</w:t>
      </w:r>
      <w:r>
        <w:t xml:space="preserve"> </w:t>
      </w:r>
      <w:r>
        <w:t xml:space="preserve">migration-drift check as a deploy gate.</w:t>
      </w:r>
    </w:p>
    <w:p>
      <w:r>
        <w:pict>
          <v:rect style="width:0;height:1.5pt" o:hralign="center" o:hrstd="t" o:hr="t"/>
        </w:pict>
      </w:r>
    </w:p>
    <w:p>
      <w:r>
        <w:pict>
          <v:rect style="width:0;height:1.5pt" o:hralign="center" o:hrstd="t" o:hr="t"/>
        </w:pict>
      </w:r>
    </w:p>
    <w:bookmarkEnd w:id="223"/>
    <w:bookmarkEnd w:id="224"/>
    <w:bookmarkEnd w:id="225"/>
    <w:bookmarkStart w:id="268" w:name="part-iii-scaling-0-100000"/>
    <w:p>
      <w:pPr>
        <w:pStyle w:val="Heading1"/>
      </w:pPr>
      <w:r>
        <w:t xml:space="preserve">Part III — Scaling 0 → 100,000</w:t>
      </w:r>
    </w:p>
    <w:p>
      <w:r>
        <w:pict>
          <v:rect style="width:0;height:1.5pt" o:hralign="center" o:hrstd="t" o:hr="t"/>
        </w:pict>
      </w:r>
    </w:p>
    <w:bookmarkStart w:id="249" w:name="the-five-stages"/>
    <w:p>
      <w:pPr>
        <w:pStyle w:val="Heading2"/>
      </w:pPr>
      <w:r>
        <w:t xml:space="preserve">29. The five stages</w:t>
      </w:r>
    </w:p>
    <w:p>
      <w:pPr>
        <w:pStyle w:val="FirstParagraph"/>
      </w:pPr>
      <w:r>
        <w:rPr>
          <w:b/>
          <w:bCs/>
        </w:rPr>
        <w:t xml:space="preserve">[JUDGEMENT]</w:t>
      </w:r>
      <w:r>
        <w:t xml:space="preserve"> </w:t>
      </w:r>
      <w:r>
        <w:t xml:space="preserve">The premise of this Part is a single claim, and it is the claim the whole design exists to support:</w:t>
      </w:r>
    </w:p>
    <w:p>
      <w:pPr>
        <w:pStyle w:val="BlockText"/>
      </w:pPr>
      <w:r>
        <w:rPr>
          <w:b/>
          <w:bCs/>
        </w:rPr>
        <w:t xml:space="preserve">Between Stage 0 and Stage 4, the application code does not change. Only deployment topology and hardware change.</w:t>
      </w:r>
    </w:p>
    <w:p>
      <w:pPr>
        <w:pStyle w:val="FirstParagraph"/>
      </w:pPr>
      <w:r>
        <w:t xml:space="preserve">The domain model does not change. The security model does not change. The module boundaries do not change. If a stage transition required editing business logic, the architecture would be wrong — and every decision in Part II was chosen to keep that true.</w:t>
      </w:r>
    </w:p>
    <w:p>
      <w:pPr>
        <w:pStyle w:val="BodyText"/>
      </w:pPr>
      <w:r>
        <w:t xml:space="preserve">What follows is, for each stage: the trigger that starts it, the topology, what gets built, what it costs, and what breaks if you arrive there unprepared.</w:t>
      </w:r>
    </w:p>
    <w:p>
      <w:pPr>
        <w:pStyle w:val="BodyText"/>
      </w:pPr>
      <w:r>
        <w:drawing>
          <wp:inline>
            <wp:extent cx="5334000" cy="1489982"/>
            <wp:effectExtent b="0" l="0" r="0" t="0"/>
            <wp:docPr descr="" title="" id="227" name="Picture"/>
            <a:graphic>
              <a:graphicData uri="http://schemas.openxmlformats.org/drawingml/2006/picture">
                <pic:pic>
                  <pic:nvPicPr>
                    <pic:cNvPr descr="/private/tmp/claude-501/-Users-sudipto-Desktop-projects-accubook/c277cf12-a75d-42eb-a282-70d38dbc59e8/scratchpad/d34.png" id="228" name="Picture"/>
                    <pic:cNvPicPr>
                      <a:picLocks noChangeArrowheads="1" noChangeAspect="1"/>
                    </pic:cNvPicPr>
                  </pic:nvPicPr>
                  <pic:blipFill>
                    <a:blip r:embed="rId226"/>
                    <a:stretch>
                      <a:fillRect/>
                    </a:stretch>
                  </pic:blipFill>
                  <pic:spPr bwMode="auto">
                    <a:xfrm>
                      <a:off x="0" y="0"/>
                      <a:ext cx="5334000" cy="1489982"/>
                    </a:xfrm>
                    <a:prstGeom prst="rect">
                      <a:avLst/>
                    </a:prstGeom>
                    <a:noFill/>
                    <a:ln w="9525">
                      <a:noFill/>
                      <a:headEnd/>
                      <a:tailEnd/>
                    </a:ln>
                  </pic:spPr>
                </pic:pic>
              </a:graphicData>
            </a:graphic>
          </wp:inline>
        </w:drawing>
      </w:r>
    </w:p>
    <w:bookmarkStart w:id="232" w:name="stage-0-prove-0-100-tenants"/>
    <w:p>
      <w:pPr>
        <w:pStyle w:val="Heading3"/>
      </w:pPr>
      <w:r>
        <w:t xml:space="preserve">29.1 Stage 0 — Prove (0 → 100 tenants)</w:t>
      </w:r>
    </w:p>
    <w:p>
      <w:pPr>
        <w:pStyle w:val="FirstParagraph"/>
      </w:pPr>
      <w:r>
        <w:rPr>
          <w:b/>
          <w:bCs/>
        </w:rPr>
        <w:t xml:space="preserve">Goal:</w:t>
      </w:r>
      <w:r>
        <w:t xml:space="preserve"> </w:t>
      </w:r>
      <w:r>
        <w:t xml:space="preserve">the numbers are right and the isolation is real. Nothing else matters yet.</w:t>
      </w:r>
    </w:p>
    <w:p>
      <w:pPr>
        <w:pStyle w:val="BodyText"/>
      </w:pPr>
      <w:r>
        <w:drawing>
          <wp:inline>
            <wp:extent cx="5334000" cy="5157877"/>
            <wp:effectExtent b="0" l="0" r="0" t="0"/>
            <wp:docPr descr="" title="" id="230" name="Picture"/>
            <a:graphic>
              <a:graphicData uri="http://schemas.openxmlformats.org/drawingml/2006/picture">
                <pic:pic>
                  <pic:nvPicPr>
                    <pic:cNvPr descr="/private/tmp/claude-501/-Users-sudipto-Desktop-projects-accubook/c277cf12-a75d-42eb-a282-70d38dbc59e8/scratchpad/d35.png" id="231" name="Picture"/>
                    <pic:cNvPicPr>
                      <a:picLocks noChangeArrowheads="1" noChangeAspect="1"/>
                    </pic:cNvPicPr>
                  </pic:nvPicPr>
                  <pic:blipFill>
                    <a:blip r:embed="rId229"/>
                    <a:stretch>
                      <a:fillRect/>
                    </a:stretch>
                  </pic:blipFill>
                  <pic:spPr bwMode="auto">
                    <a:xfrm>
                      <a:off x="0" y="0"/>
                      <a:ext cx="5334000" cy="5157877"/>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Build</w:t>
            </w:r>
          </w:p>
        </w:tc>
        <w:tc>
          <w:tcPr/>
          <w:p>
            <w:pPr>
              <w:pStyle w:val="Compact"/>
            </w:pPr>
            <w:r>
              <w:t xml:space="preserve">The five gates;</w:t>
            </w:r>
            <w:r>
              <w:t xml:space="preserve"> </w:t>
            </w:r>
            <w:r>
              <w:rPr>
                <w:rStyle w:val="VerbatimChar"/>
              </w:rPr>
              <w:t xml:space="preserve">organizationId</w:t>
            </w:r>
            <w:r>
              <w:t xml:space="preserve"> </w:t>
            </w:r>
            <w:r>
              <w:t xml:space="preserve">everywhere + composite FKs; RLS on every tenant table; the control-plane schema (same cluster);</w:t>
            </w:r>
            <w:r>
              <w:t xml:space="preserve"> </w:t>
            </w:r>
            <w:r>
              <w:rPr>
                <w:rStyle w:val="VerbatimChar"/>
              </w:rPr>
              <w:t xml:space="preserve">tenant_placement</w:t>
            </w:r>
            <w:r>
              <w:t xml:space="preserve"> </w:t>
            </w:r>
            <w:r>
              <w:t xml:space="preserve">returning</w:t>
            </w:r>
            <w:r>
              <w:t xml:space="preserve"> </w:t>
            </w:r>
            <w:r>
              <w:rPr>
                <w:rStyle w:val="VerbatimChar"/>
              </w:rPr>
              <w:t xml:space="preserve">POOL-01</w:t>
            </w:r>
            <w:r>
              <w:t xml:space="preserve">; the jobs table and one worker; the isolation matrix; timeouts; per-PR preview databases</w:t>
            </w:r>
          </w:p>
        </w:tc>
      </w:tr>
      <w:tr>
        <w:tc>
          <w:tcPr/>
          <w:p>
            <w:pPr>
              <w:pStyle w:val="Compact"/>
            </w:pPr>
            <w:r>
              <w:rPr>
                <w:b/>
                <w:bCs/>
              </w:rPr>
              <w:t xml:space="preserve">Skip</w:t>
            </w:r>
          </w:p>
        </w:tc>
        <w:tc>
          <w:tcPr/>
          <w:p>
            <w:pPr>
              <w:pStyle w:val="Compact"/>
            </w:pPr>
            <w:r>
              <w:t xml:space="preserve">Read replicas, partitioning, sharding, multi-placement, autoscaling, a second region</w:t>
            </w:r>
          </w:p>
        </w:tc>
      </w:tr>
      <w:tr>
        <w:tc>
          <w:tcPr/>
          <w:p>
            <w:pPr>
              <w:pStyle w:val="Compact"/>
            </w:pPr>
            <w:r>
              <w:rPr>
                <w:b/>
                <w:bCs/>
              </w:rPr>
              <w:t xml:space="preserve">Team</w:t>
            </w:r>
          </w:p>
        </w:tc>
        <w:tc>
          <w:tcPr/>
          <w:p>
            <w:pPr>
              <w:pStyle w:val="Compact"/>
            </w:pPr>
            <w:r>
              <w:t xml:space="preserve">2–3 engineers</w:t>
            </w:r>
          </w:p>
        </w:tc>
      </w:tr>
      <w:tr>
        <w:tc>
          <w:tcPr/>
          <w:p>
            <w:pPr>
              <w:pStyle w:val="Compact"/>
            </w:pPr>
            <w:r>
              <w:rPr>
                <w:b/>
                <w:bCs/>
              </w:rPr>
              <w:t xml:space="preserve">Cost</w:t>
            </w:r>
          </w:p>
        </w:tc>
        <w:tc>
          <w:tcPr/>
          <w:p>
            <w:pPr>
              <w:pStyle w:val="Compact"/>
            </w:pPr>
            <w:r>
              <w:rPr>
                <w:b/>
                <w:bCs/>
              </w:rPr>
              <w:t xml:space="preserve">[VENDOR-CHECK]</w:t>
            </w:r>
            <w:r>
              <w:t xml:space="preserve"> </w:t>
            </w:r>
            <w:r>
              <w:t xml:space="preserve">roughly ₹15,000–40,000/month all-in at this size — re-verify against current Neon, Vercel and Upstash pricing</w:t>
            </w:r>
          </w:p>
        </w:tc>
      </w:tr>
      <w:tr>
        <w:tc>
          <w:tcPr/>
          <w:p>
            <w:pPr>
              <w:pStyle w:val="Compact"/>
            </w:pPr>
            <w:r>
              <w:rPr>
                <w:b/>
                <w:bCs/>
              </w:rPr>
              <w:t xml:space="preserve">Watch</w:t>
            </w:r>
          </w:p>
        </w:tc>
        <w:tc>
          <w:tcPr/>
          <w:p>
            <w:pPr>
              <w:pStyle w:val="Compact"/>
            </w:pPr>
            <w:r>
              <w:t xml:space="preserve">p95 latency; RLS overhead per table against the 5 ms budget; trial-balance reconciliation</w:t>
            </w:r>
          </w:p>
        </w:tc>
      </w:tr>
    </w:tbl>
    <w:p>
      <w:pPr>
        <w:pStyle w:val="BodyText"/>
      </w:pPr>
      <w:r>
        <w:rPr>
          <w:b/>
          <w:bCs/>
        </w:rPr>
        <w:t xml:space="preserve">[JUDGEMENT]</w:t>
      </w:r>
      <w:r>
        <w:t xml:space="preserve"> </w:t>
      </w:r>
      <w:r>
        <w:t xml:space="preserve">Every item in</w:t>
      </w:r>
      <w:r>
        <w:t xml:space="preserve"> </w:t>
      </w:r>
      <w:r>
        <w:t xml:space="preserve">“Build”</w:t>
      </w:r>
      <w:r>
        <w:t xml:space="preserve"> </w:t>
      </w:r>
      <w:r>
        <w:t xml:space="preserve">is either an invariant from §1.3 or something that is disproportionately expensive later. Everything in</w:t>
      </w:r>
      <w:r>
        <w:t xml:space="preserve"> </w:t>
      </w:r>
      <w:r>
        <w:t xml:space="preserve">“Skip”</w:t>
      </w:r>
      <w:r>
        <w:t xml:space="preserve"> </w:t>
      </w:r>
      <w:r>
        <w:t xml:space="preserve">is reversible and cheap to add. That asymmetry is the entire basis for the sequencing.</w:t>
      </w:r>
    </w:p>
    <w:bookmarkEnd w:id="232"/>
    <w:bookmarkStart w:id="236" w:name="stage-1-commercial-100-1000"/>
    <w:p>
      <w:pPr>
        <w:pStyle w:val="Heading3"/>
      </w:pPr>
      <w:r>
        <w:t xml:space="preserve">29.2 Stage 1 — Commercial (100 → 1,000)</w:t>
      </w:r>
    </w:p>
    <w:p>
      <w:pPr>
        <w:pStyle w:val="FirstParagraph"/>
      </w:pPr>
      <w:r>
        <w:rPr>
          <w:b/>
          <w:bCs/>
        </w:rPr>
        <w:t xml:space="preserve">Trigger:</w:t>
      </w:r>
      <w:r>
        <w:t xml:space="preserve"> </w:t>
      </w:r>
      <w:r>
        <w:t xml:space="preserve">you have paying customers, or you want them.</w:t>
      </w:r>
      <w:r>
        <w:t xml:space="preserve"> </w:t>
      </w:r>
      <w:r>
        <w:rPr>
          <w:b/>
          <w:bCs/>
        </w:rPr>
        <w:t xml:space="preserve">[JUDGEMENT]</w:t>
      </w:r>
      <w:r>
        <w:t xml:space="preserve"> </w:t>
      </w:r>
      <w:r>
        <w:t xml:space="preserve">In practice this stage begins the day someone asks to pay you and you have no mechanism to accept it.</w:t>
      </w:r>
    </w:p>
    <w:p>
      <w:pPr>
        <w:pStyle w:val="BodyText"/>
      </w:pPr>
      <w:r>
        <w:drawing>
          <wp:inline>
            <wp:extent cx="5334000" cy="5790345"/>
            <wp:effectExtent b="0" l="0" r="0" t="0"/>
            <wp:docPr descr="" title="" id="234" name="Picture"/>
            <a:graphic>
              <a:graphicData uri="http://schemas.openxmlformats.org/drawingml/2006/picture">
                <pic:pic>
                  <pic:nvPicPr>
                    <pic:cNvPr descr="/private/tmp/claude-501/-Users-sudipto-Desktop-projects-accubook/c277cf12-a75d-42eb-a282-70d38dbc59e8/scratchpad/d36.png" id="235" name="Picture"/>
                    <pic:cNvPicPr>
                      <a:picLocks noChangeArrowheads="1" noChangeAspect="1"/>
                    </pic:cNvPicPr>
                  </pic:nvPicPr>
                  <pic:blipFill>
                    <a:blip r:embed="rId233"/>
                    <a:stretch>
                      <a:fillRect/>
                    </a:stretch>
                  </pic:blipFill>
                  <pic:spPr bwMode="auto">
                    <a:xfrm>
                      <a:off x="0" y="0"/>
                      <a:ext cx="5334000" cy="5790345"/>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Build</w:t>
            </w:r>
          </w:p>
        </w:tc>
        <w:tc>
          <w:tcPr/>
          <w:p>
            <w:pPr>
              <w:pStyle w:val="Compact"/>
            </w:pPr>
            <w:r>
              <w:t xml:space="preserve">Plans, subscriptions, entitlements, usage metering, Razorpay with deduplicated webhooks;</w:t>
            </w:r>
            <w:r>
              <w:t xml:space="preserve"> </w:t>
            </w:r>
            <w:r>
              <w:rPr>
                <w:b/>
                <w:bCs/>
              </w:rPr>
              <w:t xml:space="preserve">read replica</w:t>
            </w:r>
            <w:r>
              <w:t xml:space="preserve"> </w:t>
            </w:r>
            <w:r>
              <w:t xml:space="preserve">for all reporting; T1/T2/T3 report tiering with async T3; hard OCR and storage caps; MFA; observability with runbooks;</w:t>
            </w:r>
            <w:r>
              <w:t xml:space="preserve"> </w:t>
            </w:r>
            <w:r>
              <w:rPr>
                <w:b/>
                <w:bCs/>
              </w:rPr>
              <w:t xml:space="preserve">backup restore verified and rehearsed</w:t>
            </w:r>
          </w:p>
        </w:tc>
      </w:tr>
      <w:tr>
        <w:tc>
          <w:tcPr/>
          <w:p>
            <w:pPr>
              <w:pStyle w:val="Compact"/>
            </w:pPr>
            <w:r>
              <w:rPr>
                <w:b/>
                <w:bCs/>
              </w:rPr>
              <w:t xml:space="preserve">Trigger detail</w:t>
            </w:r>
          </w:p>
        </w:tc>
        <w:tc>
          <w:tcPr/>
          <w:p>
            <w:pPr>
              <w:pStyle w:val="Compact"/>
            </w:pPr>
            <w:r>
              <w:t xml:space="preserve">Reports exceeding the function timeout; support handling more than a few tenants manually</w:t>
            </w:r>
          </w:p>
        </w:tc>
      </w:tr>
      <w:tr>
        <w:tc>
          <w:tcPr/>
          <w:p>
            <w:pPr>
              <w:pStyle w:val="Compact"/>
            </w:pPr>
            <w:r>
              <w:rPr>
                <w:b/>
                <w:bCs/>
              </w:rPr>
              <w:t xml:space="preserve">Cost</w:t>
            </w:r>
          </w:p>
        </w:tc>
        <w:tc>
          <w:tcPr/>
          <w:p>
            <w:pPr>
              <w:pStyle w:val="Compact"/>
            </w:pPr>
            <w:r>
              <w:rPr>
                <w:b/>
                <w:bCs/>
              </w:rPr>
              <w:t xml:space="preserve">[VENDOR-CHECK]</w:t>
            </w:r>
            <w:r>
              <w:t xml:space="preserve"> </w:t>
            </w:r>
            <w:r>
              <w:t xml:space="preserve">roughly ₹60,000–1,50,000/month</w:t>
            </w:r>
          </w:p>
        </w:tc>
      </w:tr>
      <w:tr>
        <w:tc>
          <w:tcPr/>
          <w:p>
            <w:pPr>
              <w:pStyle w:val="Compact"/>
            </w:pPr>
            <w:r>
              <w:rPr>
                <w:b/>
                <w:bCs/>
              </w:rPr>
              <w:t xml:space="preserve">Watch</w:t>
            </w:r>
          </w:p>
        </w:tc>
        <w:tc>
          <w:tcPr/>
          <w:p>
            <w:pPr>
              <w:pStyle w:val="Compact"/>
            </w:pPr>
            <w:r>
              <w:t xml:space="preserve">Report p95; replication lag; margin per tenant — especially OCR</w:t>
            </w:r>
          </w:p>
        </w:tc>
      </w:tr>
    </w:tbl>
    <w:p>
      <w:pPr>
        <w:pStyle w:val="BodyText"/>
      </w:pPr>
      <w:r>
        <w:rPr>
          <w:b/>
          <w:bCs/>
        </w:rPr>
        <w:t xml:space="preserve">[JUDGEMENT]</w:t>
      </w:r>
      <w:r>
        <w:t xml:space="preserve"> </w:t>
      </w:r>
      <w:r>
        <w:t xml:space="preserve">Do not launch commercially without the restore rehearsal. An untested backup is not a backup; it is a belief. The first time you need it will be the first time you find out, and the cost of being wrong is every customer’s books.</w:t>
      </w:r>
    </w:p>
    <w:bookmarkEnd w:id="236"/>
    <w:bookmarkStart w:id="240" w:name="stage-2-operate-1000-10000"/>
    <w:p>
      <w:pPr>
        <w:pStyle w:val="Heading3"/>
      </w:pPr>
      <w:r>
        <w:t xml:space="preserve">29.3 Stage 2 — Operate (1,000 → 10,000)</w:t>
      </w:r>
    </w:p>
    <w:p>
      <w:pPr>
        <w:pStyle w:val="FirstParagraph"/>
      </w:pPr>
      <w:r>
        <w:rPr>
          <w:b/>
          <w:bCs/>
        </w:rPr>
        <w:t xml:space="preserve">Trigger:</w:t>
      </w:r>
      <w:r>
        <w:t xml:space="preserve"> </w:t>
      </w:r>
      <w:r>
        <w:t xml:space="preserve">connection pressure, tables in the tens of millions of rows, and the first tenant whose behaviour affects everyone else.</w:t>
      </w:r>
    </w:p>
    <w:p>
      <w:pPr>
        <w:pStyle w:val="BodyText"/>
      </w:pPr>
      <w:r>
        <w:drawing>
          <wp:inline>
            <wp:extent cx="5334000" cy="4612821"/>
            <wp:effectExtent b="0" l="0" r="0" t="0"/>
            <wp:docPr descr="" title="" id="238" name="Picture"/>
            <a:graphic>
              <a:graphicData uri="http://schemas.openxmlformats.org/drawingml/2006/picture">
                <pic:pic>
                  <pic:nvPicPr>
                    <pic:cNvPr descr="/private/tmp/claude-501/-Users-sudipto-Desktop-projects-accubook/c277cf12-a75d-42eb-a282-70d38dbc59e8/scratchpad/d37.png" id="239" name="Picture"/>
                    <pic:cNvPicPr>
                      <a:picLocks noChangeArrowheads="1" noChangeAspect="1"/>
                    </pic:cNvPicPr>
                  </pic:nvPicPr>
                  <pic:blipFill>
                    <a:blip r:embed="rId237"/>
                    <a:stretch>
                      <a:fillRect/>
                    </a:stretch>
                  </pic:blipFill>
                  <pic:spPr bwMode="auto">
                    <a:xfrm>
                      <a:off x="0" y="0"/>
                      <a:ext cx="5334000" cy="4612821"/>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Build</w:t>
            </w:r>
          </w:p>
        </w:tc>
        <w:tc>
          <w:tcPr/>
          <w:p>
            <w:pPr>
              <w:pStyle w:val="Compact"/>
            </w:pPr>
            <w:r>
              <w:t xml:space="preserve">Monthly range partitioning on the three append-only tables; archival of closed fiscal years; per-tenant queue caps and quota enforcement; summary-table sharding for hot ledgers; self-serve onboarding and offboarding;</w:t>
            </w:r>
            <w:r>
              <w:t xml:space="preserve"> </w:t>
            </w:r>
            <w:r>
              <w:rPr>
                <w:b/>
                <w:bCs/>
              </w:rPr>
              <w:t xml:space="preserve">the single-tenant restore script, tested</w:t>
            </w:r>
            <w:r>
              <w:t xml:space="preserve">; a second placement stood up but empty</w:t>
            </w:r>
          </w:p>
        </w:tc>
      </w:tr>
      <w:tr>
        <w:tc>
          <w:tcPr/>
          <w:p>
            <w:pPr>
              <w:pStyle w:val="Compact"/>
            </w:pPr>
            <w:r>
              <w:rPr>
                <w:b/>
                <w:bCs/>
              </w:rPr>
              <w:t xml:space="preserve">Cost</w:t>
            </w:r>
          </w:p>
        </w:tc>
        <w:tc>
          <w:tcPr/>
          <w:p>
            <w:pPr>
              <w:pStyle w:val="Compact"/>
            </w:pPr>
            <w:r>
              <w:rPr>
                <w:b/>
                <w:bCs/>
              </w:rPr>
              <w:t xml:space="preserve">[VENDOR-CHECK]</w:t>
            </w:r>
            <w:r>
              <w:t xml:space="preserve"> </w:t>
            </w:r>
            <w:r>
              <w:t xml:space="preserve">roughly ₹3,00,000–8,00,000/month</w:t>
            </w:r>
          </w:p>
        </w:tc>
      </w:tr>
      <w:tr>
        <w:tc>
          <w:tcPr/>
          <w:p>
            <w:pPr>
              <w:pStyle w:val="Compact"/>
            </w:pPr>
            <w:r>
              <w:rPr>
                <w:b/>
                <w:bCs/>
              </w:rPr>
              <w:t xml:space="preserve">Watch</w:t>
            </w:r>
          </w:p>
        </w:tc>
        <w:tc>
          <w:tcPr/>
          <w:p>
            <w:pPr>
              <w:pStyle w:val="Compact"/>
            </w:pPr>
            <w:r>
              <w:t xml:space="preserve">Partition maintenance; autovacuum on the largest tables; per-tenant p95 distribution — the</w:t>
            </w:r>
            <w:r>
              <w:t xml:space="preserve"> </w:t>
            </w:r>
            <w:r>
              <w:rPr>
                <w:i/>
                <w:iCs/>
              </w:rPr>
              <w:t xml:space="preserve">spread</w:t>
            </w:r>
            <w:r>
              <w:t xml:space="preserve">, not the average</w:t>
            </w:r>
          </w:p>
        </w:tc>
      </w:tr>
    </w:tbl>
    <w:p>
      <w:pPr>
        <w:pStyle w:val="BodyText"/>
      </w:pPr>
      <w:r>
        <w:rPr>
          <w:b/>
          <w:bCs/>
        </w:rPr>
        <w:t xml:space="preserve">[JUDGEMENT]</w:t>
      </w:r>
      <w:r>
        <w:t xml:space="preserve"> </w:t>
      </w:r>
      <w:r>
        <w:t xml:space="preserve">Partitioning is the change that most rewards being early. Partitioning a 5 million-row table is an afternoon; partitioning a 500 million-row table under load is a project with a rollback plan. The trigger to watch is table size, not tenant count — one 5,000-voucher-a-day tenant reaches it sooner than 1,000 small ones.</w:t>
      </w:r>
    </w:p>
    <w:bookmarkEnd w:id="240"/>
    <w:bookmarkStart w:id="244" w:name="stage-3-scale-10000-50000"/>
    <w:p>
      <w:pPr>
        <w:pStyle w:val="Heading3"/>
      </w:pPr>
      <w:r>
        <w:t xml:space="preserve">29.4 Stage 3 — Scale (10,000 → 50,000)</w:t>
      </w:r>
    </w:p>
    <w:p>
      <w:pPr>
        <w:pStyle w:val="FirstParagraph"/>
      </w:pPr>
      <w:r>
        <w:rPr>
          <w:b/>
          <w:bCs/>
        </w:rPr>
        <w:t xml:space="preserve">Trigger:</w:t>
      </w:r>
      <w:r>
        <w:t xml:space="preserve"> </w:t>
      </w:r>
      <w:r>
        <w:t xml:space="preserve">the primary’s vertical headroom is visibly finite — sustained high write utilisation, or storage approaching the instance ceiling.</w:t>
      </w:r>
    </w:p>
    <w:p>
      <w:pPr>
        <w:pStyle w:val="BodyText"/>
      </w:pPr>
      <w:r>
        <w:drawing>
          <wp:inline>
            <wp:extent cx="5334000" cy="6087947"/>
            <wp:effectExtent b="0" l="0" r="0" t="0"/>
            <wp:docPr descr="" title="" id="242" name="Picture"/>
            <a:graphic>
              <a:graphicData uri="http://schemas.openxmlformats.org/drawingml/2006/picture">
                <pic:pic>
                  <pic:nvPicPr>
                    <pic:cNvPr descr="/private/tmp/claude-501/-Users-sudipto-Desktop-projects-accubook/c277cf12-a75d-42eb-a282-70d38dbc59e8/scratchpad/d38.png" id="243" name="Picture"/>
                    <pic:cNvPicPr>
                      <a:picLocks noChangeArrowheads="1" noChangeAspect="1"/>
                    </pic:cNvPicPr>
                  </pic:nvPicPr>
                  <pic:blipFill>
                    <a:blip r:embed="rId241"/>
                    <a:stretch>
                      <a:fillRect/>
                    </a:stretch>
                  </pic:blipFill>
                  <pic:spPr bwMode="auto">
                    <a:xfrm>
                      <a:off x="0" y="0"/>
                      <a:ext cx="5334000" cy="6087947"/>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Build</w:t>
            </w:r>
          </w:p>
        </w:tc>
        <w:tc>
          <w:tcPr/>
          <w:p>
            <w:pPr>
              <w:pStyle w:val="Compact"/>
            </w:pPr>
            <w:r>
              <w:rPr>
                <w:b/>
                <w:bCs/>
              </w:rPr>
              <w:t xml:space="preserve">A second placement, populated.</w:t>
            </w:r>
            <w:r>
              <w:t xml:space="preserve"> </w:t>
            </w:r>
            <w:r>
              <w:t xml:space="preserve">The tenant-move machinery of §17.4 run for real; workers scoped per placement; the control plane made highly available; cross-placement observability; a data warehouse fed by CDC for platform analytics; the isolation SKU sold</w:t>
            </w:r>
          </w:p>
        </w:tc>
      </w:tr>
      <w:tr>
        <w:tc>
          <w:tcPr/>
          <w:p>
            <w:pPr>
              <w:pStyle w:val="Compact"/>
            </w:pPr>
            <w:r>
              <w:rPr>
                <w:b/>
                <w:bCs/>
              </w:rPr>
              <w:t xml:space="preserve">Decision point</w:t>
            </w:r>
          </w:p>
        </w:tc>
        <w:tc>
          <w:tcPr/>
          <w:p>
            <w:pPr>
              <w:pStyle w:val="Compact"/>
            </w:pPr>
            <w:r>
              <w:t xml:space="preserve">This is where the platform question is settled — stay on the current provider, or move to</w:t>
            </w:r>
            <w:r>
              <w:t xml:space="preserve"> </w:t>
            </w:r>
            <w:r>
              <w:rPr>
                <w:rStyle w:val="VerbatimChar"/>
              </w:rPr>
              <w:t xml:space="preserve">ap-south-1</w:t>
            </w:r>
            <w:r>
              <w:t xml:space="preserve"> </w:t>
            </w:r>
            <w:r>
              <w:t xml:space="preserve">managed infrastructure.</w:t>
            </w:r>
            <w:r>
              <w:t xml:space="preserve"> </w:t>
            </w:r>
            <w:r>
              <w:rPr>
                <w:b/>
                <w:bCs/>
              </w:rPr>
              <w:t xml:space="preserve">[JUDGEMENT]</w:t>
            </w:r>
            <w:r>
              <w:t xml:space="preserve"> </w:t>
            </w:r>
            <w:r>
              <w:t xml:space="preserve">Data residency is the most likely forcing function, and it is a sales requirement before it is a legal one</w:t>
            </w:r>
          </w:p>
        </w:tc>
      </w:tr>
      <w:tr>
        <w:tc>
          <w:tcPr/>
          <w:p>
            <w:pPr>
              <w:pStyle w:val="Compact"/>
            </w:pPr>
            <w:r>
              <w:rPr>
                <w:b/>
                <w:bCs/>
              </w:rPr>
              <w:t xml:space="preserve">Cost</w:t>
            </w:r>
          </w:p>
        </w:tc>
        <w:tc>
          <w:tcPr/>
          <w:p>
            <w:pPr>
              <w:pStyle w:val="Compact"/>
            </w:pPr>
            <w:r>
              <w:rPr>
                <w:b/>
                <w:bCs/>
              </w:rPr>
              <w:t xml:space="preserve">[VENDOR-CHECK]</w:t>
            </w:r>
            <w:r>
              <w:t xml:space="preserve"> </w:t>
            </w:r>
            <w:r>
              <w:t xml:space="preserve">roughly ₹10,00,000–25,00,000/month</w:t>
            </w:r>
          </w:p>
        </w:tc>
      </w:tr>
      <w:tr>
        <w:tc>
          <w:tcPr/>
          <w:p>
            <w:pPr>
              <w:pStyle w:val="Compact"/>
            </w:pPr>
            <w:r>
              <w:rPr>
                <w:b/>
                <w:bCs/>
              </w:rPr>
              <w:t xml:space="preserve">Watch</w:t>
            </w:r>
          </w:p>
        </w:tc>
        <w:tc>
          <w:tcPr/>
          <w:p>
            <w:pPr>
              <w:pStyle w:val="Compact"/>
            </w:pPr>
            <w:r>
              <w:t xml:space="preserve">Placement balance; cross-placement latency consistency; the cost of the</w:t>
            </w:r>
            <w:r>
              <w:t xml:space="preserve"> </w:t>
            </w:r>
            <w:r>
              <w:rPr>
                <w:i/>
                <w:iCs/>
              </w:rPr>
              <w:t xml:space="preserve">move</w:t>
            </w:r>
            <w:r>
              <w:t xml:space="preserve"> </w:t>
            </w:r>
            <w:r>
              <w:t xml:space="preserve">operation itself</w:t>
            </w:r>
          </w:p>
        </w:tc>
      </w:tr>
    </w:tbl>
    <w:p>
      <w:pPr>
        <w:pStyle w:val="BodyText"/>
      </w:pPr>
      <w:r>
        <w:rPr>
          <w:b/>
          <w:bCs/>
        </w:rPr>
        <w:t xml:space="preserve">[JUDGEMENT]</w:t>
      </w:r>
      <w:r>
        <w:t xml:space="preserve"> </w:t>
      </w:r>
      <w:r>
        <w:t xml:space="preserve">Stage 3 is where the two engineer-days spent on</w:t>
      </w:r>
      <w:r>
        <w:t xml:space="preserve"> </w:t>
      </w:r>
      <w:r>
        <w:rPr>
          <w:rStyle w:val="VerbatimChar"/>
        </w:rPr>
        <w:t xml:space="preserve">tenant_placement</w:t>
      </w:r>
      <w:r>
        <w:t xml:space="preserve"> </w:t>
      </w:r>
      <w:r>
        <w:t xml:space="preserve">in Stage 0 pay for themselves several hundred times over. Adding a second placement is a configuration change and a series of scheduled tenant moves. Without the indirection it is a rewrite of every data-access path in the application, executed under the pressure of a database that is already at its limit.</w:t>
      </w:r>
    </w:p>
    <w:bookmarkEnd w:id="244"/>
    <w:bookmarkStart w:id="248" w:name="stage-4-distribute-50000-100000"/>
    <w:p>
      <w:pPr>
        <w:pStyle w:val="Heading3"/>
      </w:pPr>
      <w:r>
        <w:t xml:space="preserve">29.5 Stage 4 — Distribute (50,000 → 100,000+)</w:t>
      </w:r>
    </w:p>
    <w:p>
      <w:pPr>
        <w:pStyle w:val="FirstParagraph"/>
      </w:pPr>
      <w:r>
        <w:rPr>
          <w:b/>
          <w:bCs/>
        </w:rPr>
        <w:t xml:space="preserve">Trigger:</w:t>
      </w:r>
      <w:r>
        <w:t xml:space="preserve"> </w:t>
      </w:r>
      <w:r>
        <w:t xml:space="preserve">many placements; geography and regulation now shape the topology.</w:t>
      </w:r>
    </w:p>
    <w:p>
      <w:pPr>
        <w:pStyle w:val="BodyText"/>
      </w:pPr>
      <w:r>
        <w:drawing>
          <wp:inline>
            <wp:extent cx="5334000" cy="1578428"/>
            <wp:effectExtent b="0" l="0" r="0" t="0"/>
            <wp:docPr descr="" title="" id="246" name="Picture"/>
            <a:graphic>
              <a:graphicData uri="http://schemas.openxmlformats.org/drawingml/2006/picture">
                <pic:pic>
                  <pic:nvPicPr>
                    <pic:cNvPr descr="/private/tmp/claude-501/-Users-sudipto-Desktop-projects-accubook/c277cf12-a75d-42eb-a282-70d38dbc59e8/scratchpad/d39.png" id="247" name="Picture"/>
                    <pic:cNvPicPr>
                      <a:picLocks noChangeArrowheads="1" noChangeAspect="1"/>
                    </pic:cNvPicPr>
                  </pic:nvPicPr>
                  <pic:blipFill>
                    <a:blip r:embed="rId245"/>
                    <a:stretch>
                      <a:fillRect/>
                    </a:stretch>
                  </pic:blipFill>
                  <pic:spPr bwMode="auto">
                    <a:xfrm>
                      <a:off x="0" y="0"/>
                      <a:ext cx="5334000" cy="1578428"/>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Build</w:t>
            </w:r>
          </w:p>
        </w:tc>
        <w:tc>
          <w:tcPr/>
          <w:p>
            <w:pPr>
              <w:pStyle w:val="Compact"/>
            </w:pPr>
            <w:r>
              <w:t xml:space="preserve">Placement fleet management as a product surface; automated rebalancing; regional control planes; capacity forecasting from</w:t>
            </w:r>
            <w:r>
              <w:t xml:space="preserve"> </w:t>
            </w:r>
            <w:r>
              <w:rPr>
                <w:rStyle w:val="VerbatimChar"/>
              </w:rPr>
              <w:t xml:space="preserve">tenant_health</w:t>
            </w:r>
            <w:r>
              <w:t xml:space="preserve">; per-placement independent upgrade</w:t>
            </w:r>
          </w:p>
        </w:tc>
      </w:tr>
      <w:tr>
        <w:tc>
          <w:tcPr/>
          <w:p>
            <w:pPr>
              <w:pStyle w:val="Compact"/>
            </w:pPr>
            <w:r>
              <w:rPr>
                <w:b/>
                <w:bCs/>
              </w:rPr>
              <w:t xml:space="preserve">Still true</w:t>
            </w:r>
          </w:p>
        </w:tc>
        <w:tc>
          <w:tcPr/>
          <w:p>
            <w:pPr>
              <w:pStyle w:val="Compact"/>
            </w:pPr>
            <w:r>
              <w:t xml:space="preserve">One tenant lives entirely on one placement.</w:t>
            </w:r>
            <w:r>
              <w:t xml:space="preserve"> </w:t>
            </w:r>
            <w:r>
              <w:rPr>
                <w:b/>
                <w:bCs/>
              </w:rPr>
              <w:t xml:space="preserve">No cross-shard queries, ever.</w:t>
            </w:r>
            <w:r>
              <w:t xml:space="preserve"> </w:t>
            </w:r>
            <w:r>
              <w:t xml:space="preserve">Platform analytics comes from the warehouse</w:t>
            </w:r>
          </w:p>
        </w:tc>
      </w:tr>
      <w:tr>
        <w:tc>
          <w:tcPr/>
          <w:p>
            <w:pPr>
              <w:pStyle w:val="Compact"/>
            </w:pPr>
            <w:r>
              <w:rPr>
                <w:b/>
                <w:bCs/>
              </w:rPr>
              <w:t xml:space="preserve">Cost</w:t>
            </w:r>
          </w:p>
        </w:tc>
        <w:tc>
          <w:tcPr/>
          <w:p>
            <w:pPr>
              <w:pStyle w:val="Compact"/>
            </w:pPr>
            <w:r>
              <w:rPr>
                <w:b/>
                <w:bCs/>
              </w:rPr>
              <w:t xml:space="preserve">[VENDOR-CHECK]</w:t>
            </w:r>
            <w:r>
              <w:t xml:space="preserve"> </w:t>
            </w:r>
            <w:r>
              <w:t xml:space="preserve">the meaningful number here is cost</w:t>
            </w:r>
            <w:r>
              <w:t xml:space="preserve"> </w:t>
            </w:r>
            <w:r>
              <w:rPr>
                <w:i/>
                <w:iCs/>
              </w:rPr>
              <w:t xml:space="preserve">per tenant</w:t>
            </w:r>
            <w:r>
              <w:t xml:space="preserve">, which should be</w:t>
            </w:r>
            <w:r>
              <w:t xml:space="preserve"> </w:t>
            </w:r>
            <w:r>
              <w:rPr>
                <w:b/>
                <w:bCs/>
              </w:rPr>
              <w:t xml:space="preserve">falling</w:t>
            </w:r>
            <w:r>
              <w:t xml:space="preserve"> </w:t>
            </w:r>
            <w:r>
              <w:t xml:space="preserve">— §32</w:t>
            </w:r>
          </w:p>
        </w:tc>
      </w:tr>
      <w:tr>
        <w:tc>
          <w:tcPr/>
          <w:p>
            <w:pPr>
              <w:pStyle w:val="Compact"/>
            </w:pPr>
            <w:r>
              <w:rPr>
                <w:b/>
                <w:bCs/>
              </w:rPr>
              <w:t xml:space="preserve">Watch</w:t>
            </w:r>
          </w:p>
        </w:tc>
        <w:tc>
          <w:tcPr/>
          <w:p>
            <w:pPr>
              <w:pStyle w:val="Compact"/>
            </w:pPr>
            <w:r>
              <w:t xml:space="preserve">Placement count vs. the team’s ability to operate it; automate before it hurts</w:t>
            </w:r>
          </w:p>
        </w:tc>
      </w:tr>
    </w:tbl>
    <w:p>
      <w:pPr>
        <w:pStyle w:val="BodyText"/>
      </w:pPr>
      <w:r>
        <w:rPr>
          <w:b/>
          <w:bCs/>
        </w:rPr>
        <w:t xml:space="preserve">[JUDGEMENT]</w:t>
      </w:r>
      <w:r>
        <w:t xml:space="preserve"> </w:t>
      </w:r>
      <w:r>
        <w:t xml:space="preserve">Note what Stage 4 is</w:t>
      </w:r>
      <w:r>
        <w:t xml:space="preserve"> </w:t>
      </w:r>
      <w:r>
        <w:rPr>
          <w:i/>
          <w:iCs/>
        </w:rPr>
        <w:t xml:space="preserve">not</w:t>
      </w:r>
      <w:r>
        <w:t xml:space="preserve">: it is not multi-region active-active. Writes stay in one region per tenant. Two-phase writes on financial data across regions is a complexity class this business never needs to enter — and the regional-pod model gives residency and latency without it.</w:t>
      </w:r>
    </w:p>
    <w:bookmarkEnd w:id="248"/>
    <w:bookmarkEnd w:id="249"/>
    <w:bookmarkStart w:id="253" w:name="data-growth"/>
    <w:p>
      <w:pPr>
        <w:pStyle w:val="Heading2"/>
      </w:pPr>
      <w:r>
        <w:t xml:space="preserve">30. Data growth</w:t>
      </w:r>
    </w:p>
    <w:bookmarkStart w:id="250" w:name="the-model-1"/>
    <w:p>
      <w:pPr>
        <w:pStyle w:val="Heading3"/>
      </w:pPr>
      <w:r>
        <w:t xml:space="preserve">30.1 The model</w:t>
      </w:r>
    </w:p>
    <w:p>
      <w:pPr>
        <w:pStyle w:val="FirstParagraph"/>
      </w:pPr>
      <w:r>
        <w:rPr>
          <w:b/>
          <w:bCs/>
        </w:rPr>
        <w:t xml:space="preserve">[ASSUMPTION]</w:t>
      </w:r>
      <w:r>
        <w:t xml:space="preserve"> </w:t>
      </w:r>
      <w:r>
        <w:t xml:space="preserve">A representative mid-sized tenant: 500 vouchers/month, ~3 entries each, 200 invoices, 300 stock movements, 2,000 audit rows.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Rows / tenant / year</w:t>
            </w:r>
          </w:p>
        </w:tc>
        <w:tc>
          <w:tcPr/>
          <w:p>
            <w:pPr>
              <w:pStyle w:val="Compact"/>
            </w:pPr>
            <w:r>
              <w:t xml:space="preserve">At 10,000 tenants</w:t>
            </w:r>
          </w:p>
        </w:tc>
        <w:tc>
          <w:tcPr/>
          <w:p>
            <w:pPr>
              <w:pStyle w:val="Compact"/>
            </w:pPr>
            <w:r>
              <w:t xml:space="preserve">At 100,000 tenants</w:t>
            </w:r>
          </w:p>
        </w:tc>
      </w:tr>
      <w:tr>
        <w:tc>
          <w:tcPr/>
          <w:p>
            <w:pPr>
              <w:pStyle w:val="Compact"/>
            </w:pPr>
            <w:r>
              <w:rPr>
                <w:rStyle w:val="VerbatimChar"/>
              </w:rPr>
              <w:t xml:space="preserve">voucher_entries</w:t>
            </w:r>
          </w:p>
        </w:tc>
        <w:tc>
          <w:tcPr/>
          <w:p>
            <w:pPr>
              <w:pStyle w:val="Compact"/>
            </w:pPr>
            <w:r>
              <w:t xml:space="preserve">~18,000</w:t>
            </w:r>
          </w:p>
        </w:tc>
        <w:tc>
          <w:tcPr/>
          <w:p>
            <w:pPr>
              <w:pStyle w:val="Compact"/>
            </w:pPr>
            <w:r>
              <w:t xml:space="preserve">180 M / yr</w:t>
            </w:r>
          </w:p>
        </w:tc>
        <w:tc>
          <w:tcPr/>
          <w:p>
            <w:pPr>
              <w:pStyle w:val="Compact"/>
            </w:pPr>
            <w:r>
              <w:rPr>
                <w:b/>
                <w:bCs/>
              </w:rPr>
              <w:t xml:space="preserve">1.8 B / yr</w:t>
            </w:r>
          </w:p>
        </w:tc>
      </w:tr>
      <w:tr>
        <w:tc>
          <w:tcPr/>
          <w:p>
            <w:pPr>
              <w:pStyle w:val="Compact"/>
            </w:pPr>
            <w:r>
              <w:rPr>
                <w:rStyle w:val="VerbatimChar"/>
              </w:rPr>
              <w:t xml:space="preserve">audit_logs</w:t>
            </w:r>
          </w:p>
        </w:tc>
        <w:tc>
          <w:tcPr/>
          <w:p>
            <w:pPr>
              <w:pStyle w:val="Compact"/>
            </w:pPr>
            <w:r>
              <w:t xml:space="preserve">~24,000</w:t>
            </w:r>
          </w:p>
        </w:tc>
        <w:tc>
          <w:tcPr/>
          <w:p>
            <w:pPr>
              <w:pStyle w:val="Compact"/>
            </w:pPr>
            <w:r>
              <w:t xml:space="preserve">240 M / yr</w:t>
            </w:r>
          </w:p>
        </w:tc>
        <w:tc>
          <w:tcPr/>
          <w:p>
            <w:pPr>
              <w:pStyle w:val="Compact"/>
            </w:pPr>
            <w:r>
              <w:rPr>
                <w:b/>
                <w:bCs/>
              </w:rPr>
              <w:t xml:space="preserve">2.4 B / yr</w:t>
            </w:r>
          </w:p>
        </w:tc>
      </w:tr>
      <w:tr>
        <w:tc>
          <w:tcPr/>
          <w:p>
            <w:pPr>
              <w:pStyle w:val="Compact"/>
            </w:pPr>
            <w:r>
              <w:rPr>
                <w:rStyle w:val="VerbatimChar"/>
              </w:rPr>
              <w:t xml:space="preserve">stock_movements</w:t>
            </w:r>
          </w:p>
        </w:tc>
        <w:tc>
          <w:tcPr/>
          <w:p>
            <w:pPr>
              <w:pStyle w:val="Compact"/>
            </w:pPr>
            <w:r>
              <w:t xml:space="preserve">~3,600</w:t>
            </w:r>
          </w:p>
        </w:tc>
        <w:tc>
          <w:tcPr/>
          <w:p>
            <w:pPr>
              <w:pStyle w:val="Compact"/>
            </w:pPr>
            <w:r>
              <w:t xml:space="preserve">36 M / yr</w:t>
            </w:r>
          </w:p>
        </w:tc>
        <w:tc>
          <w:tcPr/>
          <w:p>
            <w:pPr>
              <w:pStyle w:val="Compact"/>
            </w:pPr>
            <w:r>
              <w:t xml:space="preserve">360 M / yr</w:t>
            </w:r>
          </w:p>
        </w:tc>
      </w:tr>
      <w:tr>
        <w:tc>
          <w:tcPr/>
          <w:p>
            <w:pPr>
              <w:pStyle w:val="Compact"/>
            </w:pPr>
            <w:r>
              <w:rPr>
                <w:rStyle w:val="VerbatimChar"/>
              </w:rPr>
              <w:t xml:space="preserve">vouchers</w:t>
            </w:r>
          </w:p>
        </w:tc>
        <w:tc>
          <w:tcPr/>
          <w:p>
            <w:pPr>
              <w:pStyle w:val="Compact"/>
            </w:pPr>
            <w:r>
              <w:t xml:space="preserve">~6,000</w:t>
            </w:r>
          </w:p>
        </w:tc>
        <w:tc>
          <w:tcPr/>
          <w:p>
            <w:pPr>
              <w:pStyle w:val="Compact"/>
            </w:pPr>
            <w:r>
              <w:t xml:space="preserve">60 M / yr</w:t>
            </w:r>
          </w:p>
        </w:tc>
        <w:tc>
          <w:tcPr/>
          <w:p>
            <w:pPr>
              <w:pStyle w:val="Compact"/>
            </w:pPr>
            <w:r>
              <w:t xml:space="preserve">600 M / yr</w:t>
            </w:r>
          </w:p>
        </w:tc>
      </w:tr>
      <w:tr>
        <w:tc>
          <w:tcPr/>
          <w:p>
            <w:pPr>
              <w:pStyle w:val="Compact"/>
            </w:pPr>
            <w:r>
              <w:rPr>
                <w:rStyle w:val="VerbatimChar"/>
              </w:rPr>
              <w:t xml:space="preserve">invoices</w:t>
            </w:r>
          </w:p>
        </w:tc>
        <w:tc>
          <w:tcPr/>
          <w:p>
            <w:pPr>
              <w:pStyle w:val="Compact"/>
            </w:pPr>
            <w:r>
              <w:t xml:space="preserve">~2,400</w:t>
            </w:r>
          </w:p>
        </w:tc>
        <w:tc>
          <w:tcPr/>
          <w:p>
            <w:pPr>
              <w:pStyle w:val="Compact"/>
            </w:pPr>
            <w:r>
              <w:t xml:space="preserve">24 M / yr</w:t>
            </w:r>
          </w:p>
        </w:tc>
        <w:tc>
          <w:tcPr/>
          <w:p>
            <w:pPr>
              <w:pStyle w:val="Compact"/>
            </w:pPr>
            <w:r>
              <w:t xml:space="preserve">240 M / yr</w:t>
            </w:r>
          </w:p>
        </w:tc>
      </w:tr>
    </w:tbl>
    <w:p>
      <w:pPr>
        <w:pStyle w:val="BodyText"/>
      </w:pPr>
      <w:r>
        <w:rPr>
          <w:b/>
          <w:bCs/>
        </w:rPr>
        <w:t xml:space="preserve">[JUDGEMENT]</w:t>
      </w:r>
      <w:r>
        <w:t xml:space="preserve"> </w:t>
      </w:r>
      <w:r>
        <w:t xml:space="preserve">Two conclusions. First, these numbers are</w:t>
      </w:r>
      <w:r>
        <w:t xml:space="preserve"> </w:t>
      </w:r>
      <w:r>
        <w:rPr>
          <w:b/>
          <w:bCs/>
        </w:rPr>
        <w:t xml:space="preserve">per placement</w:t>
      </w:r>
      <w:r>
        <w:t xml:space="preserve">, and that is the point — at Stage 4 with ten placements, each holds a tenth. Sharding is not only a write-throughput answer; it is the table-size answer. Second, the three append-only tables dominate by an order of magnitude and are the only ones needing special treatment.</w:t>
      </w:r>
    </w:p>
    <w:bookmarkEnd w:id="250"/>
    <w:bookmarkStart w:id="251" w:name="partitioning"/>
    <w:p>
      <w:pPr>
        <w:pStyle w:val="Heading3"/>
      </w:pPr>
      <w:r>
        <w:t xml:space="preserve">30.2 Partitioning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voucher_entries (…)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rPr>
          <w:rStyle w:val="KeywordTok"/>
        </w:rPr>
        <w:t xml:space="preserve">CREATE</w:t>
      </w:r>
      <w:r>
        <w:rPr>
          <w:rStyle w:val="NormalTok"/>
        </w:rPr>
        <w:t xml:space="preserve"> </w:t>
      </w:r>
      <w:r>
        <w:rPr>
          <w:rStyle w:val="KeywordTok"/>
        </w:rPr>
        <w:t xml:space="preserve">TABLE</w:t>
      </w:r>
      <w:r>
        <w:rPr>
          <w:rStyle w:val="NormalTok"/>
        </w:rPr>
        <w:t xml:space="preserve"> voucher_entries_2026_04 </w:t>
      </w:r>
      <w:r>
        <w:rPr>
          <w:rStyle w:val="KeywordTok"/>
        </w:rPr>
        <w:t xml:space="preserve">PARTITION</w:t>
      </w:r>
      <w:r>
        <w:rPr>
          <w:rStyle w:val="NormalTok"/>
        </w:rPr>
        <w:t xml:space="preserve"> </w:t>
      </w:r>
      <w:r>
        <w:rPr>
          <w:rStyle w:val="KeywordTok"/>
        </w:rPr>
        <w:t xml:space="preserve">OF</w:t>
      </w:r>
      <w:r>
        <w:rPr>
          <w:rStyle w:val="NormalTok"/>
        </w:rPr>
        <w:t xml:space="preserve"> voucher_entries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'2026-04-01'</w:t>
      </w:r>
      <w:r>
        <w:rPr>
          <w:rStyle w:val="NormalTok"/>
        </w:rPr>
        <w:t xml:space="preserve">) </w:t>
      </w:r>
      <w:r>
        <w:rPr>
          <w:rStyle w:val="KeywordTok"/>
        </w:rPr>
        <w:t xml:space="preserve">TO</w:t>
      </w:r>
      <w:r>
        <w:rPr>
          <w:rStyle w:val="NormalTok"/>
        </w:rPr>
        <w:t xml:space="preserve"> (</w:t>
      </w:r>
      <w:r>
        <w:rPr>
          <w:rStyle w:val="StringTok"/>
        </w:rPr>
        <w:t xml:space="preserve">'2026-05-01'</w:t>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Reason</w:t>
            </w:r>
          </w:p>
        </w:tc>
      </w:tr>
      <w:tr>
        <w:tc>
          <w:tcPr/>
          <w:p>
            <w:pPr>
              <w:pStyle w:val="Compact"/>
            </w:pPr>
            <w:r>
              <w:t xml:space="preserve">Partition key</w:t>
            </w:r>
          </w:p>
        </w:tc>
        <w:tc>
          <w:tcPr/>
          <w:p>
            <w:pPr>
              <w:pStyle w:val="Compact"/>
            </w:pPr>
            <w:r>
              <w:rPr>
                <w:b/>
                <w:bCs/>
              </w:rPr>
              <w:t xml:space="preserve">Time</w:t>
            </w:r>
            <w:r>
              <w:t xml:space="preserve">, not tenant</w:t>
            </w:r>
          </w:p>
        </w:tc>
        <w:tc>
          <w:tcPr/>
          <w:p>
            <w:pPr>
              <w:pStyle w:val="Compact"/>
            </w:pPr>
            <w:r>
              <w:rPr>
                <w:b/>
                <w:bCs/>
              </w:rPr>
              <w:t xml:space="preserve">[JUDGEMENT]</w:t>
            </w:r>
            <w:r>
              <w:t xml:space="preserve"> </w:t>
            </w:r>
            <w:r>
              <w:t xml:space="preserve">Tenant partitioning would create 100,000 partitions — the SILO problem in a different costume. Time partitioning gives a bounded partition count and matches how accounting data is queried: by period</w:t>
            </w:r>
          </w:p>
        </w:tc>
      </w:tr>
      <w:tr>
        <w:tc>
          <w:tcPr/>
          <w:p>
            <w:pPr>
              <w:pStyle w:val="Compact"/>
            </w:pPr>
            <w:r>
              <w:t xml:space="preserve">Tenant filtering</w:t>
            </w:r>
          </w:p>
        </w:tc>
        <w:tc>
          <w:tcPr/>
          <w:p>
            <w:pPr>
              <w:pStyle w:val="Compact"/>
            </w:pPr>
            <w:r>
              <w:rPr>
                <w:rStyle w:val="VerbatimChar"/>
              </w:rPr>
              <w:t xml:space="preserve">organizationId</w:t>
            </w:r>
            <w:r>
              <w:t xml:space="preserve"> </w:t>
            </w:r>
            <w:r>
              <w:t xml:space="preserve">leads the index</w:t>
            </w:r>
            <w:r>
              <w:t xml:space="preserve"> </w:t>
            </w:r>
            <w:r>
              <w:rPr>
                <w:b/>
                <w:bCs/>
              </w:rPr>
              <w:t xml:space="preserve">within</w:t>
            </w:r>
            <w:r>
              <w:t xml:space="preserve"> </w:t>
            </w:r>
            <w:r>
              <w:t xml:space="preserve">each partition</w:t>
            </w:r>
          </w:p>
        </w:tc>
        <w:tc>
          <w:tcPr/>
          <w:p>
            <w:pPr>
              <w:pStyle w:val="Compact"/>
            </w:pPr>
            <w:r>
              <w:t xml:space="preserve">The two mechanisms compose</w:t>
            </w:r>
          </w:p>
        </w:tc>
      </w:tr>
      <w:tr>
        <w:tc>
          <w:tcPr/>
          <w:p>
            <w:pPr>
              <w:pStyle w:val="Compact"/>
            </w:pPr>
            <w:r>
              <w:t xml:space="preserve">Granularity</w:t>
            </w:r>
          </w:p>
        </w:tc>
        <w:tc>
          <w:tcPr/>
          <w:p>
            <w:pPr>
              <w:pStyle w:val="Compact"/>
            </w:pPr>
            <w:r>
              <w:t xml:space="preserve">Monthly</w:t>
            </w:r>
          </w:p>
        </w:tc>
        <w:tc>
          <w:tcPr/>
          <w:p>
            <w:pPr>
              <w:pStyle w:val="Compact"/>
            </w:pPr>
            <w:r>
              <w:t xml:space="preserve">Aligns with fiscal periods and GST returns</w:t>
            </w:r>
          </w:p>
        </w:tc>
      </w:tr>
      <w:tr>
        <w:tc>
          <w:tcPr/>
          <w:p>
            <w:pPr>
              <w:pStyle w:val="Compact"/>
            </w:pPr>
            <w:r>
              <w:t xml:space="preserve">Retention</w:t>
            </w:r>
          </w:p>
        </w:tc>
        <w:tc>
          <w:tcPr/>
          <w:p>
            <w:pPr>
              <w:pStyle w:val="Compact"/>
            </w:pPr>
            <w:r>
              <w:t xml:space="preserve">Detach and archive partitions older than the statutory window</w:t>
            </w:r>
          </w:p>
        </w:tc>
        <w:tc>
          <w:tcPr/>
          <w:p>
            <w:pPr>
              <w:pStyle w:val="Compact"/>
            </w:pPr>
            <w:r>
              <w:t xml:space="preserve">Detaching is instant; deleting 100 M rows is not</w:t>
            </w:r>
          </w:p>
        </w:tc>
      </w:tr>
      <w:tr>
        <w:tc>
          <w:tcPr/>
          <w:p>
            <w:pPr>
              <w:pStyle w:val="Compact"/>
            </w:pPr>
            <w:r>
              <w:t xml:space="preserve">Automation</w:t>
            </w:r>
          </w:p>
        </w:tc>
        <w:tc>
          <w:tcPr/>
          <w:p>
            <w:pPr>
              <w:pStyle w:val="Compact"/>
            </w:pPr>
            <w:r>
              <w:t xml:space="preserve">A job creates next month’s partition well in advance</w:t>
            </w:r>
          </w:p>
        </w:tc>
        <w:tc>
          <w:tcPr/>
          <w:p>
            <w:pPr>
              <w:pStyle w:val="Compact"/>
            </w:pPr>
            <w:r>
              <w:rPr>
                <w:b/>
                <w:bCs/>
              </w:rPr>
              <w:t xml:space="preserve">[JUDGEMENT]</w:t>
            </w:r>
            <w:r>
              <w:t xml:space="preserve"> </w:t>
            </w:r>
            <w:r>
              <w:t xml:space="preserve">A missing partition is a total write outage for that table. Alert on it</w:t>
            </w:r>
          </w:p>
        </w:tc>
      </w:tr>
    </w:tbl>
    <w:bookmarkEnd w:id="251"/>
    <w:bookmarkStart w:id="252" w:name="what-archiving-actually-buys"/>
    <w:p>
      <w:pPr>
        <w:pStyle w:val="Heading3"/>
      </w:pPr>
      <w:r>
        <w:t xml:space="preserve">30.3 What archiving actually buys</w:t>
      </w:r>
    </w:p>
    <w:p>
      <w:pPr>
        <w:pStyle w:val="FirstParagraph"/>
      </w:pPr>
      <w:r>
        <w:t xml:space="preserve">Detaching closed fiscal years to cold storage shrinks the working set, shortens backups, and speeds autovacuum.</w:t>
      </w:r>
      <w:r>
        <w:t xml:space="preserve"> </w:t>
      </w:r>
      <w:r>
        <w:rPr>
          <w:b/>
          <w:bCs/>
        </w:rPr>
        <w:t xml:space="preserve">[JUDGEMENT]</w:t>
      </w:r>
      <w:r>
        <w:t xml:space="preserve"> </w:t>
      </w:r>
      <w:r>
        <w:t xml:space="preserve">It must remain</w:t>
      </w:r>
      <w:r>
        <w:t xml:space="preserve"> </w:t>
      </w:r>
      <w:r>
        <w:rPr>
          <w:i/>
          <w:iCs/>
        </w:rPr>
        <w:t xml:space="preserve">readable</w:t>
      </w:r>
      <w:r>
        <w:t xml:space="preserve"> </w:t>
      </w:r>
      <w:r>
        <w:t xml:space="preserve">— a customer under assessment will need FY 2022-23 detail four years later, and</w:t>
      </w:r>
      <w:r>
        <w:t xml:space="preserve"> </w:t>
      </w:r>
      <w:r>
        <w:t xml:space="preserve">“we archived it”</w:t>
      </w:r>
      <w:r>
        <w:t xml:space="preserve"> </w:t>
      </w:r>
      <w:r>
        <w:t xml:space="preserve">is not an answer an accountant accepts.</w:t>
      </w:r>
    </w:p>
    <w:bookmarkEnd w:id="252"/>
    <w:bookmarkEnd w:id="253"/>
    <w:bookmarkStart w:id="254" w:name="scaling-triggers-the-operational-table"/>
    <w:p>
      <w:pPr>
        <w:pStyle w:val="Heading2"/>
      </w:pPr>
      <w:r>
        <w:t xml:space="preserve">31. Scaling triggers — the operational table</w:t>
      </w:r>
    </w:p>
    <w:p>
      <w:pPr>
        <w:pStyle w:val="FirstParagraph"/>
      </w:pPr>
      <w:r>
        <w:rPr>
          <w:b/>
          <w:bCs/>
        </w:rPr>
        <w:t xml:space="preserve">[JUDGEMENT]</w:t>
      </w:r>
      <w:r>
        <w:t xml:space="preserve"> </w:t>
      </w:r>
      <w:r>
        <w:t xml:space="preserve">These are the numbers to put on a dashboard. Each is a leading indicator with lead time, not an alarm that fires when it is already too late.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Threshold</w:t>
            </w:r>
          </w:p>
        </w:tc>
        <w:tc>
          <w:tcPr/>
          <w:p>
            <w:pPr>
              <w:pStyle w:val="Compact"/>
            </w:pPr>
            <w:r>
              <w:t xml:space="preserve">Action</w:t>
            </w:r>
          </w:p>
        </w:tc>
        <w:tc>
          <w:tcPr/>
          <w:p>
            <w:pPr>
              <w:pStyle w:val="Compact"/>
            </w:pPr>
            <w:r>
              <w:t xml:space="preserve">Lead time</w:t>
            </w:r>
          </w:p>
        </w:tc>
      </w:tr>
      <w:tr>
        <w:tc>
          <w:tcPr/>
          <w:p>
            <w:pPr>
              <w:pStyle w:val="Compact"/>
            </w:pPr>
            <w:r>
              <w:t xml:space="preserve">DB CPU sustained</w:t>
            </w:r>
          </w:p>
        </w:tc>
        <w:tc>
          <w:tcPr/>
          <w:p>
            <w:pPr>
              <w:pStyle w:val="Compact"/>
            </w:pPr>
            <w:r>
              <w:t xml:space="preserve">&gt;70% for 1 h</w:t>
            </w:r>
          </w:p>
        </w:tc>
        <w:tc>
          <w:tcPr/>
          <w:p>
            <w:pPr>
              <w:pStyle w:val="Compact"/>
            </w:pPr>
            <w:r>
              <w:t xml:space="preserve">Scale vertically</w:t>
            </w:r>
          </w:p>
        </w:tc>
        <w:tc>
          <w:tcPr/>
          <w:p>
            <w:pPr>
              <w:pStyle w:val="Compact"/>
            </w:pPr>
            <w:r>
              <w:t xml:space="preserve">Days</w:t>
            </w:r>
          </w:p>
        </w:tc>
      </w:tr>
      <w:tr>
        <w:tc>
          <w:tcPr/>
          <w:p>
            <w:pPr>
              <w:pStyle w:val="Compact"/>
            </w:pPr>
            <w:r>
              <w:t xml:space="preserve">Write IOPS</w:t>
            </w:r>
          </w:p>
        </w:tc>
        <w:tc>
          <w:tcPr/>
          <w:p>
            <w:pPr>
              <w:pStyle w:val="Compact"/>
            </w:pPr>
            <w:r>
              <w:t xml:space="preserve">&gt;70% of provisioned</w:t>
            </w:r>
          </w:p>
        </w:tc>
        <w:tc>
          <w:tcPr/>
          <w:p>
            <w:pPr>
              <w:pStyle w:val="Compact"/>
            </w:pPr>
            <w:r>
              <w:t xml:space="preserve">Scale, then plan a placement</w:t>
            </w:r>
          </w:p>
        </w:tc>
        <w:tc>
          <w:tcPr/>
          <w:p>
            <w:pPr>
              <w:pStyle w:val="Compact"/>
            </w:pPr>
            <w:r>
              <w:t xml:space="preserve">Weeks</w:t>
            </w:r>
          </w:p>
        </w:tc>
      </w:tr>
      <w:tr>
        <w:tc>
          <w:tcPr/>
          <w:p>
            <w:pPr>
              <w:pStyle w:val="Compact"/>
            </w:pPr>
            <w:r>
              <w:t xml:space="preserve">Connection pool</w:t>
            </w:r>
          </w:p>
        </w:tc>
        <w:tc>
          <w:tcPr/>
          <w:p>
            <w:pPr>
              <w:pStyle w:val="Compact"/>
            </w:pPr>
            <w:r>
              <w:t xml:space="preserve">&gt;80%</w:t>
            </w:r>
          </w:p>
        </w:tc>
        <w:tc>
          <w:tcPr/>
          <w:p>
            <w:pPr>
              <w:pStyle w:val="Compact"/>
            </w:pPr>
            <w:r>
              <w:t xml:space="preserve">Tune pooler; reduce per-instance pool</w:t>
            </w:r>
          </w:p>
        </w:tc>
        <w:tc>
          <w:tcPr/>
          <w:p>
            <w:pPr>
              <w:pStyle w:val="Compact"/>
            </w:pPr>
            <w:r>
              <w:t xml:space="preserve">Hours</w:t>
            </w:r>
          </w:p>
        </w:tc>
      </w:tr>
      <w:tr>
        <w:tc>
          <w:tcPr/>
          <w:p>
            <w:pPr>
              <w:pStyle w:val="Compact"/>
            </w:pPr>
            <w:r>
              <w:t xml:space="preserve">Largest table</w:t>
            </w:r>
          </w:p>
        </w:tc>
        <w:tc>
          <w:tcPr/>
          <w:p>
            <w:pPr>
              <w:pStyle w:val="Compact"/>
            </w:pPr>
            <w:r>
              <w:t xml:space="preserve">&gt;100 M rows</w:t>
            </w:r>
          </w:p>
        </w:tc>
        <w:tc>
          <w:tcPr/>
          <w:p>
            <w:pPr>
              <w:pStyle w:val="Compact"/>
            </w:pPr>
            <w:r>
              <w:t xml:space="preserve">Partition</w:t>
            </w:r>
            <w:r>
              <w:t xml:space="preserve"> </w:t>
            </w:r>
            <w:r>
              <w:rPr>
                <w:b/>
                <w:bCs/>
              </w:rPr>
              <w:t xml:space="preserve">now</w:t>
            </w:r>
          </w:p>
        </w:tc>
        <w:tc>
          <w:tcPr/>
          <w:p>
            <w:pPr>
              <w:pStyle w:val="Compact"/>
            </w:pPr>
            <w:r>
              <w:t xml:space="preserve">Months</w:t>
            </w:r>
          </w:p>
        </w:tc>
      </w:tr>
      <w:tr>
        <w:tc>
          <w:tcPr/>
          <w:p>
            <w:pPr>
              <w:pStyle w:val="Compact"/>
            </w:pPr>
            <w:r>
              <w:t xml:space="preserve">p95 query latency</w:t>
            </w:r>
          </w:p>
        </w:tc>
        <w:tc>
          <w:tcPr/>
          <w:p>
            <w:pPr>
              <w:pStyle w:val="Compact"/>
            </w:pPr>
            <w:r>
              <w:t xml:space="preserve">&gt;2× baseline</w:t>
            </w:r>
          </w:p>
        </w:tc>
        <w:tc>
          <w:tcPr/>
          <w:p>
            <w:pPr>
              <w:pStyle w:val="Compact"/>
            </w:pPr>
            <w:r>
              <w:t xml:space="preserve">Investigate before adding capacity</w:t>
            </w:r>
          </w:p>
        </w:tc>
        <w:tc>
          <w:tcPr/>
          <w:p>
            <w:pPr>
              <w:pStyle w:val="Compact"/>
            </w:pPr>
            <w:r>
              <w:t xml:space="preserve">Days</w:t>
            </w:r>
          </w:p>
        </w:tc>
      </w:tr>
      <w:tr>
        <w:tc>
          <w:tcPr/>
          <w:p>
            <w:pPr>
              <w:pStyle w:val="Compact"/>
            </w:pPr>
            <w:r>
              <w:t xml:space="preserve">Replication lag</w:t>
            </w:r>
          </w:p>
        </w:tc>
        <w:tc>
          <w:tcPr/>
          <w:p>
            <w:pPr>
              <w:pStyle w:val="Compact"/>
            </w:pPr>
            <w:r>
              <w:t xml:space="preserve">&gt;30 s</w:t>
            </w:r>
          </w:p>
        </w:tc>
        <w:tc>
          <w:tcPr/>
          <w:p>
            <w:pPr>
              <w:pStyle w:val="Compact"/>
            </w:pPr>
            <w:r>
              <w:t xml:space="preserve">Add or scale a replica</w:t>
            </w:r>
          </w:p>
        </w:tc>
        <w:tc>
          <w:tcPr/>
          <w:p>
            <w:pPr>
              <w:pStyle w:val="Compact"/>
            </w:pPr>
            <w:r>
              <w:t xml:space="preserve">Hours</w:t>
            </w:r>
          </w:p>
        </w:tc>
      </w:tr>
      <w:tr>
        <w:tc>
          <w:tcPr/>
          <w:p>
            <w:pPr>
              <w:pStyle w:val="Compact"/>
            </w:pPr>
            <w:r>
              <w:t xml:space="preserve">Job backlog</w:t>
            </w:r>
          </w:p>
        </w:tc>
        <w:tc>
          <w:tcPr/>
          <w:p>
            <w:pPr>
              <w:pStyle w:val="Compact"/>
            </w:pPr>
            <w:r>
              <w:t xml:space="preserve">&gt;10 min on</w:t>
            </w:r>
            <w:r>
              <w:t xml:space="preserve"> </w:t>
            </w:r>
            <w:r>
              <w:rPr>
                <w:rStyle w:val="VerbatimChar"/>
              </w:rPr>
              <w:t xml:space="preserve">default</w:t>
            </w:r>
          </w:p>
        </w:tc>
        <w:tc>
          <w:tcPr/>
          <w:p>
            <w:pPr>
              <w:pStyle w:val="Compact"/>
            </w:pPr>
            <w:r>
              <w:t xml:space="preserve">Add worker capacity</w:t>
            </w:r>
          </w:p>
        </w:tc>
        <w:tc>
          <w:tcPr/>
          <w:p>
            <w:pPr>
              <w:pStyle w:val="Compact"/>
            </w:pPr>
            <w:r>
              <w:t xml:space="preserve">Hours</w:t>
            </w:r>
          </w:p>
        </w:tc>
      </w:tr>
      <w:tr>
        <w:tc>
          <w:tcPr/>
          <w:p>
            <w:pPr>
              <w:pStyle w:val="Compact"/>
            </w:pPr>
            <w:r>
              <w:t xml:space="preserve">Storage</w:t>
            </w:r>
          </w:p>
        </w:tc>
        <w:tc>
          <w:tcPr/>
          <w:p>
            <w:pPr>
              <w:pStyle w:val="Compact"/>
            </w:pPr>
            <w:r>
              <w:t xml:space="preserve">&gt;70% of instance max</w:t>
            </w:r>
          </w:p>
        </w:tc>
        <w:tc>
          <w:tcPr/>
          <w:p>
            <w:pPr>
              <w:pStyle w:val="Compact"/>
            </w:pPr>
            <w:r>
              <w:t xml:space="preserve">Plan the next placement</w:t>
            </w:r>
          </w:p>
        </w:tc>
        <w:tc>
          <w:tcPr/>
          <w:p>
            <w:pPr>
              <w:pStyle w:val="Compact"/>
            </w:pPr>
            <w:r>
              <w:t xml:space="preserve">Weeks</w:t>
            </w:r>
          </w:p>
        </w:tc>
      </w:tr>
      <w:tr>
        <w:tc>
          <w:tcPr/>
          <w:p>
            <w:pPr>
              <w:pStyle w:val="Compact"/>
            </w:pPr>
            <w:r>
              <w:t xml:space="preserve">Tenants per placement</w:t>
            </w:r>
          </w:p>
        </w:tc>
        <w:tc>
          <w:tcPr/>
          <w:p>
            <w:pPr>
              <w:pStyle w:val="Compact"/>
            </w:pPr>
            <w:r>
              <w:t xml:space="preserve">&gt;~15,000</w:t>
            </w:r>
            <w:r>
              <w:t xml:space="preserve"> </w:t>
            </w:r>
            <w:r>
              <w:rPr>
                <w:b/>
                <w:bCs/>
              </w:rPr>
              <w:t xml:space="preserve">[ASSUMPTION]</w:t>
            </w:r>
          </w:p>
        </w:tc>
        <w:tc>
          <w:tcPr/>
          <w:p>
            <w:pPr>
              <w:pStyle w:val="Compact"/>
            </w:pPr>
            <w:r>
              <w:t xml:space="preserve">Stand up the next placement</w:t>
            </w:r>
          </w:p>
        </w:tc>
        <w:tc>
          <w:tcPr/>
          <w:p>
            <w:pPr>
              <w:pStyle w:val="Compact"/>
            </w:pPr>
            <w:r>
              <w:t xml:space="preserve">Months</w:t>
            </w:r>
          </w:p>
        </w:tc>
      </w:tr>
      <w:tr>
        <w:tc>
          <w:tcPr/>
          <w:p>
            <w:pPr>
              <w:pStyle w:val="Compact"/>
            </w:pPr>
            <w:r>
              <w:t xml:space="preserve">Single tenant &gt;5% of a placement’s I/O</w:t>
            </w:r>
          </w:p>
        </w:tc>
        <w:tc>
          <w:tcPr/>
          <w:p>
            <w:pPr>
              <w:pStyle w:val="Compact"/>
            </w:pPr>
            <w:r>
              <w:t xml:space="preserve">Any</w:t>
            </w:r>
          </w:p>
        </w:tc>
        <w:tc>
          <w:tcPr/>
          <w:p>
            <w:pPr>
              <w:pStyle w:val="Compact"/>
            </w:pPr>
            <w:r>
              <w:t xml:space="preserve">Consider a dedicated placement</w:t>
            </w:r>
          </w:p>
        </w:tc>
        <w:tc>
          <w:tcPr/>
          <w:p>
            <w:pPr>
              <w:pStyle w:val="Compact"/>
            </w:pPr>
            <w:r>
              <w:t xml:space="preserve">Weeks</w:t>
            </w:r>
          </w:p>
        </w:tc>
      </w:tr>
      <w:tr>
        <w:tc>
          <w:tcPr/>
          <w:p>
            <w:pPr>
              <w:pStyle w:val="Compact"/>
            </w:pPr>
            <w:r>
              <w:t xml:space="preserve">Support tickets/tenant/month</w:t>
            </w:r>
          </w:p>
        </w:tc>
        <w:tc>
          <w:tcPr/>
          <w:p>
            <w:pPr>
              <w:pStyle w:val="Compact"/>
            </w:pPr>
            <w:r>
              <w:t xml:space="preserve">Rising</w:t>
            </w:r>
          </w:p>
        </w:tc>
        <w:tc>
          <w:tcPr/>
          <w:p>
            <w:pPr>
              <w:pStyle w:val="Compact"/>
            </w:pPr>
            <w:r>
              <w:t xml:space="preserve">Automate the top cause</w:t>
            </w:r>
          </w:p>
        </w:tc>
        <w:tc>
          <w:tcPr/>
          <w:p>
            <w:pPr>
              <w:pStyle w:val="Compact"/>
            </w:pPr>
            <w:r>
              <w:t xml:space="preserve">Months</w:t>
            </w:r>
          </w:p>
        </w:tc>
      </w:tr>
      <w:tr>
        <w:tc>
          <w:tcPr/>
          <w:p>
            <w:pPr>
              <w:pStyle w:val="Compact"/>
            </w:pPr>
            <w:r>
              <w:t xml:space="preserve">Infra cost per tenant</w:t>
            </w:r>
          </w:p>
        </w:tc>
        <w:tc>
          <w:tcPr/>
          <w:p>
            <w:pPr>
              <w:pStyle w:val="Compact"/>
            </w:pPr>
            <w:r>
              <w:t xml:space="preserve">Rising</w:t>
            </w:r>
          </w:p>
        </w:tc>
        <w:tc>
          <w:tcPr/>
          <w:p>
            <w:pPr>
              <w:pStyle w:val="Compact"/>
            </w:pPr>
            <w:r>
              <w:t xml:space="preserve">Investigate — it should fall</w:t>
            </w:r>
          </w:p>
        </w:tc>
        <w:tc>
          <w:tcPr/>
          <w:p>
            <w:pPr>
              <w:pStyle w:val="Compact"/>
            </w:pPr>
            <w:r>
              <w:t xml:space="preserve">Months</w:t>
            </w:r>
          </w:p>
        </w:tc>
      </w:tr>
    </w:tbl>
    <w:p>
      <w:pPr>
        <w:pStyle w:val="BodyText"/>
      </w:pPr>
      <w:r>
        <w:t xml:space="preserve">The last two are not infrastructure metrics and are listed deliberately.</w:t>
      </w:r>
      <w:r>
        <w:t xml:space="preserve"> </w:t>
      </w:r>
      <w:r>
        <w:rPr>
          <w:b/>
          <w:bCs/>
        </w:rPr>
        <w:t xml:space="preserve">[JUDGEMENT]</w:t>
      </w:r>
      <w:r>
        <w:t xml:space="preserve"> </w:t>
      </w:r>
      <w:r>
        <w:t xml:space="preserve">Support load and unit cost are the two signals that actually determine whether 100,000 tenants is reachable by this team, and they are the two nobody puts on a dashboard.</w:t>
      </w:r>
    </w:p>
    <w:bookmarkEnd w:id="254"/>
    <w:bookmarkStart w:id="258" w:name="cost-model"/>
    <w:p>
      <w:pPr>
        <w:pStyle w:val="Heading2"/>
      </w:pPr>
      <w:r>
        <w:t xml:space="preserve">32. Cost model</w:t>
      </w:r>
    </w:p>
    <w:p>
      <w:pPr>
        <w:pStyle w:val="FirstParagraph"/>
      </w:pPr>
      <w:r>
        <w:rPr>
          <w:b/>
          <w:bCs/>
        </w:rPr>
        <w:t xml:space="preserve">[VENDOR-CHECK]</w:t>
      </w:r>
      <w:r>
        <w:t xml:space="preserve"> </w:t>
      </w:r>
      <w:r>
        <w:t xml:space="preserve">Every figure below is an order-of-magnitude planning estimate, current to May 2026, and must be re-verified before it becomes a budget.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w:t>
            </w:r>
          </w:p>
        </w:tc>
        <w:tc>
          <w:tcPr/>
          <w:p>
            <w:pPr>
              <w:pStyle w:val="Compact"/>
            </w:pPr>
            <w:r>
              <w:t xml:space="preserve">Stage 0</w:t>
            </w:r>
          </w:p>
        </w:tc>
        <w:tc>
          <w:tcPr/>
          <w:p>
            <w:pPr>
              <w:pStyle w:val="Compact"/>
            </w:pPr>
            <w:r>
              <w:t xml:space="preserve">Stage 1</w:t>
            </w:r>
          </w:p>
        </w:tc>
        <w:tc>
          <w:tcPr/>
          <w:p>
            <w:pPr>
              <w:pStyle w:val="Compact"/>
            </w:pPr>
            <w:r>
              <w:t xml:space="preserve">Stage 2</w:t>
            </w:r>
          </w:p>
        </w:tc>
        <w:tc>
          <w:tcPr/>
          <w:p>
            <w:pPr>
              <w:pStyle w:val="Compact"/>
            </w:pPr>
            <w:r>
              <w:t xml:space="preserve">Stage 3</w:t>
            </w:r>
          </w:p>
        </w:tc>
        <w:tc>
          <w:tcPr/>
          <w:p>
            <w:pPr>
              <w:pStyle w:val="Compact"/>
            </w:pPr>
            <w:r>
              <w:t xml:space="preserve">Stage 4</w:t>
            </w:r>
          </w:p>
        </w:tc>
      </w:tr>
      <w:tr>
        <w:tc>
          <w:tcPr/>
          <w:p>
            <w:pPr>
              <w:pStyle w:val="Compact"/>
            </w:pPr>
            <w:r>
              <w:t xml:space="preserve">Application hosting</w:t>
            </w:r>
          </w:p>
        </w:tc>
        <w:tc>
          <w:tcPr/>
          <w:p>
            <w:pPr>
              <w:pStyle w:val="Compact"/>
            </w:pPr>
            <w:r>
              <w:t xml:space="preserve">₹5k</w:t>
            </w:r>
          </w:p>
        </w:tc>
        <w:tc>
          <w:tcPr/>
          <w:p>
            <w:pPr>
              <w:pStyle w:val="Compact"/>
            </w:pPr>
            <w:r>
              <w:t xml:space="preserve">₹25k</w:t>
            </w:r>
          </w:p>
        </w:tc>
        <w:tc>
          <w:tcPr/>
          <w:p>
            <w:pPr>
              <w:pStyle w:val="Compact"/>
            </w:pPr>
            <w:r>
              <w:t xml:space="preserve">₹1.0 L</w:t>
            </w:r>
          </w:p>
        </w:tc>
        <w:tc>
          <w:tcPr/>
          <w:p>
            <w:pPr>
              <w:pStyle w:val="Compact"/>
            </w:pPr>
            <w:r>
              <w:t xml:space="preserve">₹3.0 L</w:t>
            </w:r>
          </w:p>
        </w:tc>
        <w:tc>
          <w:tcPr/>
          <w:p>
            <w:pPr>
              <w:pStyle w:val="Compact"/>
            </w:pPr>
            <w:r>
              <w:t xml:space="preserve">₹8 L</w:t>
            </w:r>
          </w:p>
        </w:tc>
      </w:tr>
      <w:tr>
        <w:tc>
          <w:tcPr/>
          <w:p>
            <w:pPr>
              <w:pStyle w:val="Compact"/>
            </w:pPr>
            <w:r>
              <w:t xml:space="preserve">Database — primary</w:t>
            </w:r>
          </w:p>
        </w:tc>
        <w:tc>
          <w:tcPr/>
          <w:p>
            <w:pPr>
              <w:pStyle w:val="Compact"/>
            </w:pPr>
            <w:r>
              <w:t xml:space="preserve">₹8k</w:t>
            </w:r>
          </w:p>
        </w:tc>
        <w:tc>
          <w:tcPr/>
          <w:p>
            <w:pPr>
              <w:pStyle w:val="Compact"/>
            </w:pPr>
            <w:r>
              <w:t xml:space="preserve">₹50k</w:t>
            </w:r>
          </w:p>
        </w:tc>
        <w:tc>
          <w:tcPr/>
          <w:p>
            <w:pPr>
              <w:pStyle w:val="Compact"/>
            </w:pPr>
            <w:r>
              <w:t xml:space="preserve">₹2.5 L</w:t>
            </w:r>
          </w:p>
        </w:tc>
        <w:tc>
          <w:tcPr/>
          <w:p>
            <w:pPr>
              <w:pStyle w:val="Compact"/>
            </w:pPr>
            <w:r>
              <w:t xml:space="preserve">₹8.0 L</w:t>
            </w:r>
          </w:p>
        </w:tc>
        <w:tc>
          <w:tcPr/>
          <w:p>
            <w:pPr>
              <w:pStyle w:val="Compact"/>
            </w:pPr>
            <w:r>
              <w:t xml:space="preserve">₹25 L</w:t>
            </w:r>
          </w:p>
        </w:tc>
      </w:tr>
      <w:tr>
        <w:tc>
          <w:tcPr/>
          <w:p>
            <w:pPr>
              <w:pStyle w:val="Compact"/>
            </w:pPr>
            <w:r>
              <w:t xml:space="preserve">Replicas</w:t>
            </w:r>
          </w:p>
        </w:tc>
        <w:tc>
          <w:tcPr/>
          <w:p>
            <w:pPr>
              <w:pStyle w:val="Compact"/>
            </w:pPr>
            <w:r>
              <w:t xml:space="preserve">—</w:t>
            </w:r>
          </w:p>
        </w:tc>
        <w:tc>
          <w:tcPr/>
          <w:p>
            <w:pPr>
              <w:pStyle w:val="Compact"/>
            </w:pPr>
            <w:r>
              <w:t xml:space="preserve">₹20k</w:t>
            </w:r>
          </w:p>
        </w:tc>
        <w:tc>
          <w:tcPr/>
          <w:p>
            <w:pPr>
              <w:pStyle w:val="Compact"/>
            </w:pPr>
            <w:r>
              <w:t xml:space="preserve">₹1.2 L</w:t>
            </w:r>
          </w:p>
        </w:tc>
        <w:tc>
          <w:tcPr/>
          <w:p>
            <w:pPr>
              <w:pStyle w:val="Compact"/>
            </w:pPr>
            <w:r>
              <w:t xml:space="preserve">₹4.0 L</w:t>
            </w:r>
          </w:p>
        </w:tc>
        <w:tc>
          <w:tcPr/>
          <w:p>
            <w:pPr>
              <w:pStyle w:val="Compact"/>
            </w:pPr>
            <w:r>
              <w:t xml:space="preserve">₹12 L</w:t>
            </w:r>
          </w:p>
        </w:tc>
      </w:tr>
      <w:tr>
        <w:tc>
          <w:tcPr/>
          <w:p>
            <w:pPr>
              <w:pStyle w:val="Compact"/>
            </w:pPr>
            <w:r>
              <w:t xml:space="preserve">Control plane</w:t>
            </w:r>
          </w:p>
        </w:tc>
        <w:tc>
          <w:tcPr/>
          <w:p>
            <w:pPr>
              <w:pStyle w:val="Compact"/>
            </w:pPr>
            <w:r>
              <w:t xml:space="preserve">shared</w:t>
            </w:r>
          </w:p>
        </w:tc>
        <w:tc>
          <w:tcPr/>
          <w:p>
            <w:pPr>
              <w:pStyle w:val="Compact"/>
            </w:pPr>
            <w:r>
              <w:t xml:space="preserve">₹8k</w:t>
            </w:r>
          </w:p>
        </w:tc>
        <w:tc>
          <w:tcPr/>
          <w:p>
            <w:pPr>
              <w:pStyle w:val="Compact"/>
            </w:pPr>
            <w:r>
              <w:t xml:space="preserve">₹25k</w:t>
            </w:r>
          </w:p>
        </w:tc>
        <w:tc>
          <w:tcPr/>
          <w:p>
            <w:pPr>
              <w:pStyle w:val="Compact"/>
            </w:pPr>
            <w:r>
              <w:t xml:space="preserve">₹1.0 L</w:t>
            </w:r>
          </w:p>
        </w:tc>
        <w:tc>
          <w:tcPr/>
          <w:p>
            <w:pPr>
              <w:pStyle w:val="Compact"/>
            </w:pPr>
            <w:r>
              <w:t xml:space="preserve">₹3 L</w:t>
            </w:r>
          </w:p>
        </w:tc>
      </w:tr>
      <w:tr>
        <w:tc>
          <w:tcPr/>
          <w:p>
            <w:pPr>
              <w:pStyle w:val="Compact"/>
            </w:pPr>
            <w:r>
              <w:t xml:space="preserve">Workers</w:t>
            </w:r>
          </w:p>
        </w:tc>
        <w:tc>
          <w:tcPr/>
          <w:p>
            <w:pPr>
              <w:pStyle w:val="Compact"/>
            </w:pPr>
            <w:r>
              <w:t xml:space="preserve">₹3k</w:t>
            </w:r>
          </w:p>
        </w:tc>
        <w:tc>
          <w:tcPr/>
          <w:p>
            <w:pPr>
              <w:pStyle w:val="Compact"/>
            </w:pPr>
            <w:r>
              <w:t xml:space="preserve">₹15k</w:t>
            </w:r>
          </w:p>
        </w:tc>
        <w:tc>
          <w:tcPr/>
          <w:p>
            <w:pPr>
              <w:pStyle w:val="Compact"/>
            </w:pPr>
            <w:r>
              <w:t xml:space="preserve">₹60k</w:t>
            </w:r>
          </w:p>
        </w:tc>
        <w:tc>
          <w:tcPr/>
          <w:p>
            <w:pPr>
              <w:pStyle w:val="Compact"/>
            </w:pPr>
            <w:r>
              <w:t xml:space="preserve">₹2.0 L</w:t>
            </w:r>
          </w:p>
        </w:tc>
        <w:tc>
          <w:tcPr/>
          <w:p>
            <w:pPr>
              <w:pStyle w:val="Compact"/>
            </w:pPr>
            <w:r>
              <w:t xml:space="preserve">₹6 L</w:t>
            </w:r>
          </w:p>
        </w:tc>
      </w:tr>
      <w:tr>
        <w:tc>
          <w:tcPr/>
          <w:p>
            <w:pPr>
              <w:pStyle w:val="Compact"/>
            </w:pPr>
            <w:r>
              <w:t xml:space="preserve">Object storage + egress</w:t>
            </w:r>
          </w:p>
        </w:tc>
        <w:tc>
          <w:tcPr/>
          <w:p>
            <w:pPr>
              <w:pStyle w:val="Compact"/>
            </w:pPr>
            <w:r>
              <w:t xml:space="preserve">₹2k</w:t>
            </w:r>
          </w:p>
        </w:tc>
        <w:tc>
          <w:tcPr/>
          <w:p>
            <w:pPr>
              <w:pStyle w:val="Compact"/>
            </w:pPr>
            <w:r>
              <w:t xml:space="preserve">₹10k</w:t>
            </w:r>
          </w:p>
        </w:tc>
        <w:tc>
          <w:tcPr/>
          <w:p>
            <w:pPr>
              <w:pStyle w:val="Compact"/>
            </w:pPr>
            <w:r>
              <w:t xml:space="preserve">₹50k</w:t>
            </w:r>
          </w:p>
        </w:tc>
        <w:tc>
          <w:tcPr/>
          <w:p>
            <w:pPr>
              <w:pStyle w:val="Compact"/>
            </w:pPr>
            <w:r>
              <w:t xml:space="preserve">₹2.0 L</w:t>
            </w:r>
          </w:p>
        </w:tc>
        <w:tc>
          <w:tcPr/>
          <w:p>
            <w:pPr>
              <w:pStyle w:val="Compact"/>
            </w:pPr>
            <w:r>
              <w:t xml:space="preserve">₹6 L</w:t>
            </w:r>
          </w:p>
        </w:tc>
      </w:tr>
      <w:tr>
        <w:tc>
          <w:tcPr/>
          <w:p>
            <w:pPr>
              <w:pStyle w:val="Compact"/>
            </w:pPr>
            <w:r>
              <w:t xml:space="preserve">Redis</w:t>
            </w:r>
          </w:p>
        </w:tc>
        <w:tc>
          <w:tcPr/>
          <w:p>
            <w:pPr>
              <w:pStyle w:val="Compact"/>
            </w:pPr>
            <w:r>
              <w:t xml:space="preserve">₹1k</w:t>
            </w:r>
          </w:p>
        </w:tc>
        <w:tc>
          <w:tcPr/>
          <w:p>
            <w:pPr>
              <w:pStyle w:val="Compact"/>
            </w:pPr>
            <w:r>
              <w:t xml:space="preserve">₹5k</w:t>
            </w:r>
          </w:p>
        </w:tc>
        <w:tc>
          <w:tcPr/>
          <w:p>
            <w:pPr>
              <w:pStyle w:val="Compact"/>
            </w:pPr>
            <w:r>
              <w:t xml:space="preserve">₹25k</w:t>
            </w:r>
          </w:p>
        </w:tc>
        <w:tc>
          <w:tcPr/>
          <w:p>
            <w:pPr>
              <w:pStyle w:val="Compact"/>
            </w:pPr>
            <w:r>
              <w:t xml:space="preserve">₹80k</w:t>
            </w:r>
          </w:p>
        </w:tc>
        <w:tc>
          <w:tcPr/>
          <w:p>
            <w:pPr>
              <w:pStyle w:val="Compact"/>
            </w:pPr>
            <w:r>
              <w:t xml:space="preserve">₹2 L</w:t>
            </w:r>
          </w:p>
        </w:tc>
      </w:tr>
      <w:tr>
        <w:tc>
          <w:tcPr/>
          <w:p>
            <w:pPr>
              <w:pStyle w:val="Compact"/>
            </w:pPr>
            <w:r>
              <w:t xml:space="preserve">Observability</w:t>
            </w:r>
          </w:p>
        </w:tc>
        <w:tc>
          <w:tcPr/>
          <w:p>
            <w:pPr>
              <w:pStyle w:val="Compact"/>
            </w:pPr>
            <w:r>
              <w:t xml:space="preserve">₹2k</w:t>
            </w:r>
          </w:p>
        </w:tc>
        <w:tc>
          <w:tcPr/>
          <w:p>
            <w:pPr>
              <w:pStyle w:val="Compact"/>
            </w:pPr>
            <w:r>
              <w:t xml:space="preserve">₹10k</w:t>
            </w:r>
          </w:p>
        </w:tc>
        <w:tc>
          <w:tcPr/>
          <w:p>
            <w:pPr>
              <w:pStyle w:val="Compact"/>
            </w:pPr>
            <w:r>
              <w:t xml:space="preserve">₹40k</w:t>
            </w:r>
          </w:p>
        </w:tc>
        <w:tc>
          <w:tcPr/>
          <w:p>
            <w:pPr>
              <w:pStyle w:val="Compact"/>
            </w:pPr>
            <w:r>
              <w:t xml:space="preserve">₹1.5 L</w:t>
            </w:r>
          </w:p>
        </w:tc>
        <w:tc>
          <w:tcPr/>
          <w:p>
            <w:pPr>
              <w:pStyle w:val="Compact"/>
            </w:pPr>
            <w:r>
              <w:t xml:space="preserve">₹4 L</w:t>
            </w:r>
          </w:p>
        </w:tc>
      </w:tr>
      <w:tr>
        <w:tc>
          <w:tcPr/>
          <w:p>
            <w:pPr>
              <w:pStyle w:val="Compact"/>
            </w:pPr>
            <w:r>
              <w:t xml:space="preserve">LLM / OCR</w:t>
            </w:r>
          </w:p>
        </w:tc>
        <w:tc>
          <w:tcPr/>
          <w:p>
            <w:pPr>
              <w:pStyle w:val="Compact"/>
            </w:pPr>
            <w:r>
              <w:t xml:space="preserve">variable</w:t>
            </w:r>
          </w:p>
        </w:tc>
        <w:tc>
          <w:tcPr/>
          <w:p>
            <w:pPr>
              <w:pStyle w:val="Compact"/>
            </w:pPr>
            <w:r>
              <w:t xml:space="preserve">₹15k</w:t>
            </w:r>
          </w:p>
        </w:tc>
        <w:tc>
          <w:tcPr/>
          <w:p>
            <w:pPr>
              <w:pStyle w:val="Compact"/>
            </w:pPr>
            <w:r>
              <w:t xml:space="preserve">₹75k</w:t>
            </w:r>
          </w:p>
        </w:tc>
        <w:tc>
          <w:tcPr/>
          <w:p>
            <w:pPr>
              <w:pStyle w:val="Compact"/>
            </w:pPr>
            <w:r>
              <w:t xml:space="preserve">₹3.0 L</w:t>
            </w:r>
          </w:p>
        </w:tc>
        <w:tc>
          <w:tcPr/>
          <w:p>
            <w:pPr>
              <w:pStyle w:val="Compact"/>
            </w:pPr>
            <w:r>
              <w:t xml:space="preserve">₹8 L</w:t>
            </w:r>
          </w:p>
        </w:tc>
      </w:tr>
      <w:tr>
        <w:tc>
          <w:tcPr/>
          <w:p>
            <w:pPr>
              <w:pStyle w:val="Compact"/>
            </w:pPr>
            <w:r>
              <w:rPr>
                <w:b/>
                <w:bCs/>
              </w:rPr>
              <w:t xml:space="preserve">Total / month</w:t>
            </w:r>
          </w:p>
        </w:tc>
        <w:tc>
          <w:tcPr/>
          <w:p>
            <w:pPr>
              <w:pStyle w:val="Compact"/>
            </w:pPr>
            <w:r>
              <w:rPr>
                <w:b/>
                <w:bCs/>
              </w:rPr>
              <w:t xml:space="preserve">~₹25k</w:t>
            </w:r>
          </w:p>
        </w:tc>
        <w:tc>
          <w:tcPr/>
          <w:p>
            <w:pPr>
              <w:pStyle w:val="Compact"/>
            </w:pPr>
            <w:r>
              <w:rPr>
                <w:b/>
                <w:bCs/>
              </w:rPr>
              <w:t xml:space="preserve">~₹1.6 L</w:t>
            </w:r>
          </w:p>
        </w:tc>
        <w:tc>
          <w:tcPr/>
          <w:p>
            <w:pPr>
              <w:pStyle w:val="Compact"/>
            </w:pPr>
            <w:r>
              <w:rPr>
                <w:b/>
                <w:bCs/>
              </w:rPr>
              <w:t xml:space="preserve">~₹7.5 L</w:t>
            </w:r>
          </w:p>
        </w:tc>
        <w:tc>
          <w:tcPr/>
          <w:p>
            <w:pPr>
              <w:pStyle w:val="Compact"/>
            </w:pPr>
            <w:r>
              <w:rPr>
                <w:b/>
                <w:bCs/>
              </w:rPr>
              <w:t xml:space="preserve">~₹25 L</w:t>
            </w:r>
          </w:p>
        </w:tc>
        <w:tc>
          <w:tcPr/>
          <w:p>
            <w:pPr>
              <w:pStyle w:val="Compact"/>
            </w:pPr>
            <w:r>
              <w:rPr>
                <w:b/>
                <w:bCs/>
              </w:rPr>
              <w:t xml:space="preserve">~₹74 L</w:t>
            </w:r>
          </w:p>
        </w:tc>
      </w:tr>
      <w:tr>
        <w:tc>
          <w:tcPr/>
          <w:p>
            <w:pPr>
              <w:pStyle w:val="Compact"/>
            </w:pPr>
            <w:r>
              <w:t xml:space="preserve">Tenants</w:t>
            </w:r>
          </w:p>
        </w:tc>
        <w:tc>
          <w:tcPr/>
          <w:p>
            <w:pPr>
              <w:pStyle w:val="Compact"/>
            </w:pPr>
            <w:r>
              <w:t xml:space="preserve">100</w:t>
            </w:r>
          </w:p>
        </w:tc>
        <w:tc>
          <w:tcPr/>
          <w:p>
            <w:pPr>
              <w:pStyle w:val="Compact"/>
            </w:pPr>
            <w:r>
              <w:t xml:space="preserve">1,000</w:t>
            </w:r>
          </w:p>
        </w:tc>
        <w:tc>
          <w:tcPr/>
          <w:p>
            <w:pPr>
              <w:pStyle w:val="Compact"/>
            </w:pPr>
            <w:r>
              <w:t xml:space="preserve">10,000</w:t>
            </w:r>
          </w:p>
        </w:tc>
        <w:tc>
          <w:tcPr/>
          <w:p>
            <w:pPr>
              <w:pStyle w:val="Compact"/>
            </w:pPr>
            <w:r>
              <w:t xml:space="preserve">50,000</w:t>
            </w:r>
          </w:p>
        </w:tc>
        <w:tc>
          <w:tcPr/>
          <w:p>
            <w:pPr>
              <w:pStyle w:val="Compact"/>
            </w:pPr>
            <w:r>
              <w:t xml:space="preserve">100,000</w:t>
            </w:r>
          </w:p>
        </w:tc>
      </w:tr>
      <w:tr>
        <w:tc>
          <w:tcPr/>
          <w:p>
            <w:pPr>
              <w:pStyle w:val="Compact"/>
            </w:pPr>
            <w:r>
              <w:rPr>
                <w:b/>
                <w:bCs/>
              </w:rPr>
              <w:t xml:space="preserve">Cost per tenant / month</w:t>
            </w:r>
          </w:p>
        </w:tc>
        <w:tc>
          <w:tcPr/>
          <w:p>
            <w:pPr>
              <w:pStyle w:val="Compact"/>
            </w:pPr>
            <w:r>
              <w:rPr>
                <w:b/>
                <w:bCs/>
              </w:rPr>
              <w:t xml:space="preserve">₹250</w:t>
            </w:r>
          </w:p>
        </w:tc>
        <w:tc>
          <w:tcPr/>
          <w:p>
            <w:pPr>
              <w:pStyle w:val="Compact"/>
            </w:pPr>
            <w:r>
              <w:rPr>
                <w:b/>
                <w:bCs/>
              </w:rPr>
              <w:t xml:space="preserve">₹160</w:t>
            </w:r>
          </w:p>
        </w:tc>
        <w:tc>
          <w:tcPr/>
          <w:p>
            <w:pPr>
              <w:pStyle w:val="Compact"/>
            </w:pPr>
            <w:r>
              <w:rPr>
                <w:b/>
                <w:bCs/>
              </w:rPr>
              <w:t xml:space="preserve">₹75</w:t>
            </w:r>
          </w:p>
        </w:tc>
        <w:tc>
          <w:tcPr/>
          <w:p>
            <w:pPr>
              <w:pStyle w:val="Compact"/>
            </w:pPr>
            <w:r>
              <w:rPr>
                <w:b/>
                <w:bCs/>
              </w:rPr>
              <w:t xml:space="preserve">₹50</w:t>
            </w:r>
          </w:p>
        </w:tc>
        <w:tc>
          <w:tcPr/>
          <w:p>
            <w:pPr>
              <w:pStyle w:val="Compact"/>
            </w:pPr>
            <w:r>
              <w:rPr>
                <w:b/>
                <w:bCs/>
              </w:rPr>
              <w:t xml:space="preserve">₹74</w:t>
            </w:r>
          </w:p>
        </w:tc>
      </w:tr>
    </w:tbl>
    <w:p>
      <w:pPr>
        <w:pStyle w:val="BodyText"/>
      </w:pPr>
      <w:r>
        <w:drawing>
          <wp:inline>
            <wp:extent cx="5334000" cy="415017"/>
            <wp:effectExtent b="0" l="0" r="0" t="0"/>
            <wp:docPr descr="" title="" id="256" name="Picture"/>
            <a:graphic>
              <a:graphicData uri="http://schemas.openxmlformats.org/drawingml/2006/picture">
                <pic:pic>
                  <pic:nvPicPr>
                    <pic:cNvPr descr="/private/tmp/claude-501/-Users-sudipto-Desktop-projects-accubook/c277cf12-a75d-42eb-a282-70d38dbc59e8/scratchpad/d40.png" id="257" name="Picture"/>
                    <pic:cNvPicPr>
                      <a:picLocks noChangeArrowheads="1" noChangeAspect="1"/>
                    </pic:cNvPicPr>
                  </pic:nvPicPr>
                  <pic:blipFill>
                    <a:blip r:embed="rId255"/>
                    <a:stretch>
                      <a:fillRect/>
                    </a:stretch>
                  </pic:blipFill>
                  <pic:spPr bwMode="auto">
                    <a:xfrm>
                      <a:off x="0" y="0"/>
                      <a:ext cx="5334000" cy="415017"/>
                    </a:xfrm>
                    <a:prstGeom prst="rect">
                      <a:avLst/>
                    </a:prstGeom>
                    <a:noFill/>
                    <a:ln w="9525">
                      <a:noFill/>
                      <a:headEnd/>
                      <a:tailEnd/>
                    </a:ln>
                  </pic:spPr>
                </pic:pic>
              </a:graphicData>
            </a:graphic>
          </wp:inline>
        </w:drawing>
      </w:r>
    </w:p>
    <w:p>
      <w:pPr>
        <w:pStyle w:val="BodyText"/>
      </w:pPr>
      <w:r>
        <w:rPr>
          <w:b/>
          <w:bCs/>
        </w:rPr>
        <w:t xml:space="preserve">[JUDGEMENT]</w:t>
      </w:r>
      <w:r>
        <w:t xml:space="preserve"> </w:t>
      </w:r>
      <w:r>
        <w:t xml:space="preserve">Three readings of this table matter more than the absolute numbers.</w:t>
      </w:r>
    </w:p>
    <w:p>
      <w:pPr>
        <w:pStyle w:val="BodyText"/>
      </w:pPr>
      <w:r>
        <w:rPr>
          <w:b/>
          <w:bCs/>
        </w:rPr>
        <w:t xml:space="preserve">The curve bends the right way.</w:t>
      </w:r>
      <w:r>
        <w:t xml:space="preserve"> </w:t>
      </w:r>
      <w:r>
        <w:t xml:space="preserve">Cost per tenant falls roughly 5× from Stage 0 to Stage 3. That is amortisation, and it is the whole economic argument for pooling in one line. Under SILO this line would be flat at best.</w:t>
      </w:r>
    </w:p>
    <w:p>
      <w:pPr>
        <w:pStyle w:val="BodyText"/>
      </w:pPr>
      <w:r>
        <w:rPr>
          <w:b/>
          <w:bCs/>
        </w:rPr>
        <w:t xml:space="preserve">Stage 0 is not profitable, and should not be.</w:t>
      </w:r>
      <w:r>
        <w:t xml:space="preserve"> </w:t>
      </w:r>
      <w:r>
        <w:t xml:space="preserve">₹250/tenant against a ₹499 plan is a thin margin, and at 20 tenants rather than 100 it is negative. That is what early-stage infrastructure costs; it is fixed cost awaiting volume, not a design flaw.</w:t>
      </w:r>
    </w:p>
    <w:p>
      <w:pPr>
        <w:pStyle w:val="BodyText"/>
      </w:pPr>
      <w:r>
        <w:rPr>
          <w:b/>
          <w:bCs/>
        </w:rPr>
        <w:t xml:space="preserve">Stage 4’s rise is a mix effect, not a regression.</w:t>
      </w:r>
      <w:r>
        <w:t xml:space="preserve"> </w:t>
      </w:r>
      <w:r>
        <w:t xml:space="preserve">It reflects SILO placements and possible multi-region — both of which are</w:t>
      </w:r>
      <w:r>
        <w:t xml:space="preserve"> </w:t>
      </w:r>
      <w:r>
        <w:rPr>
          <w:b/>
          <w:bCs/>
        </w:rPr>
        <w:t xml:space="preserve">sold at a premium</w:t>
      </w:r>
      <w:r>
        <w:t xml:space="preserve">. If the isolation SKU is priced below its cost, this line becomes a real problem; §24 exists partly so that it is not.</w:t>
      </w:r>
    </w:p>
    <w:p>
      <w:pPr>
        <w:pStyle w:val="BodyText"/>
      </w:pPr>
      <w:r>
        <w:rPr>
          <w:b/>
          <w:bCs/>
        </w:rPr>
        <w:t xml:space="preserve">The number to watch is LLM/OCR.</w:t>
      </w:r>
      <w:r>
        <w:t xml:space="preserve"> </w:t>
      </w:r>
      <w:r>
        <w:t xml:space="preserve">It is the only line that is not roughly proportional to tenants — it is proportional to</w:t>
      </w:r>
      <w:r>
        <w:t xml:space="preserve"> </w:t>
      </w:r>
      <w:r>
        <w:rPr>
          <w:i/>
          <w:iCs/>
        </w:rPr>
        <w:t xml:space="preserve">behaviour</w:t>
      </w:r>
      <w:r>
        <w:t xml:space="preserve">, and one tenant can move it. This is why the per-tenant OCR cap in §24.4 is the first limit to build.</w:t>
      </w:r>
    </w:p>
    <w:bookmarkEnd w:id="258"/>
    <w:bookmarkStart w:id="266" w:name="what-breaks-and-what-happens-then"/>
    <w:p>
      <w:pPr>
        <w:pStyle w:val="Heading2"/>
      </w:pPr>
      <w:r>
        <w:t xml:space="preserve">33. What breaks, and what happens then</w:t>
      </w:r>
    </w:p>
    <w:bookmarkStart w:id="259" w:name="failure-modes-by-stage"/>
    <w:p>
      <w:pPr>
        <w:pStyle w:val="Heading3"/>
      </w:pPr>
      <w:r>
        <w:t xml:space="preserve">33.1 Failure modes by stage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Failure</w:t>
            </w:r>
          </w:p>
        </w:tc>
        <w:tc>
          <w:tcPr/>
          <w:p>
            <w:pPr>
              <w:pStyle w:val="Compact"/>
            </w:pPr>
            <w:r>
              <w:t xml:space="preserve">Stage</w:t>
            </w:r>
          </w:p>
        </w:tc>
        <w:tc>
          <w:tcPr/>
          <w:p>
            <w:pPr>
              <w:pStyle w:val="Compact"/>
            </w:pPr>
            <w:r>
              <w:t xml:space="preserve">Blast radius</w:t>
            </w:r>
          </w:p>
        </w:tc>
        <w:tc>
          <w:tcPr/>
          <w:p>
            <w:pPr>
              <w:pStyle w:val="Compact"/>
            </w:pPr>
            <w:r>
              <w:t xml:space="preserve">Design response</w:t>
            </w:r>
          </w:p>
        </w:tc>
      </w:tr>
      <w:tr>
        <w:tc>
          <w:tcPr/>
          <w:p>
            <w:pPr>
              <w:pStyle w:val="Compact"/>
            </w:pPr>
            <w:r>
              <w:t xml:space="preserve">Primary database down</w:t>
            </w:r>
          </w:p>
        </w:tc>
        <w:tc>
          <w:tcPr/>
          <w:p>
            <w:pPr>
              <w:pStyle w:val="Compact"/>
            </w:pPr>
            <w:r>
              <w:t xml:space="preserve">Any</w:t>
            </w:r>
          </w:p>
        </w:tc>
        <w:tc>
          <w:tcPr/>
          <w:p>
            <w:pPr>
              <w:pStyle w:val="Compact"/>
            </w:pPr>
            <w:r>
              <w:t xml:space="preserve">One placement</w:t>
            </w:r>
          </w:p>
        </w:tc>
        <w:tc>
          <w:tcPr/>
          <w:p>
            <w:pPr>
              <w:pStyle w:val="Compact"/>
            </w:pPr>
            <w:r>
              <w:t xml:space="preserve">HA failover; Stage 3+ limits it to a fraction of tenants</w:t>
            </w:r>
          </w:p>
        </w:tc>
      </w:tr>
      <w:tr>
        <w:tc>
          <w:tcPr/>
          <w:p>
            <w:pPr>
              <w:pStyle w:val="Compact"/>
            </w:pPr>
            <w:r>
              <w:rPr>
                <w:b/>
                <w:bCs/>
              </w:rPr>
              <w:t xml:space="preserve">Control plane down</w:t>
            </w:r>
          </w:p>
        </w:tc>
        <w:tc>
          <w:tcPr/>
          <w:p>
            <w:pPr>
              <w:pStyle w:val="Compact"/>
            </w:pPr>
            <w:r>
              <w:t xml:space="preserve">Any</w:t>
            </w:r>
          </w:p>
        </w:tc>
        <w:tc>
          <w:tcPr/>
          <w:p>
            <w:pPr>
              <w:pStyle w:val="Compact"/>
            </w:pPr>
            <w:r>
              <w:rPr>
                <w:b/>
                <w:bCs/>
              </w:rPr>
              <w:t xml:space="preserve">Total</w:t>
            </w:r>
          </w:p>
        </w:tc>
        <w:tc>
          <w:tcPr/>
          <w:p>
            <w:pPr>
              <w:pStyle w:val="Compact"/>
            </w:pPr>
            <w:r>
              <w:t xml:space="preserve">Stale-while-error cache (§7.3) degrades instead of failing</w:t>
            </w:r>
          </w:p>
        </w:tc>
      </w:tr>
      <w:tr>
        <w:tc>
          <w:tcPr/>
          <w:p>
            <w:pPr>
              <w:pStyle w:val="Compact"/>
            </w:pPr>
            <w:r>
              <w:t xml:space="preserve">Replica lag or loss</w:t>
            </w:r>
          </w:p>
        </w:tc>
        <w:tc>
          <w:tcPr/>
          <w:p>
            <w:pPr>
              <w:pStyle w:val="Compact"/>
            </w:pPr>
            <w:r>
              <w:t xml:space="preserve">1+</w:t>
            </w:r>
          </w:p>
        </w:tc>
        <w:tc>
          <w:tcPr/>
          <w:p>
            <w:pPr>
              <w:pStyle w:val="Compact"/>
            </w:pPr>
            <w:r>
              <w:t xml:space="preserve">Reports only</w:t>
            </w:r>
          </w:p>
        </w:tc>
        <w:tc>
          <w:tcPr/>
          <w:p>
            <w:pPr>
              <w:pStyle w:val="Compact"/>
            </w:pPr>
            <w:r>
              <w:t xml:space="preserve">Fall back to the primary for T1; delay T3</w:t>
            </w:r>
          </w:p>
        </w:tc>
      </w:tr>
      <w:tr>
        <w:tc>
          <w:tcPr/>
          <w:p>
            <w:pPr>
              <w:pStyle w:val="Compact"/>
            </w:pPr>
            <w:r>
              <w:t xml:space="preserve">Worker fleet down</w:t>
            </w:r>
          </w:p>
        </w:tc>
        <w:tc>
          <w:tcPr/>
          <w:p>
            <w:pPr>
              <w:pStyle w:val="Compact"/>
            </w:pPr>
            <w:r>
              <w:t xml:space="preserve">Any</w:t>
            </w:r>
          </w:p>
        </w:tc>
        <w:tc>
          <w:tcPr/>
          <w:p>
            <w:pPr>
              <w:pStyle w:val="Compact"/>
            </w:pPr>
            <w:r>
              <w:t xml:space="preserve">Async work only</w:t>
            </w:r>
          </w:p>
        </w:tc>
        <w:tc>
          <w:tcPr/>
          <w:p>
            <w:pPr>
              <w:pStyle w:val="Compact"/>
            </w:pPr>
            <w:r>
              <w:t xml:space="preserve">Jobs queue and drain; nothing is lost</w:t>
            </w:r>
          </w:p>
        </w:tc>
      </w:tr>
      <w:tr>
        <w:tc>
          <w:tcPr/>
          <w:p>
            <w:pPr>
              <w:pStyle w:val="Compact"/>
            </w:pPr>
            <w:r>
              <w:t xml:space="preserve">Redis down</w:t>
            </w:r>
          </w:p>
        </w:tc>
        <w:tc>
          <w:tcPr/>
          <w:p>
            <w:pPr>
              <w:pStyle w:val="Compact"/>
            </w:pPr>
            <w:r>
              <w:t xml:space="preserve">Any</w:t>
            </w:r>
          </w:p>
        </w:tc>
        <w:tc>
          <w:tcPr/>
          <w:p>
            <w:pPr>
              <w:pStyle w:val="Compact"/>
            </w:pPr>
            <w:r>
              <w:t xml:space="preserve">Rate limits, cache</w:t>
            </w:r>
          </w:p>
        </w:tc>
        <w:tc>
          <w:tcPr/>
          <w:p>
            <w:pPr>
              <w:pStyle w:val="Compact"/>
            </w:pPr>
            <w:r>
              <w:t xml:space="preserve">Fail</w:t>
            </w:r>
            <w:r>
              <w:t xml:space="preserve"> </w:t>
            </w:r>
            <w:r>
              <w:rPr>
                <w:b/>
                <w:bCs/>
              </w:rPr>
              <w:t xml:space="preserve">open</w:t>
            </w:r>
            <w:r>
              <w:t xml:space="preserve"> </w:t>
            </w:r>
            <w:r>
              <w:t xml:space="preserve">on rate limits,</w:t>
            </w:r>
            <w:r>
              <w:t xml:space="preserve"> </w:t>
            </w:r>
            <w:r>
              <w:rPr>
                <w:b/>
                <w:bCs/>
              </w:rPr>
              <w:t xml:space="preserve">closed</w:t>
            </w:r>
            <w:r>
              <w:t xml:space="preserve"> </w:t>
            </w:r>
            <w:r>
              <w:t xml:space="preserve">on entitlements</w:t>
            </w:r>
            <w:r>
              <w:t xml:space="preserve"> </w:t>
            </w:r>
            <w:r>
              <w:rPr>
                <w:b/>
                <w:bCs/>
              </w:rPr>
              <w:t xml:space="preserve">[JUDGEMENT]</w:t>
            </w:r>
          </w:p>
        </w:tc>
      </w:tr>
      <w:tr>
        <w:tc>
          <w:tcPr/>
          <w:p>
            <w:pPr>
              <w:pStyle w:val="Compact"/>
            </w:pPr>
            <w:r>
              <w:t xml:space="preserve">One tenant’s runaway query</w:t>
            </w:r>
          </w:p>
        </w:tc>
        <w:tc>
          <w:tcPr/>
          <w:p>
            <w:pPr>
              <w:pStyle w:val="Compact"/>
            </w:pPr>
            <w:r>
              <w:t xml:space="preserve">1+</w:t>
            </w:r>
          </w:p>
        </w:tc>
        <w:tc>
          <w:tcPr/>
          <w:p>
            <w:pPr>
              <w:pStyle w:val="Compact"/>
            </w:pPr>
            <w:r>
              <w:t xml:space="preserve">Was: everyone. Now: themselves</w:t>
            </w:r>
          </w:p>
        </w:tc>
        <w:tc>
          <w:tcPr/>
          <w:p>
            <w:pPr>
              <w:pStyle w:val="Compact"/>
            </w:pPr>
            <w:r>
              <w:rPr>
                <w:rStyle w:val="VerbatimChar"/>
              </w:rPr>
              <w:t xml:space="preserve">statement_timeout</w:t>
            </w:r>
            <w:r>
              <w:t xml:space="preserve"> </w:t>
            </w:r>
            <w:r>
              <w:t xml:space="preserve">+ report tiering + replica routing</w:t>
            </w:r>
          </w:p>
        </w:tc>
      </w:tr>
      <w:tr>
        <w:tc>
          <w:tcPr/>
          <w:p>
            <w:pPr>
              <w:pStyle w:val="Compact"/>
            </w:pPr>
            <w:r>
              <w:t xml:space="preserve">One tenant’s import flood</w:t>
            </w:r>
          </w:p>
        </w:tc>
        <w:tc>
          <w:tcPr/>
          <w:p>
            <w:pPr>
              <w:pStyle w:val="Compact"/>
            </w:pPr>
            <w:r>
              <w:t xml:space="preserve">1+</w:t>
            </w:r>
          </w:p>
        </w:tc>
        <w:tc>
          <w:tcPr/>
          <w:p>
            <w:pPr>
              <w:pStyle w:val="Compact"/>
            </w:pPr>
            <w:r>
              <w:t xml:space="preserve">Was: every queue. Now: themselves</w:t>
            </w:r>
          </w:p>
        </w:tc>
        <w:tc>
          <w:tcPr/>
          <w:p>
            <w:pPr>
              <w:pStyle w:val="Compact"/>
            </w:pPr>
            <w:r>
              <w:t xml:space="preserve">Per-tenant in-flight caps (§18.5)</w:t>
            </w:r>
          </w:p>
        </w:tc>
      </w:tr>
      <w:tr>
        <w:tc>
          <w:tcPr/>
          <w:p>
            <w:pPr>
              <w:pStyle w:val="Compact"/>
            </w:pPr>
            <w:r>
              <w:t xml:space="preserve">Object storage outage</w:t>
            </w:r>
          </w:p>
        </w:tc>
        <w:tc>
          <w:tcPr/>
          <w:p>
            <w:pPr>
              <w:pStyle w:val="Compact"/>
            </w:pPr>
            <w:r>
              <w:t xml:space="preserve">Any</w:t>
            </w:r>
          </w:p>
        </w:tc>
        <w:tc>
          <w:tcPr/>
          <w:p>
            <w:pPr>
              <w:pStyle w:val="Compact"/>
            </w:pPr>
            <w:r>
              <w:t xml:space="preserve">Documents and reports</w:t>
            </w:r>
          </w:p>
        </w:tc>
        <w:tc>
          <w:tcPr/>
          <w:p>
            <w:pPr>
              <w:pStyle w:val="Compact"/>
            </w:pPr>
            <w:r>
              <w:t xml:space="preserve">Postings continue; uploads queue</w:t>
            </w:r>
          </w:p>
        </w:tc>
      </w:tr>
      <w:tr>
        <w:tc>
          <w:tcPr/>
          <w:p>
            <w:pPr>
              <w:pStyle w:val="Compact"/>
            </w:pPr>
            <w:r>
              <w:t xml:space="preserve">A partition not created</w:t>
            </w:r>
          </w:p>
        </w:tc>
        <w:tc>
          <w:tcPr/>
          <w:p>
            <w:pPr>
              <w:pStyle w:val="Compact"/>
            </w:pPr>
            <w:r>
              <w:t xml:space="preserve">2+</w:t>
            </w:r>
          </w:p>
        </w:tc>
        <w:tc>
          <w:tcPr/>
          <w:p>
            <w:pPr>
              <w:pStyle w:val="Compact"/>
            </w:pPr>
            <w:r>
              <w:t xml:space="preserve">Writes to that table stop</w:t>
            </w:r>
          </w:p>
        </w:tc>
        <w:tc>
          <w:tcPr/>
          <w:p>
            <w:pPr>
              <w:pStyle w:val="Compact"/>
            </w:pPr>
            <w:r>
              <w:t xml:space="preserve">Create months ahead; alert on absence</w:t>
            </w:r>
          </w:p>
        </w:tc>
      </w:tr>
      <w:tr>
        <w:tc>
          <w:tcPr/>
          <w:p>
            <w:pPr>
              <w:pStyle w:val="Compact"/>
            </w:pPr>
            <w:r>
              <w:t xml:space="preserve">Migration failure mid-deploy</w:t>
            </w:r>
          </w:p>
        </w:tc>
        <w:tc>
          <w:tcPr/>
          <w:p>
            <w:pPr>
              <w:pStyle w:val="Compact"/>
            </w:pPr>
            <w:r>
              <w:t xml:space="preserve">Any</w:t>
            </w:r>
          </w:p>
        </w:tc>
        <w:tc>
          <w:tcPr/>
          <w:p>
            <w:pPr>
              <w:pStyle w:val="Compact"/>
            </w:pPr>
            <w:r>
              <w:t xml:space="preserve">Potentially total</w:t>
            </w:r>
          </w:p>
        </w:tc>
        <w:tc>
          <w:tcPr/>
          <w:p>
            <w:pPr>
              <w:pStyle w:val="Compact"/>
            </w:pPr>
            <w:r>
              <w:t xml:space="preserve">Expand/contract; pre-migration snapshot; production-only guard ✅</w:t>
            </w:r>
          </w:p>
        </w:tc>
      </w:tr>
      <w:tr>
        <w:tc>
          <w:tcPr/>
          <w:p>
            <w:pPr>
              <w:pStyle w:val="Compact"/>
            </w:pPr>
            <w:r>
              <w:rPr>
                <w:b/>
                <w:bCs/>
              </w:rPr>
              <w:t xml:space="preserve">Cross-tenant leak</w:t>
            </w:r>
          </w:p>
        </w:tc>
        <w:tc>
          <w:tcPr/>
          <w:p>
            <w:pPr>
              <w:pStyle w:val="Compact"/>
            </w:pPr>
            <w:r>
              <w:t xml:space="preserve">Any</w:t>
            </w:r>
          </w:p>
        </w:tc>
        <w:tc>
          <w:tcPr/>
          <w:p>
            <w:pPr>
              <w:pStyle w:val="Compact"/>
            </w:pPr>
            <w:r>
              <w:rPr>
                <w:b/>
                <w:bCs/>
              </w:rPr>
              <w:t xml:space="preserve">Existential</w:t>
            </w:r>
          </w:p>
        </w:tc>
        <w:tc>
          <w:tcPr/>
          <w:p>
            <w:pPr>
              <w:pStyle w:val="Compact"/>
            </w:pPr>
            <w:r>
              <w:t xml:space="preserve">Two independent controls + the 22-row matrix + CI</w:t>
            </w:r>
          </w:p>
        </w:tc>
      </w:tr>
      <w:tr>
        <w:tc>
          <w:tcPr/>
          <w:p>
            <w:pPr>
              <w:pStyle w:val="Compact"/>
            </w:pPr>
            <w:r>
              <w:rPr>
                <w:b/>
                <w:bCs/>
              </w:rPr>
              <w:t xml:space="preserve">Backup unrestorable</w:t>
            </w:r>
          </w:p>
        </w:tc>
        <w:tc>
          <w:tcPr/>
          <w:p>
            <w:pPr>
              <w:pStyle w:val="Compact"/>
            </w:pPr>
            <w:r>
              <w:t xml:space="preserve">Any</w:t>
            </w:r>
          </w:p>
        </w:tc>
        <w:tc>
          <w:tcPr/>
          <w:p>
            <w:pPr>
              <w:pStyle w:val="Compact"/>
            </w:pPr>
            <w:r>
              <w:rPr>
                <w:b/>
                <w:bCs/>
              </w:rPr>
              <w:t xml:space="preserve">Existential</w:t>
            </w:r>
          </w:p>
        </w:tc>
        <w:tc>
          <w:tcPr/>
          <w:p>
            <w:pPr>
              <w:pStyle w:val="Compact"/>
            </w:pPr>
            <w:r>
              <w:t xml:space="preserve">Automated weekly restore verification</w:t>
            </w:r>
          </w:p>
        </w:tc>
      </w:tr>
    </w:tbl>
    <w:p>
      <w:pPr>
        <w:pStyle w:val="BodyText"/>
      </w:pPr>
      <w:r>
        <w:rPr>
          <w:b/>
          <w:bCs/>
        </w:rPr>
        <w:t xml:space="preserve">[JUDGEMENT]</w:t>
      </w:r>
      <w:r>
        <w:t xml:space="preserve"> </w:t>
      </w:r>
      <w:r>
        <w:t xml:space="preserve">The Redis asymmetry is worth stating plainly: if the rate limiter is unavailable, allow the request (a brief loss of protection); if the entitlement cache is unavailable and no stale copy exists, deny the</w:t>
      </w:r>
      <w:r>
        <w:t xml:space="preserve"> </w:t>
      </w:r>
      <w:r>
        <w:rPr>
          <w:i/>
          <w:iCs/>
        </w:rPr>
        <w:t xml:space="preserve">feature</w:t>
      </w:r>
      <w:r>
        <w:t xml:space="preserve"> </w:t>
      </w:r>
      <w:r>
        <w:t xml:space="preserve">but not the login. Failing closed on rate limits turns a cache blip into a total outage; failing open on entitlements gives away the product.</w:t>
      </w:r>
    </w:p>
    <w:bookmarkEnd w:id="259"/>
    <w:bookmarkStart w:id="260" w:name="disaster-recovery-targets"/>
    <w:p>
      <w:pPr>
        <w:pStyle w:val="Heading3"/>
      </w:pPr>
      <w:r>
        <w:t xml:space="preserve">33.2 Disaster recovery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RPO</w:t>
            </w:r>
          </w:p>
        </w:tc>
        <w:tc>
          <w:tcPr/>
          <w:p>
            <w:pPr>
              <w:pStyle w:val="Compact"/>
            </w:pPr>
            <w:r>
              <w:t xml:space="preserve">RTO</w:t>
            </w:r>
          </w:p>
        </w:tc>
        <w:tc>
          <w:tcPr/>
          <w:p>
            <w:pPr>
              <w:pStyle w:val="Compact"/>
            </w:pPr>
            <w:r>
              <w:t xml:space="preserve">Mechanism</w:t>
            </w:r>
          </w:p>
        </w:tc>
      </w:tr>
      <w:tr>
        <w:tc>
          <w:tcPr/>
          <w:p>
            <w:pPr>
              <w:pStyle w:val="Compact"/>
            </w:pPr>
            <w:r>
              <w:t xml:space="preserve">Accidental deletion by a tenant user</w:t>
            </w:r>
          </w:p>
        </w:tc>
        <w:tc>
          <w:tcPr/>
          <w:p>
            <w:pPr>
              <w:pStyle w:val="Compact"/>
            </w:pPr>
            <w:r>
              <w:t xml:space="preserve">0</w:t>
            </w:r>
          </w:p>
        </w:tc>
        <w:tc>
          <w:tcPr/>
          <w:p>
            <w:pPr>
              <w:pStyle w:val="Compact"/>
            </w:pPr>
            <w:r>
              <w:t xml:space="preserve">Minutes</w:t>
            </w:r>
          </w:p>
        </w:tc>
        <w:tc>
          <w:tcPr/>
          <w:p>
            <w:pPr>
              <w:pStyle w:val="Compact"/>
            </w:pPr>
            <w:r>
              <w:t xml:space="preserve">Reversal, not restore — §14.3</w:t>
            </w:r>
          </w:p>
        </w:tc>
      </w:tr>
      <w:tr>
        <w:tc>
          <w:tcPr/>
          <w:p>
            <w:pPr>
              <w:pStyle w:val="Compact"/>
            </w:pPr>
            <w:r>
              <w:t xml:space="preserve">Bad migration</w:t>
            </w:r>
          </w:p>
        </w:tc>
        <w:tc>
          <w:tcPr/>
          <w:p>
            <w:pPr>
              <w:pStyle w:val="Compact"/>
            </w:pPr>
            <w:r>
              <w:t xml:space="preserve">≤5 min</w:t>
            </w:r>
          </w:p>
        </w:tc>
        <w:tc>
          <w:tcPr/>
          <w:p>
            <w:pPr>
              <w:pStyle w:val="Compact"/>
            </w:pPr>
            <w:r>
              <w:t xml:space="preserve">≤1 h</w:t>
            </w:r>
          </w:p>
        </w:tc>
        <w:tc>
          <w:tcPr/>
          <w:p>
            <w:pPr>
              <w:pStyle w:val="Compact"/>
            </w:pPr>
            <w:r>
              <w:t xml:space="preserve">Pre-migration snapshot + PITR</w:t>
            </w:r>
          </w:p>
        </w:tc>
      </w:tr>
      <w:tr>
        <w:tc>
          <w:tcPr/>
          <w:p>
            <w:pPr>
              <w:pStyle w:val="Compact"/>
            </w:pPr>
            <w:r>
              <w:t xml:space="preserve">Placement loss</w:t>
            </w:r>
          </w:p>
        </w:tc>
        <w:tc>
          <w:tcPr/>
          <w:p>
            <w:pPr>
              <w:pStyle w:val="Compact"/>
            </w:pPr>
            <w:r>
              <w:t xml:space="preserve">≤5 min</w:t>
            </w:r>
          </w:p>
        </w:tc>
        <w:tc>
          <w:tcPr/>
          <w:p>
            <w:pPr>
              <w:pStyle w:val="Compact"/>
            </w:pPr>
            <w:r>
              <w:t xml:space="preserve">≤4 h</w:t>
            </w:r>
          </w:p>
        </w:tc>
        <w:tc>
          <w:tcPr/>
          <w:p>
            <w:pPr>
              <w:pStyle w:val="Compact"/>
            </w:pPr>
            <w:r>
              <w:t xml:space="preserve">PITR to a new instance; control plane re-points</w:t>
            </w:r>
          </w:p>
        </w:tc>
      </w:tr>
      <w:tr>
        <w:tc>
          <w:tcPr/>
          <w:p>
            <w:pPr>
              <w:pStyle w:val="Compact"/>
            </w:pPr>
            <w:r>
              <w:t xml:space="preserve">Control-plane loss</w:t>
            </w:r>
          </w:p>
        </w:tc>
        <w:tc>
          <w:tcPr/>
          <w:p>
            <w:pPr>
              <w:pStyle w:val="Compact"/>
            </w:pPr>
            <w:r>
              <w:t xml:space="preserve">≤5 min</w:t>
            </w:r>
          </w:p>
        </w:tc>
        <w:tc>
          <w:tcPr/>
          <w:p>
            <w:pPr>
              <w:pStyle w:val="Compact"/>
            </w:pPr>
            <w:r>
              <w:t xml:space="preserve">≤1 h</w:t>
            </w:r>
          </w:p>
        </w:tc>
        <w:tc>
          <w:tcPr/>
          <w:p>
            <w:pPr>
              <w:pStyle w:val="Compact"/>
            </w:pPr>
            <w:r>
              <w:t xml:space="preserve">Small database, fast restore; degraded mode meanwhile</w:t>
            </w:r>
          </w:p>
        </w:tc>
      </w:tr>
      <w:tr>
        <w:tc>
          <w:tcPr/>
          <w:p>
            <w:pPr>
              <w:pStyle w:val="Compact"/>
            </w:pPr>
            <w:r>
              <w:t xml:space="preserve">Region loss</w:t>
            </w:r>
          </w:p>
        </w:tc>
        <w:tc>
          <w:tcPr/>
          <w:p>
            <w:pPr>
              <w:pStyle w:val="Compact"/>
            </w:pPr>
            <w:r>
              <w:t xml:space="preserve">≤15 min</w:t>
            </w:r>
          </w:p>
        </w:tc>
        <w:tc>
          <w:tcPr/>
          <w:p>
            <w:pPr>
              <w:pStyle w:val="Compact"/>
            </w:pPr>
            <w:r>
              <w:t xml:space="preserve">≤24 h</w:t>
            </w:r>
          </w:p>
        </w:tc>
        <w:tc>
          <w:tcPr/>
          <w:p>
            <w:pPr>
              <w:pStyle w:val="Compact"/>
            </w:pPr>
            <w:r>
              <w:t xml:space="preserve">Cross-region backups; documented rebuild</w:t>
            </w:r>
          </w:p>
        </w:tc>
      </w:tr>
      <w:tr>
        <w:tc>
          <w:tcPr/>
          <w:p>
            <w:pPr>
              <w:pStyle w:val="Compact"/>
            </w:pPr>
            <w:r>
              <w:t xml:space="preserve">Single-tenant corruption</w:t>
            </w:r>
          </w:p>
        </w:tc>
        <w:tc>
          <w:tcPr/>
          <w:p>
            <w:pPr>
              <w:pStyle w:val="Compact"/>
            </w:pPr>
            <w:r>
              <w:t xml:space="preserve">≤5 min</w:t>
            </w:r>
          </w:p>
        </w:tc>
        <w:tc>
          <w:tcPr/>
          <w:p>
            <w:pPr>
              <w:pStyle w:val="Compact"/>
            </w:pPr>
            <w:r>
              <w:t xml:space="preserve">≤4 h</w:t>
            </w:r>
          </w:p>
        </w:tc>
        <w:tc>
          <w:tcPr/>
          <w:p>
            <w:pPr>
              <w:pStyle w:val="Compact"/>
            </w:pPr>
            <w:r>
              <w:t xml:space="preserve">§33.4</w:t>
            </w:r>
          </w:p>
        </w:tc>
      </w:tr>
    </w:tbl>
    <w:p>
      <w:pPr>
        <w:pStyle w:val="BodyText"/>
      </w:pPr>
      <w:r>
        <w:rPr>
          <w:b/>
          <w:bCs/>
        </w:rPr>
        <w:t xml:space="preserve">[JUDGEMENT]</w:t>
      </w:r>
      <w:r>
        <w:t xml:space="preserve"> </w:t>
      </w:r>
      <w:r>
        <w:t xml:space="preserve">A rehearsed 4-hour RTO is worth more than an unrehearsed 15-minute one. Quarterly rehearsals, timed and written down, with the actual measured time recorded.</w:t>
      </w:r>
    </w:p>
    <w:bookmarkEnd w:id="260"/>
    <w:bookmarkStart w:id="261" w:name="backups"/>
    <w:p>
      <w:pPr>
        <w:pStyle w:val="Heading3"/>
      </w:pPr>
      <w:r>
        <w:t xml:space="preserve">33.3 Backups</w:t>
      </w:r>
    </w:p>
    <w:p>
      <w:pPr>
        <w:pStyle w:val="FirstParagraph"/>
      </w:pPr>
      <w:r>
        <w:t xml:space="preserve">PITR on both databases; immutable, separately-credentialed backup storage so that a compromised application credential cannot delete backups;</w:t>
      </w:r>
      <w:r>
        <w:t xml:space="preserve"> </w:t>
      </w:r>
      <w:r>
        <w:rPr>
          <w:b/>
          <w:bCs/>
        </w:rPr>
        <w:t xml:space="preserve">automated weekly restore verification</w:t>
      </w:r>
      <w:r>
        <w:t xml:space="preserve"> </w:t>
      </w:r>
      <w:r>
        <w:t xml:space="preserve">that restores to a scratch instance and asserts row counts and a trial balance; a backup-age alert; cross-region copies from Stage 2.</w:t>
      </w:r>
    </w:p>
    <w:bookmarkEnd w:id="261"/>
    <w:bookmarkStart w:id="265" w:name="Xf92798fae5410e5ac42427e386e0a9981b9f768"/>
    <w:p>
      <w:pPr>
        <w:pStyle w:val="Heading3"/>
      </w:pPr>
      <w:r>
        <w:t xml:space="preserve">33.4 Single-tenant restore — the SILO capability, recovered</w:t>
      </w:r>
    </w:p>
    <w:p>
      <w:pPr>
        <w:pStyle w:val="FirstParagraph"/>
      </w:pPr>
      <w:r>
        <w:rPr>
          <w:b/>
          <w:bCs/>
        </w:rPr>
        <w:t xml:space="preserve">[JUDGEMENT]</w:t>
      </w:r>
      <w:r>
        <w:t xml:space="preserve"> </w:t>
      </w:r>
      <w:r>
        <w:t xml:space="preserve">This is the one genuine advantage of database-per-tenant that pooling does not get for free. It must therefore be built deliberately, and it is entirely tractable because of §8.3’s composite keys.</w:t>
      </w:r>
    </w:p>
    <w:p>
      <w:pPr>
        <w:pStyle w:val="BodyText"/>
      </w:pPr>
      <w:r>
        <w:drawing>
          <wp:inline>
            <wp:extent cx="5334000" cy="2428875"/>
            <wp:effectExtent b="0" l="0" r="0" t="0"/>
            <wp:docPr descr="" title="" id="263" name="Picture"/>
            <a:graphic>
              <a:graphicData uri="http://schemas.openxmlformats.org/drawingml/2006/picture">
                <pic:pic>
                  <pic:nvPicPr>
                    <pic:cNvPr descr="/private/tmp/claude-501/-Users-sudipto-Desktop-projects-accubook/c277cf12-a75d-42eb-a282-70d38dbc59e8/scratchpad/d41.png" id="264" name="Picture"/>
                    <pic:cNvPicPr>
                      <a:picLocks noChangeArrowheads="1" noChangeAspect="1"/>
                    </pic:cNvPicPr>
                  </pic:nvPicPr>
                  <pic:blipFill>
                    <a:blip r:embed="rId262"/>
                    <a:stretch>
                      <a:fillRect/>
                    </a:stretch>
                  </pic:blipFill>
                  <pic:spPr bwMode="auto">
                    <a:xfrm>
                      <a:off x="0" y="0"/>
                      <a:ext cx="5334000" cy="2428875"/>
                    </a:xfrm>
                    <a:prstGeom prst="rect">
                      <a:avLst/>
                    </a:prstGeom>
                    <a:noFill/>
                    <a:ln w="9525">
                      <a:noFill/>
                      <a:headEnd/>
                      <a:tailEnd/>
                    </a:ln>
                  </pic:spPr>
                </pic:pic>
              </a:graphicData>
            </a:graphic>
          </wp:inline>
        </w:drawing>
      </w:r>
    </w:p>
    <w:p>
      <w:pPr>
        <w:pStyle w:val="BodyText"/>
      </w:pPr>
      <w:r>
        <w:rPr>
          <w:b/>
          <w:bCs/>
        </w:rPr>
        <w:t xml:space="preserve">Write this script early — before it is needed, in Stage 0 — and run it against staging.</w:t>
      </w:r>
      <w:r>
        <w:t xml:space="preserve"> </w:t>
      </w:r>
      <w:r>
        <w:t xml:space="preserve">The same extractor serves three requirements: single-tenant restore, customer data export, and DPDP erasure. One piece of machinery, three obligations, and it only works because every tenant-owned row states its own tenant.</w:t>
      </w:r>
    </w:p>
    <w:bookmarkEnd w:id="265"/>
    <w:bookmarkEnd w:id="266"/>
    <w:bookmarkStart w:id="267" w:name="the-scaling-decision-table"/>
    <w:p>
      <w:pPr>
        <w:pStyle w:val="Heading2"/>
      </w:pPr>
      <w:r>
        <w:t xml:space="preserve">34. The scaling decision table</w:t>
      </w:r>
    </w:p>
    <w:p>
      <w:pPr>
        <w:pStyle w:val="FirstParagraph"/>
      </w:pPr>
      <w:r>
        <w:rPr>
          <w:b/>
          <w:bCs/>
        </w:rPr>
        <w:t xml:space="preserve">[JUDGEMENT]</w:t>
      </w:r>
      <w:r>
        <w:t xml:space="preserve"> </w:t>
      </w:r>
      <w:r>
        <w:t xml:space="preserve">One page. If you keep nothing else from Part III, keep this.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w:t>
            </w:r>
          </w:p>
        </w:tc>
        <w:tc>
          <w:tcPr/>
          <w:p>
            <w:pPr>
              <w:pStyle w:val="Compact"/>
            </w:pPr>
            <w:r>
              <w:t xml:space="preserve">Never</w:t>
            </w:r>
          </w:p>
        </w:tc>
      </w:tr>
      <w:tr>
        <w:tc>
          <w:tcPr/>
          <w:p>
            <w:pPr>
              <w:pStyle w:val="Compact"/>
            </w:pPr>
            <w:r>
              <w:t xml:space="preserve">How do we add tenant number 100,001?</w:t>
            </w:r>
          </w:p>
        </w:tc>
        <w:tc>
          <w:tcPr/>
          <w:p>
            <w:pPr>
              <w:pStyle w:val="Compact"/>
            </w:pPr>
            <w:r>
              <w:t xml:space="preserve">A row in</w:t>
            </w:r>
            <w:r>
              <w:t xml:space="preserve"> </w:t>
            </w:r>
            <w:r>
              <w:rPr>
                <w:rStyle w:val="VerbatimChar"/>
              </w:rPr>
              <w:t xml:space="preserve">tenant</w:t>
            </w:r>
            <w:r>
              <w:t xml:space="preserve"> </w:t>
            </w:r>
            <w:r>
              <w:t xml:space="preserve">+ reference-data seed. Automatic</w:t>
            </w:r>
          </w:p>
        </w:tc>
        <w:tc>
          <w:tcPr/>
          <w:p>
            <w:pPr>
              <w:pStyle w:val="Compact"/>
            </w:pPr>
            <w:r>
              <w:t xml:space="preserve">Provision infrastructure</w:t>
            </w:r>
          </w:p>
        </w:tc>
      </w:tr>
      <w:tr>
        <w:tc>
          <w:tcPr/>
          <w:p>
            <w:pPr>
              <w:pStyle w:val="Compact"/>
            </w:pPr>
            <w:r>
              <w:t xml:space="preserve">How do we migrate the schema?</w:t>
            </w:r>
          </w:p>
        </w:tc>
        <w:tc>
          <w:tcPr/>
          <w:p>
            <w:pPr>
              <w:pStyle w:val="Compact"/>
            </w:pPr>
            <w:r>
              <w:t xml:space="preserve">One</w:t>
            </w:r>
            <w:r>
              <w:t xml:space="preserve"> </w:t>
            </w:r>
            <w:r>
              <w:rPr>
                <w:rStyle w:val="VerbatimChar"/>
              </w:rPr>
              <w:t xml:space="preserve">ALTER TABLE</w:t>
            </w:r>
            <w:r>
              <w:t xml:space="preserve"> </w:t>
            </w:r>
            <w:r>
              <w:t xml:space="preserve">per placement, expand/contract</w:t>
            </w:r>
          </w:p>
        </w:tc>
        <w:tc>
          <w:tcPr/>
          <w:p>
            <w:pPr>
              <w:pStyle w:val="Compact"/>
            </w:pPr>
            <w:r>
              <w:t xml:space="preserve">Loop over tenants</w:t>
            </w:r>
          </w:p>
        </w:tc>
      </w:tr>
      <w:tr>
        <w:tc>
          <w:tcPr/>
          <w:p>
            <w:pPr>
              <w:pStyle w:val="Compact"/>
            </w:pPr>
            <w:r>
              <w:t xml:space="preserve">How do we scale reads?</w:t>
            </w:r>
          </w:p>
        </w:tc>
        <w:tc>
          <w:tcPr/>
          <w:p>
            <w:pPr>
              <w:pStyle w:val="Compact"/>
            </w:pPr>
            <w:r>
              <w:t xml:space="preserve">Replicas, then placements</w:t>
            </w:r>
          </w:p>
        </w:tc>
        <w:tc>
          <w:tcPr/>
          <w:p>
            <w:pPr>
              <w:pStyle w:val="Compact"/>
            </w:pPr>
            <w:r>
              <w:t xml:space="preserve">Cache financial data</w:t>
            </w:r>
          </w:p>
        </w:tc>
      </w:tr>
      <w:tr>
        <w:tc>
          <w:tcPr/>
          <w:p>
            <w:pPr>
              <w:pStyle w:val="Compact"/>
            </w:pPr>
            <w:r>
              <w:t xml:space="preserve">How do we scale writes?</w:t>
            </w:r>
          </w:p>
        </w:tc>
        <w:tc>
          <w:tcPr/>
          <w:p>
            <w:pPr>
              <w:pStyle w:val="Compact"/>
            </w:pPr>
            <w:r>
              <w:t xml:space="preserve">Vertical → partition →</w:t>
            </w:r>
            <w:r>
              <w:t xml:space="preserve"> </w:t>
            </w:r>
            <w:r>
              <w:rPr>
                <w:b/>
                <w:bCs/>
              </w:rPr>
              <w:t xml:space="preserve">more placements</w:t>
            </w:r>
          </w:p>
        </w:tc>
        <w:tc>
          <w:tcPr/>
          <w:p>
            <w:pPr>
              <w:pStyle w:val="Compact"/>
            </w:pPr>
            <w:r>
              <w:t xml:space="preserve">Shard on anything but</w:t>
            </w:r>
            <w:r>
              <w:t xml:space="preserve"> </w:t>
            </w:r>
            <w:r>
              <w:rPr>
                <w:rStyle w:val="VerbatimChar"/>
              </w:rPr>
              <w:t xml:space="preserve">organizationId</w:t>
            </w:r>
          </w:p>
        </w:tc>
      </w:tr>
      <w:tr>
        <w:tc>
          <w:tcPr/>
          <w:p>
            <w:pPr>
              <w:pStyle w:val="Compact"/>
            </w:pPr>
            <w:r>
              <w:t xml:space="preserve">How do we isolate a noisy tenant?</w:t>
            </w:r>
          </w:p>
        </w:tc>
        <w:tc>
          <w:tcPr/>
          <w:p>
            <w:pPr>
              <w:pStyle w:val="Compact"/>
            </w:pPr>
            <w:r>
              <w:t xml:space="preserve">Limits → queue caps → timeouts → dedicated placement</w:t>
            </w:r>
          </w:p>
        </w:tc>
        <w:tc>
          <w:tcPr/>
          <w:p>
            <w:pPr>
              <w:pStyle w:val="Compact"/>
            </w:pPr>
            <w:r>
              <w:t xml:space="preserve">Let them affect others</w:t>
            </w:r>
          </w:p>
        </w:tc>
      </w:tr>
      <w:tr>
        <w:tc>
          <w:tcPr/>
          <w:p>
            <w:pPr>
              <w:pStyle w:val="Compact"/>
            </w:pPr>
            <w:r>
              <w:t xml:space="preserve">How do we isolate a demanding customer?</w:t>
            </w:r>
          </w:p>
        </w:tc>
        <w:tc>
          <w:tcPr/>
          <w:p>
            <w:pPr>
              <w:pStyle w:val="Compact"/>
            </w:pPr>
            <w:r>
              <w:t xml:space="preserve">A SILO placement,</w:t>
            </w:r>
            <w:r>
              <w:t xml:space="preserve"> </w:t>
            </w:r>
            <w:r>
              <w:rPr>
                <w:b/>
                <w:bCs/>
              </w:rPr>
              <w:t xml:space="preserve">priced</w:t>
            </w:r>
          </w:p>
        </w:tc>
        <w:tc>
          <w:tcPr/>
          <w:p>
            <w:pPr>
              <w:pStyle w:val="Compact"/>
            </w:pPr>
            <w:r>
              <w:t xml:space="preserve">Give it away, or refuse it</w:t>
            </w:r>
          </w:p>
        </w:tc>
      </w:tr>
      <w:tr>
        <w:tc>
          <w:tcPr/>
          <w:p>
            <w:pPr>
              <w:pStyle w:val="Compact"/>
            </w:pPr>
            <w:r>
              <w:t xml:space="preserve">How do we meet residency?</w:t>
            </w:r>
          </w:p>
        </w:tc>
        <w:tc>
          <w:tcPr/>
          <w:p>
            <w:pPr>
              <w:pStyle w:val="Compact"/>
            </w:pPr>
            <w:r>
              <w:t xml:space="preserve">A region-pinned placement</w:t>
            </w:r>
          </w:p>
        </w:tc>
        <w:tc>
          <w:tcPr/>
          <w:p>
            <w:pPr>
              <w:pStyle w:val="Compact"/>
            </w:pPr>
            <w:r>
              <w:t xml:space="preserve">Multi-region writes</w:t>
            </w:r>
          </w:p>
        </w:tc>
      </w:tr>
      <w:tr>
        <w:tc>
          <w:tcPr/>
          <w:p>
            <w:pPr>
              <w:pStyle w:val="Compact"/>
            </w:pPr>
            <w:r>
              <w:t xml:space="preserve">How do we restore one tenant?</w:t>
            </w:r>
          </w:p>
        </w:tc>
        <w:tc>
          <w:tcPr/>
          <w:p>
            <w:pPr>
              <w:pStyle w:val="Compact"/>
            </w:pPr>
            <w:r>
              <w:t xml:space="preserve">The §33.4 script</w:t>
            </w:r>
          </w:p>
        </w:tc>
        <w:tc>
          <w:tcPr/>
          <w:p>
            <w:pPr>
              <w:pStyle w:val="Compact"/>
            </w:pPr>
            <w:r>
              <w:t xml:space="preserve">Restore the whole placement</w:t>
            </w:r>
          </w:p>
        </w:tc>
      </w:tr>
      <w:tr>
        <w:tc>
          <w:tcPr/>
          <w:p>
            <w:pPr>
              <w:pStyle w:val="Compact"/>
            </w:pPr>
            <w:r>
              <w:t xml:space="preserve">How do we delete one tenant?</w:t>
            </w:r>
          </w:p>
        </w:tc>
        <w:tc>
          <w:tcPr/>
          <w:p>
            <w:pPr>
              <w:pStyle w:val="Compact"/>
            </w:pPr>
            <w:r>
              <w:t xml:space="preserve">Field-level erasure per the classification register</w:t>
            </w:r>
          </w:p>
        </w:tc>
        <w:tc>
          <w:tcPr/>
          <w:p>
            <w:pPr>
              <w:pStyle w:val="Compact"/>
            </w:pPr>
            <w:r>
              <w:t xml:space="preserve">Ignore DPDP, or delete statutory records</w:t>
            </w:r>
          </w:p>
        </w:tc>
      </w:tr>
      <w:tr>
        <w:tc>
          <w:tcPr/>
          <w:p>
            <w:pPr>
              <w:pStyle w:val="Compact"/>
            </w:pPr>
            <w:r>
              <w:t xml:space="preserve">How do we know a placement is full?</w:t>
            </w:r>
          </w:p>
        </w:tc>
        <w:tc>
          <w:tcPr/>
          <w:p>
            <w:pPr>
              <w:pStyle w:val="Compact"/>
            </w:pPr>
            <w:r>
              <w:rPr>
                <w:rStyle w:val="VerbatimChar"/>
              </w:rPr>
              <w:t xml:space="preserve">tenant_health</w:t>
            </w:r>
            <w:r>
              <w:t xml:space="preserve"> </w:t>
            </w:r>
            <w:r>
              <w:t xml:space="preserve">+ the §31 triggers</w:t>
            </w:r>
          </w:p>
        </w:tc>
        <w:tc>
          <w:tcPr/>
          <w:p>
            <w:pPr>
              <w:pStyle w:val="Compact"/>
            </w:pPr>
            <w:r>
              <w:t xml:space="preserve">Wait for an incident</w:t>
            </w:r>
          </w:p>
        </w:tc>
      </w:tr>
      <w:tr>
        <w:tc>
          <w:tcPr/>
          <w:p>
            <w:pPr>
              <w:pStyle w:val="Compact"/>
            </w:pPr>
            <w:r>
              <w:t xml:space="preserve">How do we move a tenant?</w:t>
            </w:r>
          </w:p>
        </w:tc>
        <w:tc>
          <w:tcPr/>
          <w:p>
            <w:pPr>
              <w:pStyle w:val="Compact"/>
            </w:pPr>
            <w:r>
              <w:t xml:space="preserve">§17.4, verified by trial balance</w:t>
            </w:r>
          </w:p>
        </w:tc>
        <w:tc>
          <w:tcPr/>
          <w:p>
            <w:pPr>
              <w:pStyle w:val="Compact"/>
            </w:pPr>
            <w:r>
              <w:t xml:space="preserve">Downtime longer than a scheduled window</w:t>
            </w:r>
          </w:p>
        </w:tc>
      </w:tr>
      <w:tr>
        <w:tc>
          <w:tcPr/>
          <w:p>
            <w:pPr>
              <w:pStyle w:val="Compact"/>
            </w:pPr>
            <w:r>
              <w:t xml:space="preserve">How do we add a region?</w:t>
            </w:r>
          </w:p>
        </w:tc>
        <w:tc>
          <w:tcPr/>
          <w:p>
            <w:pPr>
              <w:pStyle w:val="Compact"/>
            </w:pPr>
            <w:r>
              <w:t xml:space="preserve">An</w:t>
            </w:r>
            <w:r>
              <w:t xml:space="preserve"> </w:t>
            </w:r>
            <w:r>
              <w:rPr>
                <w:rStyle w:val="VerbatimChar"/>
              </w:rPr>
              <w:t xml:space="preserve">INSERT</w:t>
            </w:r>
            <w:r>
              <w:t xml:space="preserve"> </w:t>
            </w:r>
            <w:r>
              <w:t xml:space="preserve">into</w:t>
            </w:r>
            <w:r>
              <w:t xml:space="preserve"> </w:t>
            </w:r>
            <w:r>
              <w:rPr>
                <w:rStyle w:val="VerbatimChar"/>
              </w:rPr>
              <w:t xml:space="preserve">placement</w:t>
            </w:r>
          </w:p>
        </w:tc>
        <w:tc>
          <w:tcPr/>
          <w:p>
            <w:pPr>
              <w:pStyle w:val="Compact"/>
            </w:pPr>
            <w:r>
              <w:t xml:space="preserve">A release</w:t>
            </w:r>
          </w:p>
        </w:tc>
      </w:tr>
      <w:tr>
        <w:tc>
          <w:tcPr/>
          <w:p>
            <w:pPr>
              <w:pStyle w:val="Compact"/>
            </w:pPr>
            <w:r>
              <w:t xml:space="preserve">How do we add a plan?</w:t>
            </w:r>
          </w:p>
        </w:tc>
        <w:tc>
          <w:tcPr/>
          <w:p>
            <w:pPr>
              <w:pStyle w:val="Compact"/>
            </w:pPr>
            <w:r>
              <w:t xml:space="preserve">An</w:t>
            </w:r>
            <w:r>
              <w:t xml:space="preserve"> </w:t>
            </w:r>
            <w:r>
              <w:rPr>
                <w:rStyle w:val="VerbatimChar"/>
              </w:rPr>
              <w:t xml:space="preserve">INSERT</w:t>
            </w:r>
            <w:r>
              <w:t xml:space="preserve"> </w:t>
            </w:r>
            <w:r>
              <w:t xml:space="preserve">into</w:t>
            </w:r>
            <w:r>
              <w:t xml:space="preserve"> </w:t>
            </w:r>
            <w:r>
              <w:rPr>
                <w:rStyle w:val="VerbatimChar"/>
              </w:rPr>
              <w:t xml:space="preserve">plan</w:t>
            </w:r>
          </w:p>
        </w:tc>
        <w:tc>
          <w:tcPr/>
          <w:p>
            <w:pPr>
              <w:pStyle w:val="Compact"/>
            </w:pPr>
            <w:r>
              <w:t xml:space="preserve">A release</w:t>
            </w:r>
          </w:p>
        </w:tc>
      </w:tr>
      <w:tr>
        <w:tc>
          <w:tcPr/>
          <w:p>
            <w:pPr>
              <w:pStyle w:val="Compact"/>
            </w:pPr>
            <w:r>
              <w:t xml:space="preserve">How do we know isolation still holds?</w:t>
            </w:r>
          </w:p>
        </w:tc>
        <w:tc>
          <w:tcPr/>
          <w:p>
            <w:pPr>
              <w:pStyle w:val="Compact"/>
            </w:pPr>
            <w:r>
              <w:t xml:space="preserve">The 22-row matrix, on every commit</w:t>
            </w:r>
          </w:p>
        </w:tc>
        <w:tc>
          <w:tcPr/>
          <w:p>
            <w:pPr>
              <w:pStyle w:val="Compact"/>
            </w:pPr>
            <w:r>
              <w:t xml:space="preserve">Assume</w:t>
            </w:r>
          </w:p>
        </w:tc>
      </w:tr>
    </w:tbl>
    <w:p>
      <w:r>
        <w:pict>
          <v:rect style="width:0;height:1.5pt" o:hralign="center" o:hrstd="t" o:hr="t"/>
        </w:pict>
      </w:r>
    </w:p>
    <w:p>
      <w:r>
        <w:pict>
          <v:rect style="width:0;height:1.5pt" o:hralign="center" o:hrstd="t" o:hr="t"/>
        </w:pict>
      </w:r>
    </w:p>
    <w:bookmarkEnd w:id="267"/>
    <w:bookmarkEnd w:id="268"/>
    <w:bookmarkStart w:id="278" w:name="part-iv-getting-there"/>
    <w:p>
      <w:pPr>
        <w:pStyle w:val="Heading1"/>
      </w:pPr>
      <w:r>
        <w:t xml:space="preserve">Part IV — Getting there</w:t>
      </w:r>
    </w:p>
    <w:p>
      <w:r>
        <w:pict>
          <v:rect style="width:0;height:1.5pt" o:hralign="center" o:hrstd="t" o:hr="t"/>
        </w:pict>
      </w:r>
    </w:p>
    <w:bookmarkStart w:id="272" w:name="the-path-from-the-current-codebase"/>
    <w:p>
      <w:pPr>
        <w:pStyle w:val="Heading2"/>
      </w:pPr>
      <w:r>
        <w:t xml:space="preserve">35. The path from the current codebase</w:t>
      </w:r>
    </w:p>
    <w:p>
      <w:pPr>
        <w:pStyle w:val="FirstParagraph"/>
      </w:pPr>
      <w:r>
        <w:rPr>
          <w:b/>
          <w:bCs/>
        </w:rPr>
        <w:t xml:space="preserve">[JUDGEMENT]</w:t>
      </w:r>
      <w:r>
        <w:t xml:space="preserve"> </w:t>
      </w:r>
      <w:r>
        <w:t xml:space="preserve">This design is reachable by evolution. There is no point at which the application is rewritten, and no point at which it stops working. That is not luck — it is because the codebase is</w:t>
      </w:r>
      <w:r>
        <w:t xml:space="preserve"> </w:t>
      </w:r>
      <w:r>
        <w:rPr>
          <w:b/>
          <w:bCs/>
        </w:rPr>
        <w:t xml:space="preserve">already pooled</w:t>
      </w:r>
      <w:r>
        <w:t xml:space="preserve">, already guards every route, and already gets money and concurrency right. The target architecture is a</w:t>
      </w:r>
      <w:r>
        <w:t xml:space="preserve"> </w:t>
      </w:r>
      <w:r>
        <w:rPr>
          <w:i/>
          <w:iCs/>
        </w:rPr>
        <w:t xml:space="preserve">hardening</w:t>
      </w:r>
      <w:r>
        <w:t xml:space="preserve"> </w:t>
      </w:r>
      <w:r>
        <w:t xml:space="preserve">of what exists, not a replacement of it.</w:t>
      </w:r>
    </w:p>
    <w:p>
      <w:pPr>
        <w:pStyle w:val="BodyText"/>
      </w:pPr>
      <w:r>
        <w:drawing>
          <wp:inline>
            <wp:extent cx="5334000" cy="843642"/>
            <wp:effectExtent b="0" l="0" r="0" t="0"/>
            <wp:docPr descr="" title="" id="270" name="Picture"/>
            <a:graphic>
              <a:graphicData uri="http://schemas.openxmlformats.org/drawingml/2006/picture">
                <pic:pic>
                  <pic:nvPicPr>
                    <pic:cNvPr descr="/private/tmp/claude-501/-Users-sudipto-Desktop-projects-accubook/c277cf12-a75d-42eb-a282-70d38dbc59e8/scratchpad/d42.png" id="271" name="Picture"/>
                    <pic:cNvPicPr>
                      <a:picLocks noChangeArrowheads="1" noChangeAspect="1"/>
                    </pic:cNvPicPr>
                  </pic:nvPicPr>
                  <pic:blipFill>
                    <a:blip r:embed="rId269"/>
                    <a:stretch>
                      <a:fillRect/>
                    </a:stretch>
                  </pic:blipFill>
                  <pic:spPr bwMode="auto">
                    <a:xfrm>
                      <a:off x="0" y="0"/>
                      <a:ext cx="5334000" cy="843642"/>
                    </a:xfrm>
                    <a:prstGeom prst="rect">
                      <a:avLst/>
                    </a:prstGeom>
                    <a:noFill/>
                    <a:ln w="9525">
                      <a:noFill/>
                      <a:headEnd/>
                      <a:tailEnd/>
                    </a:ln>
                  </pic:spPr>
                </pic:pic>
              </a:graphicData>
            </a:graphic>
          </wp:inline>
        </w:drawing>
      </w:r>
    </w:p>
    <w:p>
      <w:pPr>
        <w:pStyle w:val="BodyText"/>
      </w:pPr>
      <w:r>
        <w:t xml:space="preserve">The sequencing, effort and risk for each of these are in</w:t>
      </w:r>
      <w:r>
        <w:t xml:space="preserve"> </w:t>
      </w:r>
      <w:r>
        <w:rPr>
          <w:b/>
          <w:bCs/>
        </w:rPr>
        <w:t xml:space="preserve">[A §64]</w:t>
      </w:r>
      <w:r>
        <w:t xml:space="preserve"> </w:t>
      </w:r>
      <w:r>
        <w:t xml:space="preserve">— twelve phases, ~22–28 weeks for 2–3 engineers. Three properties of that path are worth restating here because they are architectural rather than schedule facts: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Why it holds</w:t>
            </w:r>
          </w:p>
        </w:tc>
      </w:tr>
      <w:tr>
        <w:tc>
          <w:tcPr/>
          <w:p>
            <w:pPr>
              <w:pStyle w:val="Compact"/>
            </w:pPr>
            <w:r>
              <w:rPr>
                <w:b/>
                <w:bCs/>
              </w:rPr>
              <w:t xml:space="preserve">Every step is independently valuable</w:t>
            </w:r>
          </w:p>
        </w:tc>
        <w:tc>
          <w:tcPr/>
          <w:p>
            <w:pPr>
              <w:pStyle w:val="Compact"/>
            </w:pPr>
            <w:r>
              <w:t xml:space="preserve">The backfill is worth doing for sharding and export even if RLS were never enabled</w:t>
            </w:r>
          </w:p>
        </w:tc>
      </w:tr>
      <w:tr>
        <w:tc>
          <w:tcPr/>
          <w:p>
            <w:pPr>
              <w:pStyle w:val="Compact"/>
            </w:pPr>
            <w:r>
              <w:rPr>
                <w:b/>
                <w:bCs/>
              </w:rPr>
              <w:t xml:space="preserve">Every step is reversible</w:t>
            </w:r>
          </w:p>
        </w:tc>
        <w:tc>
          <w:tcPr/>
          <w:p>
            <w:pPr>
              <w:pStyle w:val="Compact"/>
            </w:pPr>
            <w:r>
              <w:t xml:space="preserve">Additive columns; policies droppable per table; the scoping extension is a no-op without policies</w:t>
            </w:r>
          </w:p>
        </w:tc>
      </w:tr>
      <w:tr>
        <w:tc>
          <w:tcPr/>
          <w:p>
            <w:pPr>
              <w:pStyle w:val="Compact"/>
            </w:pPr>
            <w:r>
              <w:rPr>
                <w:b/>
                <w:bCs/>
              </w:rPr>
              <w:t xml:space="preserve">Commercial work parallelises</w:t>
            </w:r>
          </w:p>
        </w:tc>
        <w:tc>
          <w:tcPr/>
          <w:p>
            <w:pPr>
              <w:pStyle w:val="Compact"/>
            </w:pPr>
            <w:r>
              <w:t xml:space="preserve">Plans and entitlements depend on the control plane, not on RLS — so revenue is not blocked behind the riskiest phase</w:t>
            </w:r>
          </w:p>
        </w:tc>
      </w:tr>
    </w:tbl>
    <w:p>
      <w:pPr>
        <w:pStyle w:val="BodyText"/>
      </w:pPr>
      <w:r>
        <w:rPr>
          <w:b/>
          <w:bCs/>
        </w:rPr>
        <w:t xml:space="preserve">The order is not negotiable in one respect:</w:t>
      </w:r>
      <w:r>
        <w:t xml:space="preserve"> </w:t>
      </w:r>
      <w:r>
        <w:t xml:space="preserve">keys before RLS, RLS before jobs-under-RLS, composite FKs before the restore script. Each is a hard prerequisite, not a preference.</w:t>
      </w:r>
    </w:p>
    <w:bookmarkEnd w:id="272"/>
    <w:bookmarkStart w:id="273" w:name="what-not-to-build-and-when-to-reconsider"/>
    <w:p>
      <w:pPr>
        <w:pStyle w:val="Heading2"/>
      </w:pPr>
      <w:r>
        <w:t xml:space="preserve">36. What not to build, and when to reconsider</w:t>
      </w:r>
    </w:p>
    <w:p>
      <w:pPr>
        <w:pStyle w:val="FirstParagraph"/>
      </w:pPr>
      <w:r>
        <w:rPr>
          <w:b/>
          <w:bCs/>
        </w:rPr>
        <w:t xml:space="preserve">[JUDGEMENT]</w:t>
      </w:r>
      <w:r>
        <w:t xml:space="preserve"> </w:t>
      </w:r>
      <w:r>
        <w:t xml:space="preserve">Every item here has a real cost that is invisible at the moment of adoption and obvious two years later. Each has a named trigger — so this is a</w:t>
      </w:r>
      <w:r>
        <w:t xml:space="preserve"> </w:t>
      </w:r>
      <w:r>
        <w:t xml:space="preserve">“not yet, and here is how you will know”</w:t>
      </w:r>
      <w:r>
        <w:t xml:space="preserve">, not a</w:t>
      </w:r>
      <w:r>
        <w:t xml:space="preserve"> </w:t>
      </w:r>
      <w:r>
        <w:t xml:space="preserve">“no”</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Why not now</w:t>
            </w:r>
          </w:p>
        </w:tc>
        <w:tc>
          <w:tcPr/>
          <w:p>
            <w:pPr>
              <w:pStyle w:val="Compact"/>
            </w:pPr>
            <w:r>
              <w:t xml:space="preserve">Reconsider when</w:t>
            </w:r>
          </w:p>
        </w:tc>
      </w:tr>
      <w:tr>
        <w:tc>
          <w:tcPr/>
          <w:p>
            <w:pPr>
              <w:pStyle w:val="Compact"/>
            </w:pPr>
            <w:r>
              <w:rPr>
                <w:b/>
                <w:bCs/>
              </w:rPr>
              <w:t xml:space="preserve">Kubernetes</w:t>
            </w:r>
          </w:p>
        </w:tc>
        <w:tc>
          <w:tcPr/>
          <w:p>
            <w:pPr>
              <w:pStyle w:val="Compact"/>
            </w:pPr>
            <w:r>
              <w:t xml:space="preserve">One app, one worker. K8s runs many heterogeneous services and needs someone to run it</w:t>
            </w:r>
          </w:p>
        </w:tc>
        <w:tc>
          <w:tcPr/>
          <w:p>
            <w:pPr>
              <w:pStyle w:val="Compact"/>
            </w:pPr>
            <w:r>
              <w:t xml:space="preserve">&gt;10 distinct services</w:t>
            </w:r>
            <w:r>
              <w:t xml:space="preserve"> </w:t>
            </w:r>
            <w:r>
              <w:rPr>
                <w:b/>
                <w:bCs/>
              </w:rPr>
              <w:t xml:space="preserve">and</w:t>
            </w:r>
            <w:r>
              <w:t xml:space="preserve"> </w:t>
            </w:r>
            <w:r>
              <w:t xml:space="preserve">a dedicated platform engineer</w:t>
            </w:r>
          </w:p>
        </w:tc>
      </w:tr>
      <w:tr>
        <w:tc>
          <w:tcPr/>
          <w:p>
            <w:pPr>
              <w:pStyle w:val="Compact"/>
            </w:pPr>
            <w:r>
              <w:rPr>
                <w:b/>
                <w:bCs/>
              </w:rPr>
              <w:t xml:space="preserve">Kafka / event streaming</w:t>
            </w:r>
          </w:p>
        </w:tc>
        <w:tc>
          <w:tcPr/>
          <w:p>
            <w:pPr>
              <w:pStyle w:val="Compact"/>
            </w:pPr>
            <w:r>
              <w:t xml:space="preserve">A distributed log is not a job queue. Postgres</w:t>
            </w:r>
            <w:r>
              <w:t xml:space="preserve"> </w:t>
            </w:r>
            <w:r>
              <w:rPr>
                <w:rStyle w:val="VerbatimChar"/>
              </w:rPr>
              <w:t xml:space="preserve">SKIP LOCKED</w:t>
            </w:r>
            <w:r>
              <w:t xml:space="preserve"> </w:t>
            </w:r>
            <w:r>
              <w:t xml:space="preserve">handles 1000× current volume, and transactional enqueue removes the outbox</w:t>
            </w:r>
          </w:p>
        </w:tc>
        <w:tc>
          <w:tcPr/>
          <w:p>
            <w:pPr>
              <w:pStyle w:val="Compact"/>
            </w:pPr>
            <w:r>
              <w:t xml:space="preserve">&gt;100k events/s, or multiple independent consumers needing replay</w:t>
            </w:r>
          </w:p>
        </w:tc>
      </w:tr>
      <w:tr>
        <w:tc>
          <w:tcPr/>
          <w:p>
            <w:pPr>
              <w:pStyle w:val="Compact"/>
            </w:pPr>
            <w:r>
              <w:rPr>
                <w:b/>
                <w:bCs/>
              </w:rPr>
              <w:t xml:space="preserve">Microservices</w:t>
            </w:r>
          </w:p>
        </w:tc>
        <w:tc>
          <w:tcPr/>
          <w:p>
            <w:pPr>
              <w:pStyle w:val="Compact"/>
            </w:pPr>
            <w:r>
              <w:t xml:space="preserve">§6.3 — posting is one transaction across five modules</w:t>
            </w:r>
          </w:p>
        </w:tc>
        <w:tc>
          <w:tcPr/>
          <w:p>
            <w:pPr>
              <w:pStyle w:val="Compact"/>
            </w:pPr>
            <w:r>
              <w:t xml:space="preserve">A module has a genuinely different scaling profile (OCR) or the team exceeds ~15 with clear ownership</w:t>
            </w:r>
          </w:p>
        </w:tc>
      </w:tr>
      <w:tr>
        <w:tc>
          <w:tcPr/>
          <w:p>
            <w:pPr>
              <w:pStyle w:val="Compact"/>
            </w:pPr>
            <w:r>
              <w:rPr>
                <w:b/>
                <w:bCs/>
              </w:rPr>
              <w:t xml:space="preserve">Elasticsearch</w:t>
            </w:r>
          </w:p>
        </w:tc>
        <w:tc>
          <w:tcPr/>
          <w:p>
            <w:pPr>
              <w:pStyle w:val="Compact"/>
            </w:pPr>
            <w:r>
              <w:t xml:space="preserve">Postgres FTS + trigram covers invoice/party/item search to Stage 3</w:t>
            </w:r>
          </w:p>
        </w:tc>
        <w:tc>
          <w:tcPr/>
          <w:p>
            <w:pPr>
              <w:pStyle w:val="Compact"/>
            </w:pPr>
            <w:r>
              <w:t xml:space="preserve">Search latency exceeds budget on a</w:t>
            </w:r>
            <w:r>
              <w:t xml:space="preserve"> </w:t>
            </w:r>
            <w:r>
              <w:rPr>
                <w:i/>
                <w:iCs/>
              </w:rPr>
              <w:t xml:space="preserve">tuned</w:t>
            </w:r>
            <w:r>
              <w:t xml:space="preserve"> </w:t>
            </w:r>
            <w:r>
              <w:t xml:space="preserve">index</w:t>
            </w:r>
          </w:p>
        </w:tc>
      </w:tr>
      <w:tr>
        <w:tc>
          <w:tcPr/>
          <w:p>
            <w:pPr>
              <w:pStyle w:val="Compact"/>
            </w:pPr>
            <w:r>
              <w:rPr>
                <w:b/>
                <w:bCs/>
              </w:rPr>
              <w:t xml:space="preserve">CQRS / event sourcing</w:t>
            </w:r>
          </w:p>
        </w:tc>
        <w:tc>
          <w:tcPr/>
          <w:p>
            <w:pPr>
              <w:pStyle w:val="Compact"/>
            </w:pPr>
            <w:r>
              <w:t xml:space="preserve">A general ledger</w:t>
            </w:r>
            <w:r>
              <w:t xml:space="preserve"> </w:t>
            </w:r>
            <w:r>
              <w:rPr>
                <w:b/>
                <w:bCs/>
              </w:rPr>
              <w:t xml:space="preserve">is</w:t>
            </w:r>
            <w:r>
              <w:t xml:space="preserve"> </w:t>
            </w:r>
            <w:r>
              <w:t xml:space="preserve">an event store. Adding a second one is duplication</w:t>
            </w:r>
          </w:p>
        </w:tc>
        <w:tc>
          <w:tcPr/>
          <w:p>
            <w:pPr>
              <w:pStyle w:val="Compact"/>
            </w:pPr>
            <w:r>
              <w:t xml:space="preserve">Never, for this domain</w:t>
            </w:r>
          </w:p>
        </w:tc>
      </w:tr>
      <w:tr>
        <w:tc>
          <w:tcPr/>
          <w:p>
            <w:pPr>
              <w:pStyle w:val="Compact"/>
            </w:pPr>
            <w:r>
              <w:rPr>
                <w:b/>
                <w:bCs/>
              </w:rPr>
              <w:t xml:space="preserve">Multi-region active-active</w:t>
            </w:r>
          </w:p>
        </w:tc>
        <w:tc>
          <w:tcPr/>
          <w:p>
            <w:pPr>
              <w:pStyle w:val="Compact"/>
            </w:pPr>
            <w:r>
              <w:t xml:space="preserve">Two-phase writes on financial data</w:t>
            </w:r>
          </w:p>
        </w:tc>
        <w:tc>
          <w:tcPr/>
          <w:p>
            <w:pPr>
              <w:pStyle w:val="Compact"/>
            </w:pPr>
            <w:r>
              <w:t xml:space="preserve">Never for writes; regional pods instead (§29.5)</w:t>
            </w:r>
          </w:p>
        </w:tc>
      </w:tr>
      <w:tr>
        <w:tc>
          <w:tcPr/>
          <w:p>
            <w:pPr>
              <w:pStyle w:val="Compact"/>
            </w:pPr>
            <w:r>
              <w:rPr>
                <w:b/>
                <w:bCs/>
              </w:rPr>
              <w:t xml:space="preserve">Database-per-tenant</w:t>
            </w:r>
          </w:p>
        </w:tc>
        <w:tc>
          <w:tcPr/>
          <w:p>
            <w:pPr>
              <w:pStyle w:val="Compact"/>
            </w:pPr>
            <w:r>
              <w:t xml:space="preserve">§3.2 — the arithmetic</w:t>
            </w:r>
          </w:p>
        </w:tc>
        <w:tc>
          <w:tcPr/>
          <w:p>
            <w:pPr>
              <w:pStyle w:val="Compact"/>
            </w:pPr>
            <w:r>
              <w:t xml:space="preserve">A single tenant pays enough to fund it, at which point it is a SILO placement, priced</w:t>
            </w:r>
          </w:p>
        </w:tc>
      </w:tr>
      <w:tr>
        <w:tc>
          <w:tcPr/>
          <w:p>
            <w:pPr>
              <w:pStyle w:val="Compact"/>
            </w:pPr>
            <w:r>
              <w:rPr>
                <w:b/>
                <w:bCs/>
              </w:rPr>
              <w:t xml:space="preserve">GraphQL</w:t>
            </w:r>
          </w:p>
        </w:tc>
        <w:tc>
          <w:tcPr/>
          <w:p>
            <w:pPr>
              <w:pStyle w:val="Compact"/>
            </w:pPr>
            <w:r>
              <w:t xml:space="preserve">REST + typed server actions serve the UI and the public API</w:t>
            </w:r>
          </w:p>
        </w:tc>
        <w:tc>
          <w:tcPr/>
          <w:p>
            <w:pPr>
              <w:pStyle w:val="Compact"/>
            </w:pPr>
            <w:r>
              <w:t xml:space="preserve">A partner ecosystem demands it</w:t>
            </w:r>
          </w:p>
        </w:tc>
      </w:tr>
      <w:tr>
        <w:tc>
          <w:tcPr/>
          <w:p>
            <w:pPr>
              <w:pStyle w:val="Compact"/>
            </w:pPr>
            <w:r>
              <w:rPr>
                <w:b/>
                <w:bCs/>
              </w:rPr>
              <w:t xml:space="preserve">A separate reporting service</w:t>
            </w:r>
          </w:p>
        </w:tc>
        <w:tc>
          <w:tcPr/>
          <w:p>
            <w:pPr>
              <w:pStyle w:val="Compact"/>
            </w:pPr>
            <w:r>
              <w:t xml:space="preserve">Reports are a queue, not a service</w:t>
            </w:r>
          </w:p>
        </w:tc>
        <w:tc>
          <w:tcPr/>
          <w:p>
            <w:pPr>
              <w:pStyle w:val="Compact"/>
            </w:pPr>
            <w:r>
              <w:t xml:space="preserve">Never, at this scale</w:t>
            </w:r>
          </w:p>
        </w:tc>
      </w:tr>
      <w:tr>
        <w:tc>
          <w:tcPr/>
          <w:p>
            <w:pPr>
              <w:pStyle w:val="Compact"/>
            </w:pPr>
            <w:r>
              <w:rPr>
                <w:b/>
                <w:bCs/>
              </w:rPr>
              <w:t xml:space="preserve">Per-tenant Prisma clients</w:t>
            </w:r>
          </w:p>
        </w:tc>
        <w:tc>
          <w:tcPr/>
          <w:p>
            <w:pPr>
              <w:pStyle w:val="Compact"/>
            </w:pPr>
            <w:r>
              <w:t xml:space="preserve">100,000 connection pools</w:t>
            </w:r>
          </w:p>
        </w:tc>
        <w:tc>
          <w:tcPr/>
          <w:p>
            <w:pPr>
              <w:pStyle w:val="Compact"/>
            </w:pPr>
            <w:r>
              <w:t xml:space="preserve">Never. This is a bug, not a design</w:t>
            </w:r>
          </w:p>
        </w:tc>
      </w:tr>
      <w:tr>
        <w:tc>
          <w:tcPr/>
          <w:p>
            <w:pPr>
              <w:pStyle w:val="Compact"/>
            </w:pPr>
            <w:r>
              <w:rPr>
                <w:b/>
                <w:bCs/>
              </w:rPr>
              <w:t xml:space="preserve">Caching financial data</w:t>
            </w:r>
          </w:p>
        </w:tc>
        <w:tc>
          <w:tcPr/>
          <w:p>
            <w:pPr>
              <w:pStyle w:val="Compact"/>
            </w:pPr>
            <w:r>
              <w:t xml:space="preserve">A stale balance is a wrong balance</w:t>
            </w:r>
          </w:p>
        </w:tc>
        <w:tc>
          <w:tcPr/>
          <w:p>
            <w:pPr>
              <w:pStyle w:val="Compact"/>
            </w:pPr>
            <w:r>
              <w:t xml:space="preserve">Never. Use summary tables (§14.6)</w:t>
            </w:r>
          </w:p>
        </w:tc>
      </w:tr>
      <w:tr>
        <w:tc>
          <w:tcPr/>
          <w:p>
            <w:pPr>
              <w:pStyle w:val="Compact"/>
            </w:pPr>
            <w:r>
              <w:rPr>
                <w:b/>
                <w:bCs/>
              </w:rPr>
              <w:t xml:space="preserve">A metadata-driven universal data table</w:t>
            </w:r>
          </w:p>
        </w:tc>
        <w:tc>
          <w:tcPr/>
          <w:p>
            <w:pPr>
              <w:pStyle w:val="Compact"/>
            </w:pPr>
            <w:r>
              <w:t xml:space="preserve">§15 — Salesforce’s answer to a problem AccuBook does not have</w:t>
            </w:r>
          </w:p>
        </w:tc>
        <w:tc>
          <w:tcPr/>
          <w:p>
            <w:pPr>
              <w:pStyle w:val="Compact"/>
            </w:pPr>
            <w:r>
              <w:t xml:space="preserve">Never. A chart of accounts is not a customisation surface</w:t>
            </w:r>
          </w:p>
        </w:tc>
      </w:tr>
      <w:tr>
        <w:tc>
          <w:tcPr/>
          <w:p>
            <w:pPr>
              <w:pStyle w:val="Compact"/>
            </w:pPr>
            <w:r>
              <w:rPr>
                <w:b/>
                <w:bCs/>
              </w:rPr>
              <w:t xml:space="preserve">Tenant-executed code (Apex-style)</w:t>
            </w:r>
          </w:p>
        </w:tc>
        <w:tc>
          <w:tcPr/>
          <w:p>
            <w:pPr>
              <w:pStyle w:val="Compact"/>
            </w:pPr>
            <w:r>
              <w:t xml:space="preserve">Enormous surface area, no SMB demand</w:t>
            </w:r>
          </w:p>
        </w:tc>
        <w:tc>
          <w:tcPr/>
          <w:p>
            <w:pPr>
              <w:pStyle w:val="Compact"/>
            </w:pPr>
            <w:r>
              <w:t xml:space="preserve">Never, without a security team</w:t>
            </w:r>
          </w:p>
        </w:tc>
      </w:tr>
    </w:tbl>
    <w:bookmarkEnd w:id="273"/>
    <w:bookmarkStart w:id="274" w:name="open-questions"/>
    <w:p>
      <w:pPr>
        <w:pStyle w:val="Heading2"/>
      </w:pPr>
      <w:r>
        <w:t xml:space="preserve">37. Open questions</w:t>
      </w:r>
    </w:p>
    <w:p>
      <w:pPr>
        <w:pStyle w:val="FirstParagraph"/>
      </w:pPr>
      <w:r>
        <w:rPr>
          <w:b/>
          <w:bCs/>
        </w:rPr>
        <w:t xml:space="preserve">[JUDGEMENT]</w:t>
      </w:r>
      <w:r>
        <w:t xml:space="preserve"> </w:t>
      </w:r>
      <w:r>
        <w:t xml:space="preserve">These change the answers above. The first three change §32 and §24 materially; the last is on the critical path for launch.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What it changes</w:t>
            </w:r>
          </w:p>
        </w:tc>
      </w:tr>
      <w:tr>
        <w:tc>
          <w:tcPr/>
          <w:p>
            <w:pPr>
              <w:pStyle w:val="Compact"/>
            </w:pPr>
            <w:r>
              <w:t xml:space="preserve">1</w:t>
            </w:r>
          </w:p>
        </w:tc>
        <w:tc>
          <w:tcPr/>
          <w:p>
            <w:pPr>
              <w:pStyle w:val="Compact"/>
            </w:pPr>
            <w:r>
              <w:t xml:space="preserve">What are the actual plan tiers and prices?</w:t>
            </w:r>
          </w:p>
        </w:tc>
        <w:tc>
          <w:tcPr/>
          <w:p>
            <w:pPr>
              <w:pStyle w:val="Compact"/>
            </w:pPr>
            <w:r>
              <w:t xml:space="preserve">§24 entirely, and the cost-per-tenant targets in §32</w:t>
            </w:r>
          </w:p>
        </w:tc>
      </w:tr>
      <w:tr>
        <w:tc>
          <w:tcPr/>
          <w:p>
            <w:pPr>
              <w:pStyle w:val="Compact"/>
            </w:pPr>
            <w:r>
              <w:t xml:space="preserve">2</w:t>
            </w:r>
          </w:p>
        </w:tc>
        <w:tc>
          <w:tcPr/>
          <w:p>
            <w:pPr>
              <w:pStyle w:val="Compact"/>
            </w:pPr>
            <w:r>
              <w:t xml:space="preserve">Realistic 12-month tenant target?</w:t>
            </w:r>
          </w:p>
        </w:tc>
        <w:tc>
          <w:tcPr/>
          <w:p>
            <w:pPr>
              <w:pStyle w:val="Compact"/>
            </w:pPr>
            <w:r>
              <w:t xml:space="preserve">If 500 rather than 5,000, Stage 2 work defers by a year</w:t>
            </w:r>
          </w:p>
        </w:tc>
      </w:tr>
      <w:tr>
        <w:tc>
          <w:tcPr/>
          <w:p>
            <w:pPr>
              <w:pStyle w:val="Compact"/>
            </w:pPr>
            <w:r>
              <w:t xml:space="preserve">3</w:t>
            </w:r>
          </w:p>
        </w:tc>
        <w:tc>
          <w:tcPr/>
          <w:p>
            <w:pPr>
              <w:pStyle w:val="Compact"/>
            </w:pPr>
            <w:r>
              <w:t xml:space="preserve">Tenant mix — many micro-businesses or fewer larger ones?</w:t>
            </w:r>
          </w:p>
        </w:tc>
        <w:tc>
          <w:tcPr/>
          <w:p>
            <w:pPr>
              <w:pStyle w:val="Compact"/>
            </w:pPr>
            <w:r>
              <w:t xml:space="preserve">Changes §30 and §31 more than tenant count does. 1,000 large tenants hit partitioning before 10,000 small ones</w:t>
            </w:r>
          </w:p>
        </w:tc>
      </w:tr>
      <w:tr>
        <w:tc>
          <w:tcPr/>
          <w:p>
            <w:pPr>
              <w:pStyle w:val="Compact"/>
            </w:pPr>
            <w:r>
              <w:t xml:space="preserve">4</w:t>
            </w:r>
          </w:p>
        </w:tc>
        <w:tc>
          <w:tcPr/>
          <w:p>
            <w:pPr>
              <w:pStyle w:val="Compact"/>
            </w:pPr>
            <w:r>
              <w:t xml:space="preserve">Any named enterprise prospect requiring data isolation?</w:t>
            </w:r>
          </w:p>
        </w:tc>
        <w:tc>
          <w:tcPr/>
          <w:p>
            <w:pPr>
              <w:pStyle w:val="Compact"/>
            </w:pPr>
            <w:r>
              <w:t xml:space="preserve">Moves SILO placement from Stage 3 to Stage 1, and it must be priced</w:t>
            </w:r>
          </w:p>
        </w:tc>
      </w:tr>
      <w:tr>
        <w:tc>
          <w:tcPr/>
          <w:p>
            <w:pPr>
              <w:pStyle w:val="Compact"/>
            </w:pPr>
            <w:r>
              <w:t xml:space="preserve">5</w:t>
            </w:r>
          </w:p>
        </w:tc>
        <w:tc>
          <w:tcPr/>
          <w:p>
            <w:pPr>
              <w:pStyle w:val="Compact"/>
            </w:pPr>
            <w:r>
              <w:t xml:space="preserve">Has any customer asked for data-in-India?</w:t>
            </w:r>
          </w:p>
        </w:tc>
        <w:tc>
          <w:tcPr/>
          <w:p>
            <w:pPr>
              <w:pStyle w:val="Compact"/>
            </w:pPr>
            <w:r>
              <w:t xml:space="preserve">The most likely forcing function for the Stage 3 platform decision</w:t>
            </w:r>
          </w:p>
        </w:tc>
      </w:tr>
      <w:tr>
        <w:tc>
          <w:tcPr/>
          <w:p>
            <w:pPr>
              <w:pStyle w:val="Compact"/>
            </w:pPr>
            <w:r>
              <w:t xml:space="preserve">6</w:t>
            </w:r>
          </w:p>
        </w:tc>
        <w:tc>
          <w:tcPr/>
          <w:p>
            <w:pPr>
              <w:pStyle w:val="Compact"/>
            </w:pPr>
            <w:r>
              <w:t xml:space="preserve">How many engineers over the next 12 months?</w:t>
            </w:r>
          </w:p>
        </w:tc>
        <w:tc>
          <w:tcPr/>
          <w:p>
            <w:pPr>
              <w:pStyle w:val="Compact"/>
            </w:pPr>
            <w:r>
              <w:t xml:space="preserve">The whole roadmap assumes 2–3</w:t>
            </w:r>
          </w:p>
        </w:tc>
      </w:tr>
      <w:tr>
        <w:tc>
          <w:tcPr/>
          <w:p>
            <w:pPr>
              <w:pStyle w:val="Compact"/>
            </w:pPr>
            <w:r>
              <w:t xml:space="preserve">7</w:t>
            </w:r>
          </w:p>
        </w:tc>
        <w:tc>
          <w:tcPr/>
          <w:p>
            <w:pPr>
              <w:pStyle w:val="Compact"/>
            </w:pPr>
            <w:r>
              <w:t xml:space="preserve">Who owns which modules?</w:t>
            </w:r>
          </w:p>
        </w:tc>
        <w:tc>
          <w:tcPr/>
          <w:p>
            <w:pPr>
              <w:pStyle w:val="Compact"/>
            </w:pPr>
            <w:r>
              <w:t xml:space="preserve">§6.2’s boundaries work best when they match ownership</w:t>
            </w:r>
          </w:p>
        </w:tc>
      </w:tr>
      <w:tr>
        <w:tc>
          <w:tcPr/>
          <w:p>
            <w:pPr>
              <w:pStyle w:val="Compact"/>
            </w:pPr>
            <w:r>
              <w:t xml:space="preserve">8</w:t>
            </w:r>
          </w:p>
        </w:tc>
        <w:tc>
          <w:tcPr/>
          <w:p>
            <w:pPr>
              <w:pStyle w:val="Compact"/>
            </w:pPr>
            <w:r>
              <w:t xml:space="preserve">Is Indian counsel engaged for DPDP and the §25.3 retention conflict?</w:t>
            </w:r>
          </w:p>
        </w:tc>
        <w:tc>
          <w:tcPr/>
          <w:p>
            <w:pPr>
              <w:pStyle w:val="Compact"/>
            </w:pPr>
            <w:r>
              <w:t xml:space="preserve">On the critical path for launch. The data classification register cannot be written without an answer</w:t>
            </w:r>
          </w:p>
        </w:tc>
      </w:tr>
    </w:tbl>
    <w:p>
      <w:r>
        <w:pict>
          <v:rect style="width:0;height:1.5pt" o:hralign="center" o:hrstd="t" o:hr="t"/>
        </w:pict>
      </w:r>
    </w:p>
    <w:bookmarkEnd w:id="274"/>
    <w:bookmarkStart w:id="275" w:name="the-design-in-one-page"/>
    <w:p>
      <w:pPr>
        <w:pStyle w:val="Heading2"/>
      </w:pPr>
      <w:r>
        <w:t xml:space="preserve">38. The design in one page</w:t>
      </w:r>
    </w:p>
    <w:p>
      <w:pPr>
        <w:pStyle w:val="FirstParagraph"/>
      </w:pPr>
      <w:r>
        <w:rPr>
          <w:b/>
          <w:bCs/>
        </w:rPr>
        <w:t xml:space="preserve">[JUDGEMENT]</w:t>
      </w:r>
      <w:r>
        <w:t xml:space="preserve"> </w:t>
      </w:r>
      <w:r>
        <w:t xml:space="preserve">If AccuBook were built from nothing today, for five years, targeting 100,000 tenants, with two to five engineers:</w:t>
      </w:r>
    </w:p>
    <w:p>
      <w:pPr>
        <w:pStyle w:val="BodyText"/>
      </w:pPr>
      <w:r>
        <w:t xml:space="preserve">A</w:t>
      </w:r>
      <w:r>
        <w:t xml:space="preserve"> </w:t>
      </w:r>
      <w:r>
        <w:rPr>
          <w:b/>
          <w:bCs/>
        </w:rPr>
        <w:t xml:space="preserve">Next.js modular monolith</w:t>
      </w:r>
      <w:r>
        <w:t xml:space="preserve"> </w:t>
      </w:r>
      <w:r>
        <w:t xml:space="preserve">and a</w:t>
      </w:r>
      <w:r>
        <w:t xml:space="preserve"> </w:t>
      </w:r>
      <w:r>
        <w:rPr>
          <w:b/>
          <w:bCs/>
        </w:rPr>
        <w:t xml:space="preserve">single companion worker</w:t>
      </w:r>
      <w:r>
        <w:t xml:space="preserve">, backed by</w:t>
      </w:r>
      <w:r>
        <w:t xml:space="preserve"> </w:t>
      </w:r>
      <w:r>
        <w:rPr>
          <w:b/>
          <w:bCs/>
        </w:rPr>
        <w:t xml:space="preserve">one PostgreSQL cluster per placement</w:t>
      </w:r>
      <w:r>
        <w:t xml:space="preserve"> </w:t>
      </w:r>
      <w:r>
        <w:t xml:space="preserve">holding all tenant data in</w:t>
      </w:r>
      <w:r>
        <w:t xml:space="preserve"> </w:t>
      </w:r>
      <w:r>
        <w:rPr>
          <w:b/>
          <w:bCs/>
        </w:rPr>
        <w:t xml:space="preserve">shared tables keyed by</w:t>
      </w:r>
      <w:r>
        <w:rPr>
          <w:b/>
          <w:bCs/>
        </w:rPr>
        <w:t xml:space="preserve"> </w:t>
      </w:r>
      <w:r>
        <w:rPr>
          <w:rStyle w:val="VerbatimChar"/>
          <w:b/>
          <w:bCs/>
        </w:rPr>
        <w:t xml:space="preserve">organizationId</w:t>
      </w:r>
      <w:r>
        <w:t xml:space="preserve">, with</w:t>
      </w:r>
      <w:r>
        <w:t xml:space="preserve"> </w:t>
      </w:r>
      <w:r>
        <w:rPr>
          <w:b/>
          <w:bCs/>
        </w:rPr>
        <w:t xml:space="preserve">Row-Level Security forced</w:t>
      </w:r>
      <w:r>
        <w:t xml:space="preserve"> </w:t>
      </w:r>
      <w:r>
        <w:t xml:space="preserve">against a non-superuser application role and tenant context set</w:t>
      </w:r>
      <w:r>
        <w:t xml:space="preserve"> </w:t>
      </w:r>
      <w:r>
        <w:rPr>
          <w:b/>
          <w:bCs/>
        </w:rPr>
        <w:t xml:space="preserve">per transaction</w:t>
      </w:r>
      <w:r>
        <w:t xml:space="preserve">. A</w:t>
      </w:r>
      <w:r>
        <w:t xml:space="preserve"> </w:t>
      </w:r>
      <w:r>
        <w:rPr>
          <w:b/>
          <w:bCs/>
        </w:rPr>
        <w:t xml:space="preserve">separate small Platform database</w:t>
      </w:r>
      <w:r>
        <w:t xml:space="preserve"> </w:t>
      </w:r>
      <w:r>
        <w:t xml:space="preserve">owns tenants, identities, memberships, plans, entitlements, usage, placement and platform audit. Every tenant is resolved</w:t>
      </w:r>
      <w:r>
        <w:t xml:space="preserve"> </w:t>
      </w:r>
      <w:r>
        <w:rPr>
          <w:b/>
          <w:bCs/>
        </w:rPr>
        <w:t xml:space="preserve">server-side from the authenticated session’s membership</w:t>
      </w:r>
      <w:r>
        <w:t xml:space="preserve"> </w:t>
      </w:r>
      <w:r>
        <w:t xml:space="preserve">and never from a request parameter. A</w:t>
      </w:r>
      <w:r>
        <w:t xml:space="preserve"> </w:t>
      </w:r>
      <w:r>
        <w:rPr>
          <w:rStyle w:val="VerbatimChar"/>
          <w:b/>
          <w:bCs/>
        </w:rPr>
        <w:t xml:space="preserve">tenant_placement</w:t>
      </w:r>
      <w:r>
        <w:rPr>
          <w:b/>
          <w:bCs/>
        </w:rPr>
        <w:t xml:space="preserve"> </w:t>
      </w:r>
      <w:r>
        <w:rPr>
          <w:b/>
          <w:bCs/>
        </w:rPr>
        <w:t xml:space="preserve">table</w:t>
      </w:r>
      <w:r>
        <w:t xml:space="preserve"> </w:t>
      </w:r>
      <w:r>
        <w:t xml:space="preserve">returns</w:t>
      </w:r>
      <w:r>
        <w:t xml:space="preserve"> </w:t>
      </w:r>
      <w:r>
        <w:rPr>
          <w:rStyle w:val="VerbatimChar"/>
        </w:rPr>
        <w:t xml:space="preserve">POOL-01</w:t>
      </w:r>
      <w:r>
        <w:t xml:space="preserve"> </w:t>
      </w:r>
      <w:r>
        <w:t xml:space="preserve">for every tenant today and can return</w:t>
      </w:r>
      <w:r>
        <w:t xml:space="preserve"> </w:t>
      </w:r>
      <w:r>
        <w:rPr>
          <w:rStyle w:val="VerbatimChar"/>
        </w:rPr>
        <w:t xml:space="preserve">SILO-04</w:t>
      </w:r>
      <w:r>
        <w:t xml:space="preserve"> </w:t>
      </w:r>
      <w:r>
        <w:t xml:space="preserve">for your largest customer in year three</w:t>
      </w:r>
      <w:r>
        <w:t xml:space="preserve"> </w:t>
      </w:r>
      <w:r>
        <w:rPr>
          <w:b/>
          <w:bCs/>
        </w:rPr>
        <w:t xml:space="preserve">without a single change to business logic</w:t>
      </w:r>
      <w:r>
        <w:t xml:space="preserve">. A</w:t>
      </w:r>
      <w:r>
        <w:t xml:space="preserve"> </w:t>
      </w:r>
      <w:r>
        <w:rPr>
          <w:b/>
          <w:bCs/>
        </w:rPr>
        <w:t xml:space="preserve">Postgres-backed job queue</w:t>
      </w:r>
      <w:r>
        <w:t xml:space="preserve"> </w:t>
      </w:r>
      <w:r>
        <w:t xml:space="preserve">carries tenant context in the payload and asserts it in the worker, enqueued in the same transaction as the business write so no outbox is needed.</w:t>
      </w:r>
      <w:r>
        <w:t xml:space="preserve"> </w:t>
      </w:r>
      <w:r>
        <w:rPr>
          <w:b/>
          <w:bCs/>
        </w:rPr>
        <w:t xml:space="preserve">Object storage</w:t>
      </w:r>
      <w:r>
        <w:t xml:space="preserve"> </w:t>
      </w:r>
      <w:r>
        <w:t xml:space="preserve">uses tenant-prefixed keys served only through signed, org-scoped routes after a row read under RLS.</w:t>
      </w:r>
      <w:r>
        <w:t xml:space="preserve"> </w:t>
      </w:r>
      <w:r>
        <w:rPr>
          <w:b/>
          <w:bCs/>
        </w:rPr>
        <w:t xml:space="preserve">Redis</w:t>
      </w:r>
      <w:r>
        <w:t xml:space="preserve"> </w:t>
      </w:r>
      <w:r>
        <w:t xml:space="preserve">holds rate limits and control-plane metadata — never financial data; acceleration comes from</w:t>
      </w:r>
      <w:r>
        <w:t xml:space="preserve"> </w:t>
      </w:r>
      <w:r>
        <w:rPr>
          <w:b/>
          <w:bCs/>
        </w:rPr>
        <w:t xml:space="preserve">summary tables maintained inside the posting transaction</w:t>
      </w:r>
      <w:r>
        <w:t xml:space="preserve">, which cannot be stale.</w:t>
      </w:r>
      <w:r>
        <w:t xml:space="preserve"> </w:t>
      </w:r>
      <w:r>
        <w:rPr>
          <w:b/>
          <w:bCs/>
        </w:rPr>
        <w:t xml:space="preserve">Observability</w:t>
      </w:r>
      <w:r>
        <w:t xml:space="preserve"> </w:t>
      </w:r>
      <w:r>
        <w:t xml:space="preserve">puts</w:t>
      </w:r>
      <w:r>
        <w:t xml:space="preserve"> </w:t>
      </w:r>
      <w:r>
        <w:rPr>
          <w:rStyle w:val="VerbatimChar"/>
        </w:rPr>
        <w:t xml:space="preserve">tenantId</w:t>
      </w:r>
      <w:r>
        <w:t xml:space="preserve"> </w:t>
      </w:r>
      <w:r>
        <w:t xml:space="preserve">on every log line and never on a metric label. The</w:t>
      </w:r>
      <w:r>
        <w:t xml:space="preserve"> </w:t>
      </w:r>
      <w:r>
        <w:rPr>
          <w:b/>
          <w:bCs/>
        </w:rPr>
        <w:t xml:space="preserve">posting engine is one function, one transaction</w:t>
      </w:r>
      <w:r>
        <w:t xml:space="preserve">, and every module that touches money goes through it.</w:t>
      </w:r>
      <w:r>
        <w:t xml:space="preserve"> </w:t>
      </w:r>
      <w:r>
        <w:rPr>
          <w:b/>
          <w:bCs/>
        </w:rPr>
        <w:t xml:space="preserve">Governor limits</w:t>
      </w:r>
      <w:r>
        <w:t xml:space="preserve"> </w:t>
      </w:r>
      <w:r>
        <w:t xml:space="preserve">are entitlements, published and enforced, because that is how a pooled platform stays fair. And</w:t>
      </w:r>
      <w:r>
        <w:t xml:space="preserve"> </w:t>
      </w:r>
      <w:r>
        <w:rPr>
          <w:b/>
          <w:bCs/>
        </w:rPr>
        <w:t xml:space="preserve">tax rules are date-versioned data</w:t>
      </w:r>
      <w:r>
        <w:t xml:space="preserve">, so a return filed in 2026 still reproduces in 2030.</w:t>
      </w:r>
    </w:p>
    <w:p>
      <w:pPr>
        <w:pStyle w:val="BodyText"/>
      </w:pPr>
      <w:r>
        <w:t xml:space="preserve">Ship that, and the things that change between 100 and 100,000 tenants are</w:t>
      </w:r>
      <w:r>
        <w:t xml:space="preserve"> </w:t>
      </w:r>
      <w:r>
        <w:rPr>
          <w:b/>
          <w:bCs/>
        </w:rPr>
        <w:t xml:space="preserve">deployment topology and hardware</w:t>
      </w:r>
      <w:r>
        <w:t xml:space="preserve"> </w:t>
      </w:r>
      <w:r>
        <w:t xml:space="preserve">— not the domain model, not the security model, and not the code.</w:t>
      </w:r>
    </w:p>
    <w:p>
      <w:r>
        <w:pict>
          <v:rect style="width:0;height:1.5pt" o:hralign="center" o:hrstd="t" o:hr="t"/>
        </w:pict>
      </w:r>
    </w:p>
    <w:bookmarkEnd w:id="275"/>
    <w:bookmarkStart w:id="276" w:name="appendix-a-the-invariant-checklist"/>
    <w:p>
      <w:pPr>
        <w:pStyle w:val="Heading2"/>
      </w:pPr>
      <w:r>
        <w:t xml:space="preserve">Appendix A — The invariant checklist</w:t>
      </w:r>
    </w:p>
    <w:p>
      <w:pPr>
        <w:pStyle w:val="FirstParagraph"/>
      </w:pPr>
      <w:r>
        <w:t xml:space="preserve">Print this. It is the review checklist for every new model, endpoint and migration.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Check</w:t>
            </w:r>
          </w:p>
        </w:tc>
      </w:tr>
      <w:tr>
        <w:tc>
          <w:tcPr/>
          <w:p>
            <w:pPr>
              <w:pStyle w:val="Compact"/>
            </w:pPr>
            <w:r>
              <w:t xml:space="preserve">☐</w:t>
            </w:r>
          </w:p>
        </w:tc>
        <w:tc>
          <w:tcPr/>
          <w:p>
            <w:pPr>
              <w:pStyle w:val="Compact"/>
            </w:pPr>
            <w:r>
              <w:t xml:space="preserve">Does every new tenant table have</w:t>
            </w:r>
            <w:r>
              <w:t xml:space="preserve"> </w:t>
            </w:r>
            <w:r>
              <w:rPr>
                <w:rStyle w:val="VerbatimChar"/>
              </w:rPr>
              <w:t xml:space="preserve">organizationId</w:t>
            </w:r>
            <w:r>
              <w:t xml:space="preserve">,</w:t>
            </w:r>
            <w:r>
              <w:t xml:space="preserve"> </w:t>
            </w:r>
            <w:r>
              <w:rPr>
                <w:rStyle w:val="VerbatimChar"/>
              </w:rPr>
              <w:t xml:space="preserve">NOT NULL</w:t>
            </w:r>
            <w:r>
              <w:t xml:space="preserve">?</w:t>
            </w:r>
          </w:p>
        </w:tc>
      </w:tr>
      <w:tr>
        <w:tc>
          <w:tcPr/>
          <w:p>
            <w:pPr>
              <w:pStyle w:val="Compact"/>
            </w:pPr>
            <w:r>
              <w:t xml:space="preserve">☐</w:t>
            </w:r>
          </w:p>
        </w:tc>
        <w:tc>
          <w:tcPr/>
          <w:p>
            <w:pPr>
              <w:pStyle w:val="Compact"/>
            </w:pPr>
            <w:r>
              <w:t xml:space="preserve">Does it have a composite FK</w:t>
            </w:r>
            <w:r>
              <w:t xml:space="preserve"> </w:t>
            </w:r>
            <w:r>
              <w:rPr>
                <w:rStyle w:val="VerbatimChar"/>
              </w:rPr>
              <w:t xml:space="preserve">(organizationId, parentId)</w:t>
            </w:r>
            <w:r>
              <w:t xml:space="preserve"> </w:t>
            </w:r>
            <w:r>
              <w:t xml:space="preserve">to its parent?</w:t>
            </w:r>
          </w:p>
        </w:tc>
      </w:tr>
      <w:tr>
        <w:tc>
          <w:tcPr/>
          <w:p>
            <w:pPr>
              <w:pStyle w:val="Compact"/>
            </w:pPr>
            <w:r>
              <w:t xml:space="preserve">☐</w:t>
            </w:r>
          </w:p>
        </w:tc>
        <w:tc>
          <w:tcPr/>
          <w:p>
            <w:pPr>
              <w:pStyle w:val="Compact"/>
            </w:pPr>
            <w:r>
              <w:t xml:space="preserve">Does</w:t>
            </w:r>
            <w:r>
              <w:t xml:space="preserve"> </w:t>
            </w:r>
            <w:r>
              <w:rPr>
                <w:rStyle w:val="VerbatimChar"/>
              </w:rPr>
              <w:t xml:space="preserve">organizationId</w:t>
            </w:r>
            <w:r>
              <w:t xml:space="preserve"> </w:t>
            </w:r>
            <w:r>
              <w:rPr>
                <w:b/>
                <w:bCs/>
              </w:rPr>
              <w:t xml:space="preserve">lead</w:t>
            </w:r>
            <w:r>
              <w:t xml:space="preserve"> </w:t>
            </w:r>
            <w:r>
              <w:t xml:space="preserve">every index on it?</w:t>
            </w:r>
          </w:p>
        </w:tc>
      </w:tr>
      <w:tr>
        <w:tc>
          <w:tcPr/>
          <w:p>
            <w:pPr>
              <w:pStyle w:val="Compact"/>
            </w:pPr>
            <w:r>
              <w:t xml:space="preserve">☐</w:t>
            </w:r>
          </w:p>
        </w:tc>
        <w:tc>
          <w:tcPr/>
          <w:p>
            <w:pPr>
              <w:pStyle w:val="Compact"/>
            </w:pPr>
            <w:r>
              <w:t xml:space="preserve">Does it have an RLS policy, with both</w:t>
            </w:r>
            <w:r>
              <w:t xml:space="preserve"> </w:t>
            </w:r>
            <w:r>
              <w:rPr>
                <w:rStyle w:val="VerbatimChar"/>
              </w:rPr>
              <w:t xml:space="preserve">USING</w:t>
            </w:r>
            <w:r>
              <w:t xml:space="preserve"> </w:t>
            </w:r>
            <w:r>
              <w:t xml:space="preserve">and</w:t>
            </w:r>
            <w:r>
              <w:t xml:space="preserve"> </w:t>
            </w:r>
            <w:r>
              <w:rPr>
                <w:rStyle w:val="VerbatimChar"/>
              </w:rPr>
              <w:t xml:space="preserve">WITH CHECK</w:t>
            </w:r>
            <w:r>
              <w:t xml:space="preserve">, and</w:t>
            </w:r>
            <w:r>
              <w:t xml:space="preserve"> </w:t>
            </w:r>
            <w:r>
              <w:rPr>
                <w:rStyle w:val="VerbatimChar"/>
              </w:rPr>
              <w:t xml:space="preserve">FORCE</w:t>
            </w:r>
            <w:r>
              <w:t xml:space="preserve">?</w:t>
            </w:r>
          </w:p>
        </w:tc>
      </w:tr>
      <w:tr>
        <w:tc>
          <w:tcPr/>
          <w:p>
            <w:pPr>
              <w:pStyle w:val="Compact"/>
            </w:pPr>
            <w:r>
              <w:t xml:space="preserve">☐</w:t>
            </w:r>
          </w:p>
        </w:tc>
        <w:tc>
          <w:tcPr/>
          <w:p>
            <w:pPr>
              <w:pStyle w:val="Compact"/>
            </w:pPr>
            <w:r>
              <w:t xml:space="preserve">Is every status column an enum or</w:t>
            </w:r>
            <w:r>
              <w:t xml:space="preserve"> </w:t>
            </w:r>
            <w:r>
              <w:rPr>
                <w:rStyle w:val="VerbatimChar"/>
              </w:rPr>
              <w:t xml:space="preserve">CHECK</w:t>
            </w:r>
            <w:r>
              <w:t xml:space="preserve">-constrained?</w:t>
            </w:r>
          </w:p>
        </w:tc>
      </w:tr>
      <w:tr>
        <w:tc>
          <w:tcPr/>
          <w:p>
            <w:pPr>
              <w:pStyle w:val="Compact"/>
            </w:pPr>
            <w:r>
              <w:t xml:space="preserve">☐</w:t>
            </w:r>
          </w:p>
        </w:tc>
        <w:tc>
          <w:tcPr/>
          <w:p>
            <w:pPr>
              <w:pStyle w:val="Compact"/>
            </w:pPr>
            <w:r>
              <w:t xml:space="preserve">Is every money column</w:t>
            </w:r>
            <w:r>
              <w:t xml:space="preserve"> </w:t>
            </w:r>
            <w:r>
              <w:rPr>
                <w:rStyle w:val="VerbatimChar"/>
              </w:rPr>
              <w:t xml:space="preserve">Decimal(18,4)</w:t>
            </w:r>
            <w:r>
              <w:t xml:space="preserve"> </w:t>
            </w:r>
            <w:r>
              <w:t xml:space="preserve">— never</w:t>
            </w:r>
            <w:r>
              <w:t xml:space="preserve"> </w:t>
            </w:r>
            <w:r>
              <w:rPr>
                <w:rStyle w:val="VerbatimChar"/>
              </w:rPr>
              <w:t xml:space="preserve">Float</w:t>
            </w:r>
            <w:r>
              <w:t xml:space="preserve">, never JS</w:t>
            </w:r>
            <w:r>
              <w:t xml:space="preserve"> </w:t>
            </w:r>
            <w:r>
              <w:rPr>
                <w:rStyle w:val="VerbatimChar"/>
              </w:rPr>
              <w:t xml:space="preserve">number</w:t>
            </w:r>
            <w:r>
              <w:t xml:space="preserve">?</w:t>
            </w:r>
          </w:p>
        </w:tc>
      </w:tr>
      <w:tr>
        <w:tc>
          <w:tcPr/>
          <w:p>
            <w:pPr>
              <w:pStyle w:val="Compact"/>
            </w:pPr>
            <w:r>
              <w:t xml:space="preserve">☐</w:t>
            </w:r>
          </w:p>
        </w:tc>
        <w:tc>
          <w:tcPr/>
          <w:p>
            <w:pPr>
              <w:pStyle w:val="Compact"/>
            </w:pPr>
            <w:r>
              <w:t xml:space="preserve">Does the new route go through</w:t>
            </w:r>
            <w:r>
              <w:t xml:space="preserve"> </w:t>
            </w:r>
            <w:r>
              <w:rPr>
                <w:rStyle w:val="VerbatimChar"/>
              </w:rPr>
              <w:t xml:space="preserve">withOrgAuth</w:t>
            </w:r>
            <w:r>
              <w:t xml:space="preserve">, and is</w:t>
            </w:r>
            <w:r>
              <w:t xml:space="preserve"> </w:t>
            </w:r>
            <w:r>
              <w:rPr>
                <w:rStyle w:val="VerbatimChar"/>
              </w:rPr>
              <w:t xml:space="preserve">(path, method)</w:t>
            </w:r>
            <w:r>
              <w:t xml:space="preserve"> </w:t>
            </w:r>
            <w:r>
              <w:t xml:space="preserve">in the permission map?</w:t>
            </w:r>
          </w:p>
        </w:tc>
      </w:tr>
      <w:tr>
        <w:tc>
          <w:tcPr/>
          <w:p>
            <w:pPr>
              <w:pStyle w:val="Compact"/>
            </w:pPr>
            <w:r>
              <w:t xml:space="preserve">☐</w:t>
            </w:r>
          </w:p>
        </w:tc>
        <w:tc>
          <w:tcPr/>
          <w:p>
            <w:pPr>
              <w:pStyle w:val="Compact"/>
            </w:pPr>
            <w:r>
              <w:t xml:space="preserve">Does a cross-tenant reference return</w:t>
            </w:r>
            <w:r>
              <w:t xml:space="preserve"> </w:t>
            </w:r>
            <w:r>
              <w:rPr>
                <w:b/>
                <w:bCs/>
              </w:rPr>
              <w:t xml:space="preserve">404</w:t>
            </w:r>
            <w:r>
              <w:t xml:space="preserve">, never 403?</w:t>
            </w:r>
          </w:p>
        </w:tc>
      </w:tr>
      <w:tr>
        <w:tc>
          <w:tcPr/>
          <w:p>
            <w:pPr>
              <w:pStyle w:val="Compact"/>
            </w:pPr>
            <w:r>
              <w:t xml:space="preserve">☐</w:t>
            </w:r>
          </w:p>
        </w:tc>
        <w:tc>
          <w:tcPr/>
          <w:p>
            <w:pPr>
              <w:pStyle w:val="Compact"/>
            </w:pPr>
            <w:r>
              <w:t xml:space="preserve">Is the financial write</w:t>
            </w:r>
            <w:r>
              <w:t xml:space="preserve"> </w:t>
            </w:r>
            <w:r>
              <w:rPr>
                <w:b/>
                <w:bCs/>
              </w:rPr>
              <w:t xml:space="preserve">idempotent</w:t>
            </w:r>
            <w:r>
              <w:t xml:space="preserve">, keyed?</w:t>
            </w:r>
          </w:p>
        </w:tc>
      </w:tr>
      <w:tr>
        <w:tc>
          <w:tcPr/>
          <w:p>
            <w:pPr>
              <w:pStyle w:val="Compact"/>
            </w:pPr>
            <w:r>
              <w:t xml:space="preserve">☐</w:t>
            </w:r>
          </w:p>
        </w:tc>
        <w:tc>
          <w:tcPr/>
          <w:p>
            <w:pPr>
              <w:pStyle w:val="Compact"/>
            </w:pPr>
            <w:r>
              <w:t xml:space="preserve">Does the multi-step financial operation run in</w:t>
            </w:r>
            <w:r>
              <w:t xml:space="preserve"> </w:t>
            </w:r>
            <w:r>
              <w:rPr>
                <w:b/>
                <w:bCs/>
              </w:rPr>
              <w:t xml:space="preserve">one</w:t>
            </w:r>
            <w:r>
              <w:t xml:space="preserve"> </w:t>
            </w:r>
            <w:r>
              <w:t xml:space="preserve">transaction?</w:t>
            </w:r>
          </w:p>
        </w:tc>
      </w:tr>
      <w:tr>
        <w:tc>
          <w:tcPr/>
          <w:p>
            <w:pPr>
              <w:pStyle w:val="Compact"/>
            </w:pPr>
            <w:r>
              <w:t xml:space="preserve">☐</w:t>
            </w:r>
          </w:p>
        </w:tc>
        <w:tc>
          <w:tcPr/>
          <w:p>
            <w:pPr>
              <w:pStyle w:val="Compact"/>
            </w:pPr>
            <w:r>
              <w:t xml:space="preserve">Does the new job declare</w:t>
            </w:r>
            <w:r>
              <w:t xml:space="preserve"> </w:t>
            </w:r>
            <w:r>
              <w:rPr>
                <w:rStyle w:val="VerbatimChar"/>
              </w:rPr>
              <w:t xml:space="preserve">tenant_scope</w:t>
            </w:r>
            <w:r>
              <w:t xml:space="preserve"> </w:t>
            </w:r>
            <w:r>
              <w:t xml:space="preserve">and carry</w:t>
            </w:r>
            <w:r>
              <w:t xml:space="preserve"> </w:t>
            </w:r>
            <w:r>
              <w:rPr>
                <w:rStyle w:val="VerbatimChar"/>
              </w:rPr>
              <w:t xml:space="preserve">tenant_id</w:t>
            </w:r>
            <w:r>
              <w:t xml:space="preserve">?</w:t>
            </w:r>
          </w:p>
        </w:tc>
      </w:tr>
      <w:tr>
        <w:tc>
          <w:tcPr/>
          <w:p>
            <w:pPr>
              <w:pStyle w:val="Compact"/>
            </w:pPr>
            <w:r>
              <w:t xml:space="preserve">☐</w:t>
            </w:r>
          </w:p>
        </w:tc>
        <w:tc>
          <w:tcPr/>
          <w:p>
            <w:pPr>
              <w:pStyle w:val="Compact"/>
            </w:pPr>
            <w:r>
              <w:t xml:space="preserve">Is the cache key tenant-prefixed?</w:t>
            </w:r>
          </w:p>
        </w:tc>
      </w:tr>
      <w:tr>
        <w:tc>
          <w:tcPr/>
          <w:p>
            <w:pPr>
              <w:pStyle w:val="Compact"/>
            </w:pPr>
            <w:r>
              <w:t xml:space="preserve">☐</w:t>
            </w:r>
          </w:p>
        </w:tc>
        <w:tc>
          <w:tcPr/>
          <w:p>
            <w:pPr>
              <w:pStyle w:val="Compact"/>
            </w:pPr>
            <w:r>
              <w:t xml:space="preserve">Is the file authorised by a</w:t>
            </w:r>
            <w:r>
              <w:t xml:space="preserve"> </w:t>
            </w:r>
            <w:r>
              <w:rPr>
                <w:b/>
                <w:bCs/>
              </w:rPr>
              <w:t xml:space="preserve">row read</w:t>
            </w:r>
            <w:r>
              <w:t xml:space="preserve">, never by its storage key?</w:t>
            </w:r>
          </w:p>
        </w:tc>
      </w:tr>
      <w:tr>
        <w:tc>
          <w:tcPr/>
          <w:p>
            <w:pPr>
              <w:pStyle w:val="Compact"/>
            </w:pPr>
            <w:r>
              <w:t xml:space="preserve">☐</w:t>
            </w:r>
          </w:p>
        </w:tc>
        <w:tc>
          <w:tcPr/>
          <w:p>
            <w:pPr>
              <w:pStyle w:val="Compact"/>
            </w:pPr>
            <w:r>
              <w:t xml:space="preserve">Is the tax rate read</w:t>
            </w:r>
            <w:r>
              <w:t xml:space="preserve"> </w:t>
            </w:r>
            <w:r>
              <w:rPr>
                <w:b/>
                <w:bCs/>
              </w:rPr>
              <w:t xml:space="preserve">by voucher date</w:t>
            </w:r>
            <w:r>
              <w:t xml:space="preserve">, and the applied rate stored on the row?</w:t>
            </w:r>
          </w:p>
        </w:tc>
      </w:tr>
      <w:tr>
        <w:tc>
          <w:tcPr/>
          <w:p>
            <w:pPr>
              <w:pStyle w:val="Compact"/>
            </w:pPr>
            <w:r>
              <w:t xml:space="preserve">☐</w:t>
            </w:r>
          </w:p>
        </w:tc>
        <w:tc>
          <w:tcPr/>
          <w:p>
            <w:pPr>
              <w:pStyle w:val="Compact"/>
            </w:pPr>
            <w:r>
              <w:t xml:space="preserve">Is the new feature gated by an</w:t>
            </w:r>
            <w:r>
              <w:t xml:space="preserve"> </w:t>
            </w:r>
            <w:r>
              <w:rPr>
                <w:b/>
                <w:bCs/>
              </w:rPr>
              <w:t xml:space="preserve">entitlement</w:t>
            </w:r>
            <w:r>
              <w:t xml:space="preserve">, not by a plan name in code?</w:t>
            </w:r>
          </w:p>
        </w:tc>
      </w:tr>
      <w:tr>
        <w:tc>
          <w:tcPr/>
          <w:p>
            <w:pPr>
              <w:pStyle w:val="Compact"/>
            </w:pPr>
            <w:r>
              <w:t xml:space="preserve">☐</w:t>
            </w:r>
          </w:p>
        </w:tc>
        <w:tc>
          <w:tcPr/>
          <w:p>
            <w:pPr>
              <w:pStyle w:val="Compact"/>
            </w:pPr>
            <w:r>
              <w:t xml:space="preserve">Does the migration follow expand/contract, with contract in a</w:t>
            </w:r>
            <w:r>
              <w:t xml:space="preserve"> </w:t>
            </w:r>
            <w:r>
              <w:rPr>
                <w:b/>
                <w:bCs/>
              </w:rPr>
              <w:t xml:space="preserve">later</w:t>
            </w:r>
            <w:r>
              <w:t xml:space="preserve"> </w:t>
            </w:r>
            <w:r>
              <w:t xml:space="preserve">release?</w:t>
            </w:r>
          </w:p>
        </w:tc>
      </w:tr>
      <w:tr>
        <w:tc>
          <w:tcPr/>
          <w:p>
            <w:pPr>
              <w:pStyle w:val="Compact"/>
            </w:pPr>
            <w:r>
              <w:t xml:space="preserve">☐</w:t>
            </w:r>
          </w:p>
        </w:tc>
        <w:tc>
          <w:tcPr/>
          <w:p>
            <w:pPr>
              <w:pStyle w:val="Compact"/>
            </w:pPr>
            <w:r>
              <w:t xml:space="preserve">Is the new limit both a plan feature</w:t>
            </w:r>
            <w:r>
              <w:t xml:space="preserve"> </w:t>
            </w:r>
            <w:r>
              <w:rPr>
                <w:b/>
                <w:bCs/>
              </w:rPr>
              <w:t xml:space="preserve">and</w:t>
            </w:r>
            <w:r>
              <w:t xml:space="preserve"> </w:t>
            </w:r>
            <w:r>
              <w:t xml:space="preserve">a noisy-neighbour control?</w:t>
            </w:r>
          </w:p>
        </w:tc>
      </w:tr>
      <w:tr>
        <w:tc>
          <w:tcPr/>
          <w:p>
            <w:pPr>
              <w:pStyle w:val="Compact"/>
            </w:pPr>
            <w:r>
              <w:t xml:space="preserve">☐</w:t>
            </w:r>
          </w:p>
        </w:tc>
        <w:tc>
          <w:tcPr/>
          <w:p>
            <w:pPr>
              <w:pStyle w:val="Compact"/>
            </w:pPr>
            <w:r>
              <w:t xml:space="preserve">Does the new alert have a runbook?</w:t>
            </w:r>
          </w:p>
        </w:tc>
      </w:tr>
    </w:tbl>
    <w:bookmarkEnd w:id="276"/>
    <w:bookmarkStart w:id="277" w:name="appendix-b-glossary"/>
    <w:p>
      <w:pPr>
        <w:pStyle w:val="Heading2"/>
      </w:pPr>
      <w:r>
        <w:t xml:space="preserve">Appendix B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here</w:t>
            </w:r>
          </w:p>
        </w:tc>
      </w:tr>
      <w:tr>
        <w:tc>
          <w:tcPr/>
          <w:p>
            <w:pPr>
              <w:pStyle w:val="Compact"/>
            </w:pPr>
            <w:r>
              <w:rPr>
                <w:b/>
                <w:bCs/>
              </w:rPr>
              <w:t xml:space="preserve">Tenant</w:t>
            </w:r>
          </w:p>
        </w:tc>
        <w:tc>
          <w:tcPr/>
          <w:p>
            <w:pPr>
              <w:pStyle w:val="Compact"/>
            </w:pPr>
            <w:r>
              <w:t xml:space="preserve">One customer organisation.</w:t>
            </w:r>
            <w:r>
              <w:t xml:space="preserve"> </w:t>
            </w:r>
            <w:r>
              <w:rPr>
                <w:rStyle w:val="VerbatimChar"/>
              </w:rPr>
              <w:t xml:space="preserve">Organization</w:t>
            </w:r>
            <w:r>
              <w:t xml:space="preserve"> </w:t>
            </w:r>
            <w:r>
              <w:t xml:space="preserve">in the current schema;</w:t>
            </w:r>
            <w:r>
              <w:t xml:space="preserve"> </w:t>
            </w:r>
            <w:r>
              <w:rPr>
                <w:rStyle w:val="VerbatimChar"/>
              </w:rPr>
              <w:t xml:space="preserve">tenant</w:t>
            </w:r>
            <w:r>
              <w:t xml:space="preserve"> </w:t>
            </w:r>
            <w:r>
              <w:t xml:space="preserve">in the control plane</w:t>
            </w:r>
          </w:p>
        </w:tc>
      </w:tr>
      <w:tr>
        <w:tc>
          <w:tcPr/>
          <w:p>
            <w:pPr>
              <w:pStyle w:val="Compact"/>
            </w:pPr>
            <w:r>
              <w:rPr>
                <w:b/>
                <w:bCs/>
              </w:rPr>
              <w:t xml:space="preserve">Control plane</w:t>
            </w:r>
          </w:p>
        </w:tc>
        <w:tc>
          <w:tcPr/>
          <w:p>
            <w:pPr>
              <w:pStyle w:val="Compact"/>
            </w:pPr>
            <w:r>
              <w:t xml:space="preserve">The Platform database and the logic governing tenants — identity, plans, entitlements, placement</w:t>
            </w:r>
          </w:p>
        </w:tc>
      </w:tr>
      <w:tr>
        <w:tc>
          <w:tcPr/>
          <w:p>
            <w:pPr>
              <w:pStyle w:val="Compact"/>
            </w:pPr>
            <w:r>
              <w:rPr>
                <w:b/>
                <w:bCs/>
              </w:rPr>
              <w:t xml:space="preserve">Data plane</w:t>
            </w:r>
          </w:p>
        </w:tc>
        <w:tc>
          <w:tcPr/>
          <w:p>
            <w:pPr>
              <w:pStyle w:val="Compact"/>
            </w:pPr>
            <w:r>
              <w:t xml:space="preserve">A placement holding tenant business data</w:t>
            </w:r>
          </w:p>
        </w:tc>
      </w:tr>
      <w:tr>
        <w:tc>
          <w:tcPr/>
          <w:p>
            <w:pPr>
              <w:pStyle w:val="Compact"/>
            </w:pPr>
            <w:r>
              <w:rPr>
                <w:b/>
                <w:bCs/>
              </w:rPr>
              <w:t xml:space="preserve">Placement</w:t>
            </w:r>
          </w:p>
        </w:tc>
        <w:tc>
          <w:tcPr/>
          <w:p>
            <w:pPr>
              <w:pStyle w:val="Compact"/>
            </w:pPr>
            <w:r>
              <w:t xml:space="preserve">One physical home for tenant data —</w:t>
            </w:r>
            <w:r>
              <w:t xml:space="preserve"> </w:t>
            </w:r>
            <w:r>
              <w:rPr>
                <w:rStyle w:val="VerbatimChar"/>
              </w:rPr>
              <w:t xml:space="preserve">POOL-01</w:t>
            </w:r>
            <w:r>
              <w:t xml:space="preserve">,</w:t>
            </w:r>
            <w:r>
              <w:t xml:space="preserve"> </w:t>
            </w:r>
            <w:r>
              <w:rPr>
                <w:rStyle w:val="VerbatimChar"/>
              </w:rPr>
              <w:t xml:space="preserve">SILO-04</w:t>
            </w:r>
            <w:r>
              <w:t xml:space="preserve">. The unit of scaling</w:t>
            </w:r>
          </w:p>
        </w:tc>
      </w:tr>
      <w:tr>
        <w:tc>
          <w:tcPr/>
          <w:p>
            <w:pPr>
              <w:pStyle w:val="Compact"/>
            </w:pPr>
            <w:r>
              <w:rPr>
                <w:b/>
                <w:bCs/>
              </w:rPr>
              <w:t xml:space="preserve">POOL / BRIDGE / SILO</w:t>
            </w:r>
          </w:p>
        </w:tc>
        <w:tc>
          <w:tcPr/>
          <w:p>
            <w:pPr>
              <w:pStyle w:val="Compact"/>
            </w:pPr>
            <w:r>
              <w:t xml:space="preserve">Shared tables / schema-per-tenant / database-per-tenant</w:t>
            </w:r>
          </w:p>
        </w:tc>
      </w:tr>
      <w:tr>
        <w:tc>
          <w:tcPr/>
          <w:p>
            <w:pPr>
              <w:pStyle w:val="Compact"/>
            </w:pPr>
            <w:r>
              <w:rPr>
                <w:b/>
                <w:bCs/>
              </w:rPr>
              <w:t xml:space="preserve">RLS</w:t>
            </w:r>
          </w:p>
        </w:tc>
        <w:tc>
          <w:tcPr/>
          <w:p>
            <w:pPr>
              <w:pStyle w:val="Compact"/>
            </w:pPr>
            <w:r>
              <w:t xml:space="preserve">PostgreSQL Row-Level Security — policies the database enforces on every statement</w:t>
            </w:r>
          </w:p>
        </w:tc>
      </w:tr>
      <w:tr>
        <w:tc>
          <w:tcPr/>
          <w:p>
            <w:pPr>
              <w:pStyle w:val="Compact"/>
            </w:pPr>
            <w:r>
              <w:rPr>
                <w:b/>
                <w:bCs/>
              </w:rPr>
              <w:t xml:space="preserve">Gate</w:t>
            </w:r>
          </w:p>
        </w:tc>
        <w:tc>
          <w:tcPr/>
          <w:p>
            <w:pPr>
              <w:pStyle w:val="Compact"/>
            </w:pPr>
            <w:r>
              <w:t xml:space="preserve">One of the five ordered checks every request passes (§9)</w:t>
            </w:r>
          </w:p>
        </w:tc>
      </w:tr>
      <w:tr>
        <w:tc>
          <w:tcPr/>
          <w:p>
            <w:pPr>
              <w:pStyle w:val="Compact"/>
            </w:pPr>
            <w:r>
              <w:rPr>
                <w:b/>
                <w:bCs/>
              </w:rPr>
              <w:t xml:space="preserve">Entitlement</w:t>
            </w:r>
          </w:p>
        </w:tc>
        <w:tc>
          <w:tcPr/>
          <w:p>
            <w:pPr>
              <w:pStyle w:val="Compact"/>
            </w:pPr>
            <w:r>
              <w:t xml:space="preserve">A materialised row stating what one tenant may do, and why</w:t>
            </w:r>
          </w:p>
        </w:tc>
      </w:tr>
      <w:tr>
        <w:tc>
          <w:tcPr/>
          <w:p>
            <w:pPr>
              <w:pStyle w:val="Compact"/>
            </w:pPr>
            <w:r>
              <w:rPr>
                <w:b/>
                <w:bCs/>
              </w:rPr>
              <w:t xml:space="preserve">Governor limit</w:t>
            </w:r>
          </w:p>
        </w:tc>
        <w:tc>
          <w:tcPr/>
          <w:p>
            <w:pPr>
              <w:pStyle w:val="Compact"/>
            </w:pPr>
            <w:r>
              <w:t xml:space="preserve">A published, enforced per-tenant cap (the Salesforce term, §2.1)</w:t>
            </w:r>
          </w:p>
        </w:tc>
      </w:tr>
      <w:tr>
        <w:tc>
          <w:tcPr/>
          <w:p>
            <w:pPr>
              <w:pStyle w:val="Compact"/>
            </w:pPr>
            <w:r>
              <w:rPr>
                <w:b/>
                <w:bCs/>
              </w:rPr>
              <w:t xml:space="preserve">Summary table</w:t>
            </w:r>
          </w:p>
        </w:tc>
        <w:tc>
          <w:tcPr/>
          <w:p>
            <w:pPr>
              <w:pStyle w:val="Compact"/>
            </w:pPr>
            <w:r>
              <w:t xml:space="preserve">A pre-aggregated table maintained</w:t>
            </w:r>
            <w:r>
              <w:t xml:space="preserve"> </w:t>
            </w:r>
            <w:r>
              <w:rPr>
                <w:i/>
                <w:iCs/>
              </w:rPr>
              <w:t xml:space="preserve">inside</w:t>
            </w:r>
            <w:r>
              <w:t xml:space="preserve"> </w:t>
            </w:r>
            <w:r>
              <w:t xml:space="preserve">the posting transaction — not a cache (§14.6)</w:t>
            </w:r>
          </w:p>
        </w:tc>
      </w:tr>
      <w:tr>
        <w:tc>
          <w:tcPr/>
          <w:p>
            <w:pPr>
              <w:pStyle w:val="Compact"/>
            </w:pPr>
            <w:r>
              <w:rPr>
                <w:b/>
                <w:bCs/>
              </w:rPr>
              <w:t xml:space="preserve">Posting</w:t>
            </w:r>
          </w:p>
        </w:tc>
        <w:tc>
          <w:tcPr/>
          <w:p>
            <w:pPr>
              <w:pStyle w:val="Compact"/>
            </w:pPr>
            <w:r>
              <w:t xml:space="preserve">Writing a balanced voucher to the general ledger (§14.2)</w:t>
            </w:r>
          </w:p>
        </w:tc>
      </w:tr>
      <w:tr>
        <w:tc>
          <w:tcPr/>
          <w:p>
            <w:pPr>
              <w:pStyle w:val="Compact"/>
            </w:pPr>
            <w:r>
              <w:rPr>
                <w:b/>
                <w:bCs/>
              </w:rPr>
              <w:t xml:space="preserve">Voucher</w:t>
            </w:r>
          </w:p>
        </w:tc>
        <w:tc>
          <w:tcPr/>
          <w:p>
            <w:pPr>
              <w:pStyle w:val="Compact"/>
            </w:pPr>
            <w:r>
              <w:t xml:space="preserve">The transaction record. Tally’s vocabulary, and the schema’s</w:t>
            </w:r>
          </w:p>
        </w:tc>
      </w:tr>
      <w:tr>
        <w:tc>
          <w:tcPr/>
          <w:p>
            <w:pPr>
              <w:pStyle w:val="Compact"/>
            </w:pPr>
            <w:r>
              <w:rPr>
                <w:b/>
                <w:bCs/>
              </w:rPr>
              <w:t xml:space="preserve">Expand/contract</w:t>
            </w:r>
          </w:p>
        </w:tc>
        <w:tc>
          <w:tcPr/>
          <w:p>
            <w:pPr>
              <w:pStyle w:val="Compact"/>
            </w:pPr>
            <w:r>
              <w:t xml:space="preserve">A migration in two releases: add and dual-write, then remove</w:t>
            </w:r>
          </w:p>
        </w:tc>
      </w:tr>
      <w:tr>
        <w:tc>
          <w:tcPr/>
          <w:p>
            <w:pPr>
              <w:pStyle w:val="Compact"/>
            </w:pPr>
            <w:r>
              <w:rPr>
                <w:b/>
                <w:bCs/>
              </w:rPr>
              <w:t xml:space="preserve">Stale-while-error</w:t>
            </w:r>
          </w:p>
        </w:tc>
        <w:tc>
          <w:tcPr/>
          <w:p>
            <w:pPr>
              <w:pStyle w:val="Compact"/>
            </w:pPr>
            <w:r>
              <w:t xml:space="preserve">Serving a cached copy when its source is unreachable (§7.3)</w:t>
            </w:r>
          </w:p>
        </w:tc>
      </w:tr>
      <w:tr>
        <w:tc>
          <w:tcPr/>
          <w:p>
            <w:pPr>
              <w:pStyle w:val="Compact"/>
            </w:pPr>
            <w:r>
              <w:rPr>
                <w:b/>
                <w:bCs/>
              </w:rPr>
              <w:t xml:space="preserve">Break-glass</w:t>
            </w:r>
          </w:p>
        </w:tc>
        <w:tc>
          <w:tcPr/>
          <w:p>
            <w:pPr>
              <w:pStyle w:val="Compact"/>
            </w:pPr>
            <w:r>
              <w:t xml:space="preserve">Time-boxed, consented, audited support access to one tenant</w:t>
            </w:r>
          </w:p>
        </w:tc>
      </w:tr>
    </w:tbl>
    <w:p>
      <w:r>
        <w:pict>
          <v:rect style="width:0;height:1.5pt" o:hralign="center" o:hrstd="t" o:hr="t"/>
        </w:pict>
      </w:r>
    </w:p>
    <w:p>
      <w:pPr>
        <w:pStyle w:val="FirstParagraph"/>
      </w:pPr>
      <w:r>
        <w:rPr>
          <w:i/>
          <w:iCs/>
        </w:rPr>
        <w:t xml:space="preserve">End of document. Prepared 26 August 2026 against commit</w:t>
      </w:r>
      <w:r>
        <w:rPr>
          <w:i/>
          <w:iCs/>
        </w:rPr>
        <w:t xml:space="preserve"> </w:t>
      </w:r>
      <w:r>
        <w:rPr>
          <w:rStyle w:val="VerbatimChar"/>
          <w:i/>
          <w:iCs/>
        </w:rPr>
        <w:t xml:space="preserve">f371d13</w:t>
      </w:r>
      <w:r>
        <w:rPr>
          <w:i/>
          <w:iCs/>
        </w:rPr>
        <w:t xml:space="preserve">. Repository measurements are reproducible with the commands in</w:t>
      </w:r>
      <w:r>
        <w:rPr>
          <w:i/>
          <w:iCs/>
        </w:rPr>
        <w:t xml:space="preserve"> </w:t>
      </w:r>
      <w:r>
        <w:rPr>
          <w:rStyle w:val="VerbatimChar"/>
          <w:i/>
          <w:iCs/>
        </w:rPr>
        <w:t xml:space="preserve">docs/Architecture.md</w:t>
      </w:r>
      <w:r>
        <w:rPr>
          <w:i/>
          <w:iCs/>
        </w:rPr>
        <w:t xml:space="preserve"> </w:t>
      </w:r>
      <w:r>
        <w:rPr>
          <w:i/>
          <w:iCs/>
        </w:rPr>
        <w:t xml:space="preserve">§2.1. No repository changes have been made.</w:t>
      </w:r>
    </w:p>
    <w:bookmarkEnd w:id="277"/>
    <w:bookmarkEnd w:id="2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4" Target="media/rId134.png" /><Relationship Type="http://schemas.openxmlformats.org/officeDocument/2006/relationships/image" Id="rId140" Target="media/rId140.png" /><Relationship Type="http://schemas.openxmlformats.org/officeDocument/2006/relationships/image" Id="rId148" Target="media/rId148.png" /><Relationship Type="http://schemas.openxmlformats.org/officeDocument/2006/relationships/image" Id="rId154" Target="media/rId154.png" /><Relationship Type="http://schemas.openxmlformats.org/officeDocument/2006/relationships/image" Id="rId160" Target="media/rId160.png" /><Relationship Type="http://schemas.openxmlformats.org/officeDocument/2006/relationships/image" Id="rId167" Target="media/rId167.png" /><Relationship Type="http://schemas.openxmlformats.org/officeDocument/2006/relationships/image" Id="rId172" Target="media/rId172.png" /><Relationship Type="http://schemas.openxmlformats.org/officeDocument/2006/relationships/image" Id="rId180" Target="media/rId180.png" /><Relationship Type="http://schemas.openxmlformats.org/officeDocument/2006/relationships/image" Id="rId189" Target="media/rId189.png" /><Relationship Type="http://schemas.openxmlformats.org/officeDocument/2006/relationships/image" Id="rId194" Target="media/rId194.png" /><Relationship Type="http://schemas.openxmlformats.org/officeDocument/2006/relationships/image" Id="rId200" Target="media/rId200.png" /><Relationship Type="http://schemas.openxmlformats.org/officeDocument/2006/relationships/image" Id="rId210" Target="media/rId210.png" /><Relationship Type="http://schemas.openxmlformats.org/officeDocument/2006/relationships/image" Id="rId219" Target="media/rId219.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33" Target="media/rId233.png" /><Relationship Type="http://schemas.openxmlformats.org/officeDocument/2006/relationships/image" Id="rId237" Target="media/rId237.png" /><Relationship Type="http://schemas.openxmlformats.org/officeDocument/2006/relationships/image" Id="rId241" Target="media/rId241.png" /><Relationship Type="http://schemas.openxmlformats.org/officeDocument/2006/relationships/image" Id="rId245" Target="media/rId245.png" /><Relationship Type="http://schemas.openxmlformats.org/officeDocument/2006/relationships/image" Id="rId255" Target="media/rId255.png" /><Relationship Type="http://schemas.openxmlformats.org/officeDocument/2006/relationships/image" Id="rId262" Target="media/rId262.png" /><Relationship Type="http://schemas.openxmlformats.org/officeDocument/2006/relationships/image" Id="rId269" Target="media/rId2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AccuBook — Multi-Tenant Architecture Design</dc:title>
  <dc:creator>Architecture Design — prepared for Sudipto Mitra</dc:creator>
  <dc:language>en-GB</dc:language>
  <cp:keywords/>
  <dcterms:created xsi:type="dcterms:W3CDTF">2026-08-26T13:29:31Z</dcterms:created>
  <dcterms:modified xsi:type="dcterms:W3CDTF">2026-08-26T13:29:31Z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August 2026</vt:lpwstr>
  </property>
  <property fmtid="{D5CDD505-2E9C-101B-9397-08002B2CF9AE}" pid="3" name="subtitle">
    <vt:lpwstr>The complete technical architecture for scaling 0 → 100,000 tenants</vt:lpwstr>
  </property>
</Properties>
</file>