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Managed IT Services — Team Summary &amp; KRAs</w:t>
      </w:r>
    </w:p>
    <w:p>
      <w:pPr>
        <w:pStyle w:val="Subtitle"/>
      </w:pPr>
      <w:r>
        <w:t xml:space="preserve">Companion document to the Managed IT Services Proposal</w:t>
      </w:r>
    </w:p>
    <w:p>
      <w:pPr>
        <w:pStyle w:val="Date"/>
      </w:pPr>
      <w:r>
        <w:t xml:space="preserve">May 2026</w:t>
      </w:r>
    </w:p>
    <w:bookmarkStart w:id="25" w:name="managed-it-services-team-summary-kras"/>
    <w:p>
      <w:pPr>
        <w:pStyle w:val="Heading1"/>
      </w:pPr>
      <w:r>
        <w:t xml:space="preserve">Managed IT Services — Team Summary &amp; KRAs</w:t>
      </w:r>
    </w:p>
    <w:p>
      <w:pPr>
        <w:pStyle w:val="FirstParagraph"/>
      </w:pPr>
      <w:r>
        <w:rPr>
          <w:b/>
          <w:bCs/>
        </w:rPr>
        <w:t xml:space="preserve">Companion document to the Managed IT Services Proposal</w:t>
      </w:r>
    </w:p>
    <w:p>
      <w:pPr>
        <w:pStyle w:val="BodyText"/>
      </w:pPr>
      <w:r>
        <w:rPr>
          <w:b/>
          <w:bCs/>
        </w:rPr>
        <w:t xml:space="preserve">Client:</w:t>
      </w:r>
      <w:r>
        <w:t xml:space="preserve"> </w:t>
      </w:r>
      <w:r>
        <w:t xml:space="preserve">Busitema Referral Hospital (150 employees)</w:t>
      </w:r>
      <w:r>
        <w:t xml:space="preserve"> </w:t>
      </w:r>
      <w:r>
        <w:rPr>
          <w:b/>
          <w:bCs/>
        </w:rPr>
        <w:t xml:space="preserve">Engagement:</w:t>
      </w:r>
      <w:r>
        <w:t xml:space="preserve"> </w:t>
      </w:r>
      <w:r>
        <w:t xml:space="preserve">Standard Managed IT Tier — full IT outsourcing</w:t>
      </w:r>
      <w:r>
        <w:t xml:space="preserve"> </w:t>
      </w:r>
      <w:r>
        <w:rPr>
          <w:b/>
          <w:bCs/>
        </w:rPr>
        <w:t xml:space="preserve">Updated in v1.2:</w:t>
      </w:r>
      <w:r>
        <w:t xml:space="preserve"> </w:t>
      </w:r>
      <w:r>
        <w:t xml:space="preserve">All previously-shared resources are now</w:t>
      </w:r>
      <w:r>
        <w:t xml:space="preserve"> </w:t>
      </w:r>
      <w:r>
        <w:rPr>
          <w:b/>
          <w:bCs/>
        </w:rPr>
        <w:t xml:space="preserve">dedicated full-time</w:t>
      </w:r>
      <w:r>
        <w:t xml:space="preserve"> </w:t>
      </w:r>
      <w:r>
        <w:t xml:space="preserve">to this engagement. The team is now 10 fully dedicated FTEs with no shared allocations. Cost and SLA targets have been updated accordingly.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Under the Managed IT Services Agreement,</w:t>
      </w:r>
      <w:r>
        <w:t xml:space="preserve"> </w:t>
      </w:r>
      <w:r>
        <w:rPr>
          <w:b/>
          <w:bCs/>
        </w:rPr>
        <w:t xml:space="preserve">[Your Company Name]</w:t>
      </w:r>
      <w:r>
        <w:t xml:space="preserve"> </w:t>
      </w:r>
      <w:r>
        <w:t xml:space="preserve">assumes single-vendor accountability for the hospital’s complete IT estate — endpoints, network, servers, cloud applications, identity management, security, and helpdesk. The hospital deals with one team and one invoice instead of coordinating across multiple specialty vendors.</w:t>
      </w:r>
    </w:p>
    <w:p>
      <w:pPr>
        <w:pStyle w:val="BodyText"/>
      </w:pPr>
      <w:r>
        <w:t xml:space="preserve">The engagement is delivered by a</w:t>
      </w:r>
      <w:r>
        <w:t xml:space="preserve"> </w:t>
      </w:r>
      <w:r>
        <w:rPr>
          <w:b/>
          <w:bCs/>
        </w:rPr>
        <w:t xml:space="preserve">10-person dedicated team</w:t>
      </w:r>
      <w:r>
        <w:t xml:space="preserve"> </w:t>
      </w:r>
      <w:r>
        <w:t xml:space="preserve">— every member works exclusively for Busitema Referral Hospital, eliminating any context-switching across multiple clients. The team blends an onsite presence for clinical-area white-glove support with dedicated remote specialists for L2/L3 escalations, security operations, application support, account governance, and engineering leadership.</w:t>
      </w:r>
    </w:p>
    <w:p>
      <w:pPr>
        <w:pStyle w:val="BodyText"/>
      </w:pPr>
      <w:r>
        <w:rPr>
          <w:b/>
          <w:bCs/>
        </w:rPr>
        <w:t xml:space="preserve">Headline numbers: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Total bodies on this account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FTE allocated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 FTE (all dedicated)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Allocated salary cost (loaded CTC) /month</w:t>
            </w:r>
          </w:p>
        </w:tc>
        <w:tc>
          <w:tcPr/>
          <w:p>
            <w:pPr>
              <w:pStyle w:val="Compact"/>
            </w:pPr>
            <w:r>
              <w:t xml:space="preserve">₹11,95,000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Tools, operations, compliance /month</w:t>
            </w:r>
          </w:p>
        </w:tc>
        <w:tc>
          <w:tcPr/>
          <w:p>
            <w:pPr>
              <w:pStyle w:val="Compact"/>
            </w:pPr>
            <w:r>
              <w:t xml:space="preserve">₹1,49,000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cost /month</w:t>
            </w:r>
          </w:p>
        </w:tc>
        <w:tc>
          <w:tcPr/>
          <w:p>
            <w:pPr>
              <w:pStyle w:val="Compact"/>
            </w:pPr>
            <w:r>
              <w:t xml:space="preserve">₹13,44,000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(≈ 42%)</w:t>
            </w:r>
          </w:p>
        </w:tc>
        <w:tc>
          <w:tcPr/>
          <w:p>
            <w:pPr>
              <w:pStyle w:val="Compact"/>
            </w:pPr>
            <w:r>
              <w:t xml:space="preserve">₹5,66,000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services fee /month (excl. GST)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₹19,10,000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services fee /month (incl. 18% GST)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₹22,53,800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Pass-through (M365, Entra, EDR, internet) — at vendor cost</w:t>
            </w:r>
          </w:p>
        </w:tc>
        <w:tc>
          <w:tcPr/>
          <w:p>
            <w:pPr>
              <w:pStyle w:val="Compact"/>
            </w:pPr>
            <w:r>
              <w:t xml:space="preserve">~₹4,01,000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monthly run-rate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~₹26,55,000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Annual contract value (estimated)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~₹3.18 crore</w:t>
            </w:r>
          </w:p>
        </w:tc>
      </w:tr>
    </w:tbl>
    <w:p>
      <w:pPr>
        <w:pStyle w:val="BlockText"/>
      </w:pPr>
      <w:r>
        <w:t xml:space="preserve">Moving from a 5-dedicated-plus-5-shared model (v1.1) to a fully dedicated 10-person team (v1.2) increases the managed-services fee by approximately ₹8.20 lakh per month. The trade-off in favour of the client: every team member’s full attention, faster SLAs, no cross-client priority conflicts, deeper hospital-specific knowledge, and consistent faces for end-users.</w:t>
      </w:r>
    </w:p>
    <w:p>
      <w:r>
        <w:pict>
          <v:rect style="width:0;height:1.5pt" o:hralign="center" o:hrstd="t" o:hr="t"/>
        </w:pict>
      </w:r>
    </w:p>
    <w:bookmarkEnd w:id="9"/>
    <w:bookmarkStart w:id="12" w:name="team-list-all-dedicated"/>
    <w:p>
      <w:pPr>
        <w:pStyle w:val="Heading2"/>
      </w:pPr>
      <w:r>
        <w:t xml:space="preserve">2. Team list — all dedicated</w:t>
      </w:r>
    </w:p>
    <w:p>
      <w:pPr>
        <w:pStyle w:val="FirstParagraph"/>
      </w:pPr>
      <w:r>
        <w:t xml:space="preserve">Every person below is</w:t>
      </w:r>
      <w:r>
        <w:t xml:space="preserve"> </w:t>
      </w:r>
      <w:r>
        <w:rPr>
          <w:b/>
          <w:bCs/>
        </w:rPr>
        <w:t xml:space="preserve">100% allocated</w:t>
      </w:r>
      <w:r>
        <w:t xml:space="preserve"> </w:t>
      </w:r>
      <w:r>
        <w:t xml:space="preserve">to Busitema Referral Hospital. None of these resources work for any other client.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"/>
        <w:gridCol w:w="1240"/>
        <w:gridCol w:w="1049"/>
        <w:gridCol w:w="1622"/>
        <w:gridCol w:w="2003"/>
        <w:gridCol w:w="17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Designation</w:t>
            </w:r>
          </w:p>
        </w:tc>
        <w:tc>
          <w:tcPr/>
          <w:p>
            <w:pPr>
              <w:pStyle w:val="Compact"/>
            </w:pPr>
            <w:r>
              <w:t xml:space="preserve">Headcount</w:t>
            </w:r>
          </w:p>
        </w:tc>
        <w:tc>
          <w:tcPr/>
          <w:p>
            <w:pPr>
              <w:pStyle w:val="Compact"/>
            </w:pPr>
            <w:r>
              <w:t xml:space="preserve">In-hand /mo (₹)</w:t>
            </w:r>
          </w:p>
        </w:tc>
        <w:tc>
          <w:tcPr/>
          <w:p>
            <w:pPr>
              <w:pStyle w:val="Compact"/>
            </w:pPr>
            <w:r>
              <w:t xml:space="preserve">Loaded CTC /mo (₹)</w:t>
            </w:r>
          </w:p>
        </w:tc>
        <w:tc>
          <w:tcPr/>
          <w:p>
            <w:pPr>
              <w:pStyle w:val="Compact"/>
            </w:pPr>
            <w:r>
              <w:t xml:space="preserve">Onsite / Remote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IT Site Manager / SPOC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1,00,000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  <w:tc>
          <w:tcPr/>
          <w:p>
            <w:pPr>
              <w:pStyle w:val="Compact"/>
            </w:pPr>
            <w:r>
              <w:t xml:space="preserve">Onsite, Mon–Sat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L1 Helpdesk Engineer — Shift A (9 AM – 3 PM)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32,000</w:t>
            </w:r>
          </w:p>
        </w:tc>
        <w:tc>
          <w:tcPr/>
          <w:p>
            <w:pPr>
              <w:pStyle w:val="Compact"/>
            </w:pPr>
            <w:r>
              <w:t xml:space="preserve">46,000</w:t>
            </w:r>
          </w:p>
        </w:tc>
        <w:tc>
          <w:tcPr/>
          <w:p>
            <w:pPr>
              <w:pStyle w:val="Compact"/>
            </w:pPr>
            <w:r>
              <w:t xml:space="preserve">Onsite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L1 Helpdesk Engineer — Shift B (3 PM – 9 PM)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32,000</w:t>
            </w:r>
          </w:p>
        </w:tc>
        <w:tc>
          <w:tcPr/>
          <w:p>
            <w:pPr>
              <w:pStyle w:val="Compact"/>
            </w:pPr>
            <w:r>
              <w:t xml:space="preserve">46,000</w:t>
            </w:r>
          </w:p>
        </w:tc>
        <w:tc>
          <w:tcPr/>
          <w:p>
            <w:pPr>
              <w:pStyle w:val="Compact"/>
            </w:pPr>
            <w:r>
              <w:t xml:space="preserve">Onsite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L1 Helpdesk Engineer — Rotation / Backup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32,000</w:t>
            </w:r>
          </w:p>
        </w:tc>
        <w:tc>
          <w:tcPr/>
          <w:p>
            <w:pPr>
              <w:pStyle w:val="Compact"/>
            </w:pPr>
            <w:r>
              <w:t xml:space="preserve">46,000</w:t>
            </w:r>
          </w:p>
        </w:tc>
        <w:tc>
          <w:tcPr/>
          <w:p>
            <w:pPr>
              <w:pStyle w:val="Compact"/>
            </w:pPr>
            <w:r>
              <w:t xml:space="preserve">Onsite (rotation, weekends, leave-cover)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Cloud / DevOps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85,000</w:t>
            </w:r>
          </w:p>
        </w:tc>
        <w:tc>
          <w:tcPr/>
          <w:p>
            <w:pPr>
              <w:pStyle w:val="Compact"/>
            </w:pPr>
            <w:r>
              <w:t xml:space="preserve">1,17,000</w:t>
            </w:r>
          </w:p>
        </w:tc>
        <w:tc>
          <w:tcPr/>
          <w:p>
            <w:pPr>
              <w:pStyle w:val="Compact"/>
            </w:pPr>
            <w:r>
              <w:t xml:space="preserve">Remote + onsite for major changes/DR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Network &amp; Systems Engineer (L2)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95,000</w:t>
            </w:r>
          </w:p>
        </w:tc>
        <w:tc>
          <w:tcPr/>
          <w:p>
            <w:pPr>
              <w:pStyle w:val="Compact"/>
            </w:pPr>
            <w:r>
              <w:t xml:space="preserve">1,30,000</w:t>
            </w:r>
          </w:p>
        </w:tc>
        <w:tc>
          <w:tcPr/>
          <w:p>
            <w:pPr>
              <w:pStyle w:val="Compact"/>
            </w:pPr>
            <w:r>
              <w:t xml:space="preserve">Hybrid (onsite for changes, remote ops)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HospitalPro Application Support Engineer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1,00,000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  <w:tc>
          <w:tcPr/>
          <w:p>
            <w:pPr>
              <w:pStyle w:val="Compact"/>
            </w:pPr>
            <w:r>
              <w:t xml:space="preserve">Remote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Security Analyst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1,00,000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  <w:tc>
          <w:tcPr/>
          <w:p>
            <w:pPr>
              <w:pStyle w:val="Compact"/>
            </w:pPr>
            <w:r>
              <w:t xml:space="preserve">Remote (SOC)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Account Manager / Service Delivery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1,00,000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  <w:tc>
          <w:tcPr/>
          <w:p>
            <w:pPr>
              <w:pStyle w:val="Compact"/>
            </w:pPr>
            <w:r>
              <w:t xml:space="preserve">Remote with monthly onsite QBRs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Engineering Lead (L3/L4 escalation)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1,10,000</w:t>
            </w:r>
          </w:p>
        </w:tc>
        <w:tc>
          <w:tcPr/>
          <w:p>
            <w:pPr>
              <w:pStyle w:val="Compact"/>
            </w:pPr>
            <w:r>
              <w:t xml:space="preserve">1,50,000</w:t>
            </w:r>
          </w:p>
        </w:tc>
        <w:tc>
          <w:tcPr/>
          <w:p>
            <w:pPr>
              <w:pStyle w:val="Compact"/>
            </w:pPr>
            <w:r>
              <w:t xml:space="preserve">Remote with onsite for major incidents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— dedicated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people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₹11,95,000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" w:name="headcount-totals"/>
    <w:p>
      <w:pPr>
        <w:pStyle w:val="Heading3"/>
      </w:pPr>
      <w:r>
        <w:t xml:space="preserve">2.1 Headcount totals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Total dedicated bodies on this account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people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FTE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loaded salary cost /month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₹11,95,000</w:t>
            </w:r>
          </w:p>
        </w:tc>
      </w:tr>
    </w:tbl>
    <w:bookmarkEnd w:id="10"/>
    <w:bookmarkStart w:id="11" w:name="coverage-windows"/>
    <w:p>
      <w:pPr>
        <w:pStyle w:val="Heading3"/>
      </w:pPr>
      <w:r>
        <w:t xml:space="preserve">2.2 Coverage windows</w:t>
      </w:r>
    </w:p>
    <w:p>
      <w:pPr>
        <w:pStyle w:val="FirstParagraph"/>
      </w:pPr>
      <w:r>
        <w:t xml:space="preserve">Because every role is dedicated, the hospital gets significantly broader coverage than a shared model. The full team is reachable during business hours; on-call rotations cover nights and weekends.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880"/>
        <w:gridCol w:w="1520"/>
        <w:gridCol w:w="1920"/>
        <w:gridCol w:w="112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 window</w:t>
            </w:r>
          </w:p>
        </w:tc>
        <w:tc>
          <w:tcPr/>
          <w:p>
            <w:pPr>
              <w:pStyle w:val="Compact"/>
            </w:pPr>
            <w:r>
              <w:t xml:space="preserve">Onsite L1</w:t>
            </w:r>
          </w:p>
        </w:tc>
        <w:tc>
          <w:tcPr/>
          <w:p>
            <w:pPr>
              <w:pStyle w:val="Compact"/>
            </w:pPr>
            <w:r>
              <w:t xml:space="preserve">DevOps + Network</w:t>
            </w:r>
          </w:p>
        </w:tc>
        <w:tc>
          <w:tcPr/>
          <w:p>
            <w:pPr>
              <w:pStyle w:val="Compact"/>
            </w:pPr>
            <w:r>
              <w:t xml:space="preserve">App Support + Security</w:t>
            </w:r>
          </w:p>
        </w:tc>
        <w:tc>
          <w:tcPr/>
          <w:p>
            <w:pPr>
              <w:pStyle w:val="Compact"/>
            </w:pPr>
            <w:r>
              <w:t xml:space="preserve">Site Manager</w:t>
            </w:r>
          </w:p>
        </w:tc>
        <w:tc>
          <w:tcPr/>
          <w:p>
            <w:pPr>
              <w:pStyle w:val="Compact"/>
            </w:pPr>
            <w:r>
              <w:t xml:space="preserve">Engineering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Mon–Sat 9 AM – 9 PM</w:t>
            </w:r>
          </w:p>
        </w:tc>
        <w:tc>
          <w:tcPr/>
          <w:p>
            <w:pPr>
              <w:pStyle w:val="Compact"/>
            </w:pPr>
            <w:r>
              <w:t xml:space="preserve">✅ 2 in shifts + 1 rotation</w:t>
            </w:r>
          </w:p>
        </w:tc>
        <w:tc>
          <w:tcPr/>
          <w:p>
            <w:pPr>
              <w:pStyle w:val="Compact"/>
            </w:pPr>
            <w:r>
              <w:t xml:space="preserve">✅ Available</w:t>
            </w:r>
          </w:p>
        </w:tc>
        <w:tc>
          <w:tcPr/>
          <w:p>
            <w:pPr>
              <w:pStyle w:val="Compact"/>
            </w:pPr>
            <w:r>
              <w:t xml:space="preserve">✅ Available</w:t>
            </w:r>
          </w:p>
        </w:tc>
        <w:tc>
          <w:tcPr/>
          <w:p>
            <w:pPr>
              <w:pStyle w:val="Compact"/>
            </w:pPr>
            <w:r>
              <w:t xml:space="preserve">✅ Mon–Sat 9–6</w:t>
            </w:r>
          </w:p>
        </w:tc>
        <w:tc>
          <w:tcPr/>
          <w:p>
            <w:pPr>
              <w:pStyle w:val="Compact"/>
            </w:pPr>
            <w:r>
              <w:t xml:space="preserve">✅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Mon–Sat 9 PM – 9 AM</w:t>
            </w:r>
          </w:p>
        </w:tc>
        <w:tc>
          <w:tcPr/>
          <w:p>
            <w:pPr>
              <w:pStyle w:val="Compact"/>
            </w:pPr>
            <w:r>
              <w:t xml:space="preserve">On-call, 1-hour onsite ETA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 escalation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Sunday</w:t>
            </w:r>
          </w:p>
        </w:tc>
        <w:tc>
          <w:tcPr/>
          <w:p>
            <w:pPr>
              <w:pStyle w:val="Compact"/>
            </w:pPr>
            <w:r>
              <w:t xml:space="preserve">On-call, 1-hour onsite ETA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 escalation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holidays</w:t>
            </w:r>
          </w:p>
        </w:tc>
        <w:tc>
          <w:tcPr/>
          <w:p>
            <w:pPr>
              <w:pStyle w:val="Compact"/>
            </w:pPr>
            <w:r>
              <w:t xml:space="preserve">On-call, 1-hour onsite ETA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On-call escalation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21" w:name="key-result-areas-kras-by-role"/>
    <w:p>
      <w:pPr>
        <w:pStyle w:val="Heading2"/>
      </w:pPr>
      <w:r>
        <w:t xml:space="preserve">3. Key Result Areas (KRAs) by role</w:t>
      </w:r>
    </w:p>
    <w:p>
      <w:pPr>
        <w:pStyle w:val="FirstParagraph"/>
      </w:pPr>
      <w:r>
        <w:t xml:space="preserve">KRAs are measurable outcomes used to evaluate each role’s performance. They feed directly into the SLA matrix the client sees and the internal monthly performance review.</w:t>
      </w:r>
    </w:p>
    <w:bookmarkStart w:id="13" w:name="it-site-manager-spoc"/>
    <w:p>
      <w:pPr>
        <w:pStyle w:val="Heading3"/>
      </w:pPr>
      <w:r>
        <w:t xml:space="preserve">3.1 IT Site Manager / SPOC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service uptime across all hospital IT services</w:t>
            </w:r>
          </w:p>
        </w:tc>
        <w:tc>
          <w:tcPr/>
          <w:p>
            <w:pPr>
              <w:pStyle w:val="Compact"/>
            </w:pPr>
            <w:r>
              <w:t xml:space="preserve">≥ 99.5% monthly</w:t>
            </w:r>
          </w:p>
        </w:tc>
        <w:tc>
          <w:tcPr/>
          <w:p>
            <w:pPr>
              <w:pStyle w:val="Compact"/>
            </w:pPr>
            <w:r>
              <w:t xml:space="preserve">Composite uptime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compliance across all severity levels</w:t>
            </w:r>
          </w:p>
        </w:tc>
        <w:tc>
          <w:tcPr/>
          <w:p>
            <w:pPr>
              <w:pStyle w:val="Compact"/>
            </w:pPr>
            <w:r>
              <w:t xml:space="preserve">≥ 95% month-on-month</w:t>
            </w:r>
          </w:p>
        </w:tc>
        <w:tc>
          <w:tcPr/>
          <w:p>
            <w:pPr>
              <w:pStyle w:val="Compact"/>
            </w:pPr>
            <w:r>
              <w:t xml:space="preserve">ITSM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incident resolution within committed time</w:t>
            </w:r>
          </w:p>
        </w:tc>
        <w:tc>
          <w:tcPr/>
          <w:p>
            <w:pPr>
              <w:pStyle w:val="Compact"/>
            </w:pPr>
            <w:r>
              <w:t xml:space="preserve">100% within 2 hours</w:t>
            </w:r>
          </w:p>
        </w:tc>
        <w:tc>
          <w:tcPr/>
          <w:p>
            <w:pPr>
              <w:pStyle w:val="Compact"/>
            </w:pPr>
            <w:r>
              <w:t xml:space="preserve">Incident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Business Review delivery</w:t>
            </w:r>
          </w:p>
        </w:tc>
        <w:tc>
          <w:tcPr/>
          <w:p>
            <w:pPr>
              <w:pStyle w:val="Compact"/>
            </w:pPr>
            <w:r>
              <w:t xml:space="preserve">100% on schedule</w:t>
            </w:r>
          </w:p>
        </w:tc>
        <w:tc>
          <w:tcPr/>
          <w:p>
            <w:pPr>
              <w:pStyle w:val="Compact"/>
            </w:pPr>
            <w:r>
              <w:t xml:space="preserve">QBR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IT roadmap signed off by hospital leadership</w:t>
            </w:r>
          </w:p>
        </w:tc>
        <w:tc>
          <w:tcPr/>
          <w:p>
            <w:pPr>
              <w:pStyle w:val="Compact"/>
            </w:pPr>
            <w:r>
              <w:t xml:space="preserve">1 per year, by 31 March</w:t>
            </w:r>
          </w:p>
        </w:tc>
        <w:tc>
          <w:tcPr/>
          <w:p>
            <w:pPr>
              <w:pStyle w:val="Compact"/>
            </w:pPr>
            <w:r>
              <w:t xml:space="preserve">Signed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Joiner / leaver / mover IT actions completed</w:t>
            </w:r>
          </w:p>
        </w:tc>
        <w:tc>
          <w:tcPr/>
          <w:p>
            <w:pPr>
              <w:pStyle w:val="Compact"/>
            </w:pPr>
            <w:r>
              <w:t xml:space="preserve">100% within 2 business days</w:t>
            </w:r>
          </w:p>
        </w:tc>
        <w:tc>
          <w:tcPr/>
          <w:p>
            <w:pPr>
              <w:pStyle w:val="Compact"/>
            </w:pPr>
            <w:r>
              <w:t xml:space="preserve">HR-IT ticket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escalations closed within agreed timeline</w:t>
            </w:r>
          </w:p>
        </w:tc>
        <w:tc>
          <w:tcPr/>
          <w:p>
            <w:pPr>
              <w:pStyle w:val="Compact"/>
            </w:pPr>
            <w:r>
              <w:t xml:space="preserve">≥ 90% within target</w:t>
            </w:r>
          </w:p>
        </w:tc>
        <w:tc>
          <w:tcPr/>
          <w:p>
            <w:pPr>
              <w:pStyle w:val="Compact"/>
            </w:pPr>
            <w:r>
              <w:t xml:space="preserve">Vendor ticket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Hospital leadership CSAT score</w:t>
            </w:r>
          </w:p>
        </w:tc>
        <w:tc>
          <w:tcPr/>
          <w:p>
            <w:pPr>
              <w:pStyle w:val="Compact"/>
            </w:pPr>
            <w:r>
              <w:t xml:space="preserve">≥ 4.2 / 5 quarterly</w:t>
            </w:r>
          </w:p>
        </w:tc>
        <w:tc>
          <w:tcPr/>
          <w:p>
            <w:pPr>
              <w:pStyle w:val="Compact"/>
            </w:pPr>
            <w:r>
              <w:t xml:space="preserve">Survey</w:t>
            </w:r>
          </w:p>
        </w:tc>
      </w:tr>
    </w:tbl>
    <w:bookmarkEnd w:id="13"/>
    <w:bookmarkStart w:id="14" w:name="l1-helpdesk-engineer-3-dedicated"/>
    <w:p>
      <w:pPr>
        <w:pStyle w:val="Heading3"/>
      </w:pPr>
      <w:r>
        <w:t xml:space="preserve">3.2 L1 Helpdesk Engineer (× 3 dedicated)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First-contact resolution rate (P3 tickets)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ITSM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ticket resolution time</w:t>
            </w:r>
          </w:p>
        </w:tc>
        <w:tc>
          <w:tcPr/>
          <w:p>
            <w:pPr>
              <w:pStyle w:val="Compact"/>
            </w:pPr>
            <w:r>
              <w:t xml:space="preserve">≤ 4 business hours</w:t>
            </w:r>
          </w:p>
        </w:tc>
        <w:tc>
          <w:tcPr/>
          <w:p>
            <w:pPr>
              <w:pStyle w:val="Compact"/>
            </w:pPr>
            <w:r>
              <w:t xml:space="preserve">ITSM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Onsite physical response during shift</w:t>
            </w:r>
          </w:p>
        </w:tc>
        <w:tc>
          <w:tcPr/>
          <w:p>
            <w:pPr>
              <w:pStyle w:val="Compact"/>
            </w:pPr>
            <w:r>
              <w:t xml:space="preserve">≤ 15 minutes</w:t>
            </w:r>
          </w:p>
        </w:tc>
        <w:tc>
          <w:tcPr/>
          <w:p>
            <w:pPr>
              <w:pStyle w:val="Compact"/>
            </w:pPr>
            <w:r>
              <w:t xml:space="preserve">Ticket timestamp 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End-user CSAT on closed tickets</w:t>
            </w:r>
          </w:p>
        </w:tc>
        <w:tc>
          <w:tcPr/>
          <w:p>
            <w:pPr>
              <w:pStyle w:val="Compact"/>
            </w:pPr>
            <w:r>
              <w:t xml:space="preserve">≥ 85% positive</w:t>
            </w:r>
          </w:p>
        </w:tc>
        <w:tc>
          <w:tcPr/>
          <w:p>
            <w:pPr>
              <w:pStyle w:val="Compact"/>
            </w:pPr>
            <w:r>
              <w:t xml:space="preserve">Post-resolution 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New-laptop / desktop SOE build delivered</w:t>
            </w:r>
          </w:p>
        </w:tc>
        <w:tc>
          <w:tcPr/>
          <w:p>
            <w:pPr>
              <w:pStyle w:val="Compact"/>
            </w:pPr>
            <w:r>
              <w:t xml:space="preserve">≤ 1 business day</w:t>
            </w:r>
          </w:p>
        </w:tc>
        <w:tc>
          <w:tcPr/>
          <w:p>
            <w:pPr>
              <w:pStyle w:val="Compact"/>
            </w:pPr>
            <w:r>
              <w:t xml:space="preserve">Onboarding tickets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Printer / biometric device uptime</w:t>
            </w:r>
          </w:p>
        </w:tc>
        <w:tc>
          <w:tcPr/>
          <w:p>
            <w:pPr>
              <w:pStyle w:val="Compact"/>
            </w:pPr>
            <w:r>
              <w:t xml:space="preserve">≥ 99% during business hours</w:t>
            </w:r>
          </w:p>
        </w:tc>
        <w:tc>
          <w:tcPr/>
          <w:p>
            <w:pPr>
              <w:pStyle w:val="Compact"/>
            </w:pPr>
            <w:r>
              <w:t xml:space="preserve">Asset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logging discipline (every interaction logged)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Audit sample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 compliance on supported endpoints</w:t>
            </w:r>
          </w:p>
        </w:tc>
        <w:tc>
          <w:tcPr/>
          <w:p>
            <w:pPr>
              <w:pStyle w:val="Compact"/>
            </w:pPr>
            <w:r>
              <w:t xml:space="preserve">≥ 95% within patch cycle</w:t>
            </w:r>
          </w:p>
        </w:tc>
        <w:tc>
          <w:tcPr/>
          <w:p>
            <w:pPr>
              <w:pStyle w:val="Compact"/>
            </w:pPr>
            <w:r>
              <w:t xml:space="preserve">RMM reports</w:t>
            </w:r>
          </w:p>
        </w:tc>
      </w:tr>
    </w:tbl>
    <w:bookmarkEnd w:id="14"/>
    <w:bookmarkStart w:id="15" w:name="cloud-devops-engineer"/>
    <w:p>
      <w:pPr>
        <w:pStyle w:val="Heading3"/>
      </w:pPr>
      <w:r>
        <w:t xml:space="preserve">3.3 Cloud / DevOps Engineer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HospitalPro production uptime</w:t>
            </w:r>
          </w:p>
        </w:tc>
        <w:tc>
          <w:tcPr/>
          <w:p>
            <w:pPr>
              <w:pStyle w:val="Compact"/>
            </w:pPr>
            <w:r>
              <w:t xml:space="preserve">≥ 99.9% monthly</w:t>
            </w:r>
          </w:p>
        </w:tc>
        <w:tc>
          <w:tcPr/>
          <w:p>
            <w:pPr>
              <w:pStyle w:val="Compact"/>
            </w:pPr>
            <w:r>
              <w:t xml:space="preserve">APM / status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success rate (HMIS DB + critical file shares)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  <w:tc>
          <w:tcPr/>
          <w:p>
            <w:pPr>
              <w:pStyle w:val="Compact"/>
            </w:pPr>
            <w:r>
              <w:t xml:space="preserve">Backup software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Disaster Recovery drill executed and documented</w:t>
            </w:r>
          </w:p>
        </w:tc>
        <w:tc>
          <w:tcPr/>
          <w:p>
            <w:pPr>
              <w:pStyle w:val="Compact"/>
            </w:pPr>
            <w:r>
              <w:t xml:space="preserve">1 per quarter</w:t>
            </w:r>
          </w:p>
        </w:tc>
        <w:tc>
          <w:tcPr/>
          <w:p>
            <w:pPr>
              <w:pStyle w:val="Compact"/>
            </w:pPr>
            <w:r>
              <w:t xml:space="preserve">DR runbook +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Recovery (MTTR) for cloud incidents</w:t>
            </w:r>
          </w:p>
        </w:tc>
        <w:tc>
          <w:tcPr/>
          <w:p>
            <w:pPr>
              <w:pStyle w:val="Compact"/>
            </w:pPr>
            <w:r>
              <w:t xml:space="preserve">≤ 30 minutes</w:t>
            </w:r>
          </w:p>
        </w:tc>
        <w:tc>
          <w:tcPr/>
          <w:p>
            <w:pPr>
              <w:pStyle w:val="Compact"/>
            </w:pPr>
            <w:r>
              <w:t xml:space="preserve">Incident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success rate (CI/CD)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/>
          <w:p>
            <w:pPr>
              <w:pStyle w:val="Compact"/>
            </w:pPr>
            <w:r>
              <w:t xml:space="preserve">Deployment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Unauthorized production changes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Change-control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cloud spend variance vs. budget</w:t>
            </w:r>
          </w:p>
        </w:tc>
        <w:tc>
          <w:tcPr/>
          <w:p>
            <w:pPr>
              <w:pStyle w:val="Compact"/>
            </w:pPr>
            <w:r>
              <w:t xml:space="preserve">≤ ± 5%</w:t>
            </w:r>
          </w:p>
        </w:tc>
        <w:tc>
          <w:tcPr/>
          <w:p>
            <w:pPr>
              <w:pStyle w:val="Compact"/>
            </w:pPr>
            <w:r>
              <w:t xml:space="preserve">Vercel / Postgres invoices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performance SLA (P95 query latency)</w:t>
            </w:r>
          </w:p>
        </w:tc>
        <w:tc>
          <w:tcPr/>
          <w:p>
            <w:pPr>
              <w:pStyle w:val="Compact"/>
            </w:pPr>
            <w:r>
              <w:t xml:space="preserve">≤ 200 ms</w:t>
            </w:r>
          </w:p>
        </w:tc>
        <w:tc>
          <w:tcPr/>
          <w:p>
            <w:pPr>
              <w:pStyle w:val="Compact"/>
            </w:pPr>
            <w:r>
              <w:t xml:space="preserve">DB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Infrastructure-as-Code coverage</w:t>
            </w:r>
          </w:p>
        </w:tc>
        <w:tc>
          <w:tcPr/>
          <w:p>
            <w:pPr>
              <w:pStyle w:val="Compact"/>
            </w:pPr>
            <w:r>
              <w:t xml:space="preserve">100% of cloud resources</w:t>
            </w:r>
          </w:p>
        </w:tc>
        <w:tc>
          <w:tcPr/>
          <w:p>
            <w:pPr>
              <w:pStyle w:val="Compact"/>
            </w:pPr>
            <w:r>
              <w:t xml:space="preserve">Terraform / equivalent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capacity / cost optimisation report</w:t>
            </w:r>
          </w:p>
        </w:tc>
        <w:tc>
          <w:tcPr/>
          <w:p>
            <w:pPr>
              <w:pStyle w:val="Compact"/>
            </w:pPr>
            <w:r>
              <w:t xml:space="preserve">1 per month</w:t>
            </w:r>
          </w:p>
        </w:tc>
        <w:tc>
          <w:tcPr/>
          <w:p>
            <w:pPr>
              <w:pStyle w:val="Compact"/>
            </w:pPr>
            <w:r>
              <w:t xml:space="preserve">Internal report</w:t>
            </w:r>
          </w:p>
        </w:tc>
      </w:tr>
    </w:tbl>
    <w:bookmarkEnd w:id="15"/>
    <w:bookmarkStart w:id="16" w:name="network-systems-engineer-l2"/>
    <w:p>
      <w:pPr>
        <w:pStyle w:val="Heading3"/>
      </w:pPr>
      <w:r>
        <w:t xml:space="preserve">3.4 Network &amp; Systems Engineer (L2)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uptime (LAN + WAN combined)</w:t>
            </w:r>
          </w:p>
        </w:tc>
        <w:tc>
          <w:tcPr/>
          <w:p>
            <w:pPr>
              <w:pStyle w:val="Compact"/>
            </w:pPr>
            <w:r>
              <w:t xml:space="preserve">≥ 99.5%</w:t>
            </w:r>
          </w:p>
        </w:tc>
        <w:tc>
          <w:tcPr/>
          <w:p>
            <w:pPr>
              <w:pStyle w:val="Compact"/>
            </w:pPr>
            <w:r>
              <w:t xml:space="preserve">Network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coverage availability in clinical areas</w:t>
            </w:r>
          </w:p>
        </w:tc>
        <w:tc>
          <w:tcPr/>
          <w:p>
            <w:pPr>
              <w:pStyle w:val="Compact"/>
            </w:pPr>
            <w:r>
              <w:t xml:space="preserve">≥ 99% during business hours</w:t>
            </w:r>
          </w:p>
        </w:tc>
        <w:tc>
          <w:tcPr/>
          <w:p>
            <w:pPr>
              <w:pStyle w:val="Compact"/>
            </w:pPr>
            <w:r>
              <w:t xml:space="preserve">RF heatmap /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 failover tested</w:t>
            </w:r>
          </w:p>
        </w:tc>
        <w:tc>
          <w:tcPr/>
          <w:p>
            <w:pPr>
              <w:pStyle w:val="Compact"/>
            </w:pPr>
            <w:r>
              <w:t xml:space="preserve">1 per quarter, documented</w:t>
            </w:r>
          </w:p>
        </w:tc>
        <w:tc>
          <w:tcPr/>
          <w:p>
            <w:pPr>
              <w:pStyle w:val="Compact"/>
            </w:pPr>
            <w:r>
              <w:t xml:space="preserve">Test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Firewall change-control adherence</w:t>
            </w:r>
          </w:p>
        </w:tc>
        <w:tc>
          <w:tcPr/>
          <w:p>
            <w:pPr>
              <w:pStyle w:val="Compact"/>
            </w:pPr>
            <w:r>
              <w:t xml:space="preserve">100% via approved CR</w:t>
            </w:r>
          </w:p>
        </w:tc>
        <w:tc>
          <w:tcPr/>
          <w:p>
            <w:pPr>
              <w:pStyle w:val="Compact"/>
            </w:pPr>
            <w:r>
              <w:t xml:space="preserve">Change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patch compliance</w:t>
            </w:r>
          </w:p>
        </w:tc>
        <w:tc>
          <w:tcPr/>
          <w:p>
            <w:pPr>
              <w:pStyle w:val="Compact"/>
            </w:pPr>
            <w:r>
              <w:t xml:space="preserve">≥ 95% within patch cycle</w:t>
            </w:r>
          </w:p>
        </w:tc>
        <w:tc>
          <w:tcPr/>
          <w:p>
            <w:pPr>
              <w:pStyle w:val="Compact"/>
            </w:pPr>
            <w:r>
              <w:t xml:space="preserve">Patch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 battery health verified</w:t>
            </w:r>
          </w:p>
        </w:tc>
        <w:tc>
          <w:tcPr/>
          <w:p>
            <w:pPr>
              <w:pStyle w:val="Compact"/>
            </w:pPr>
            <w:r>
              <w:t xml:space="preserve">Monthly check, log retained</w:t>
            </w:r>
          </w:p>
        </w:tc>
        <w:tc>
          <w:tcPr/>
          <w:p>
            <w:pPr>
              <w:pStyle w:val="Compact"/>
            </w:pPr>
            <w:r>
              <w:t xml:space="preserve">Maintenance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capacity report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Internal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Recovery for network P1</w:t>
            </w:r>
          </w:p>
        </w:tc>
        <w:tc>
          <w:tcPr/>
          <w:p>
            <w:pPr>
              <w:pStyle w:val="Compact"/>
            </w:pPr>
            <w:r>
              <w:t xml:space="preserve">≤ 1 hour</w:t>
            </w:r>
          </w:p>
        </w:tc>
        <w:tc>
          <w:tcPr/>
          <w:p>
            <w:pPr>
              <w:pStyle w:val="Compact"/>
            </w:pPr>
            <w:r>
              <w:t xml:space="preserve">Incident log</w:t>
            </w:r>
          </w:p>
        </w:tc>
      </w:tr>
    </w:tbl>
    <w:bookmarkEnd w:id="16"/>
    <w:bookmarkStart w:id="17" w:name="hospitalpro-application-support-engineer"/>
    <w:p>
      <w:pPr>
        <w:pStyle w:val="Heading3"/>
      </w:pPr>
      <w:r>
        <w:t xml:space="preserve">3.5 HospitalPro Application Support Engineer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HMIS bug triage within target</w:t>
            </w:r>
          </w:p>
        </w:tc>
        <w:tc>
          <w:tcPr/>
          <w:p>
            <w:pPr>
              <w:pStyle w:val="Compact"/>
            </w:pPr>
            <w:r>
              <w:t xml:space="preserve">≥ 95% within 4 business hours</w:t>
            </w:r>
          </w:p>
        </w:tc>
        <w:tc>
          <w:tcPr/>
          <w:p>
            <w:pPr>
              <w:pStyle w:val="Compact"/>
            </w:pPr>
            <w:r>
              <w:t xml:space="preserve">ITSM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HMIS bug-fix deployment per severity</w:t>
            </w:r>
          </w:p>
        </w:tc>
        <w:tc>
          <w:tcPr/>
          <w:p>
            <w:pPr>
              <w:pStyle w:val="Compact"/>
            </w:pPr>
            <w:r>
              <w:t xml:space="preserve">P1 ≤ 24 hours, P2 ≤ 5 days, P3 ≤ release cycle</w:t>
            </w:r>
          </w:p>
        </w:tc>
        <w:tc>
          <w:tcPr/>
          <w:p>
            <w:pPr>
              <w:pStyle w:val="Compact"/>
            </w:pPr>
            <w:r>
              <w:t xml:space="preserve">Release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corruption incidents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health report delivered</w:t>
            </w:r>
          </w:p>
        </w:tc>
        <w:tc>
          <w:tcPr/>
          <w:p>
            <w:pPr>
              <w:pStyle w:val="Compact"/>
            </w:pPr>
            <w:r>
              <w:t xml:space="preserve">1 per quarter</w:t>
            </w:r>
          </w:p>
        </w:tc>
        <w:tc>
          <w:tcPr/>
          <w:p>
            <w:pPr>
              <w:pStyle w:val="Compact"/>
            </w:pPr>
            <w:r>
              <w:t xml:space="preserve">Internal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Doctor / staff CSAT on HMIS issues</w:t>
            </w:r>
          </w:p>
        </w:tc>
        <w:tc>
          <w:tcPr/>
          <w:p>
            <w:pPr>
              <w:pStyle w:val="Compact"/>
            </w:pPr>
            <w:r>
              <w:t xml:space="preserve">≥ 4.0 / 5</w:t>
            </w:r>
          </w:p>
        </w:tc>
        <w:tc>
          <w:tcPr/>
          <w:p>
            <w:pPr>
              <w:pStyle w:val="Compact"/>
            </w:pPr>
            <w:r>
              <w:t xml:space="preserve">In-product 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Knowledge-base articles published / updated</w:t>
            </w:r>
          </w:p>
        </w:tc>
        <w:tc>
          <w:tcPr/>
          <w:p>
            <w:pPr>
              <w:pStyle w:val="Compact"/>
            </w:pPr>
            <w:r>
              <w:t xml:space="preserve">≥ 4 per month</w:t>
            </w:r>
          </w:p>
        </w:tc>
        <w:tc>
          <w:tcPr/>
          <w:p>
            <w:pPr>
              <w:pStyle w:val="Compact"/>
            </w:pPr>
            <w:r>
              <w:t xml:space="preserve">KB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review of all production fixes</w:t>
            </w:r>
          </w:p>
        </w:tc>
        <w:tc>
          <w:tcPr/>
          <w:p>
            <w:pPr>
              <w:pStyle w:val="Compact"/>
            </w:pPr>
            <w:r>
              <w:t xml:space="preserve">100% peer-reviewed</w:t>
            </w:r>
          </w:p>
        </w:tc>
        <w:tc>
          <w:tcPr/>
          <w:p>
            <w:pPr>
              <w:pStyle w:val="Compact"/>
            </w:pPr>
            <w:r>
              <w:t xml:space="preserve">Git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coverage on changed code</w:t>
            </w:r>
          </w:p>
        </w:tc>
        <w:tc>
          <w:tcPr/>
          <w:p>
            <w:pPr>
              <w:pStyle w:val="Compact"/>
            </w:pPr>
            <w:r>
              <w:t xml:space="preserve">≥ 80%</w:t>
            </w:r>
          </w:p>
        </w:tc>
        <w:tc>
          <w:tcPr/>
          <w:p>
            <w:pPr>
              <w:pStyle w:val="Compact"/>
            </w:pPr>
            <w:r>
              <w:t xml:space="preserve">CI report</w:t>
            </w:r>
          </w:p>
        </w:tc>
      </w:tr>
    </w:tbl>
    <w:bookmarkEnd w:id="17"/>
    <w:bookmarkStart w:id="18" w:name="security-analyst"/>
    <w:p>
      <w:pPr>
        <w:pStyle w:val="Heading3"/>
      </w:pPr>
      <w:r>
        <w:t xml:space="preserve">3.6 Security Analyst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alerts triaged within target</w:t>
            </w:r>
          </w:p>
        </w:tc>
        <w:tc>
          <w:tcPr/>
          <w:p>
            <w:pPr>
              <w:pStyle w:val="Compact"/>
            </w:pPr>
            <w:r>
              <w:t xml:space="preserve">100% within 30 minutes</w:t>
            </w:r>
          </w:p>
        </w:tc>
        <w:tc>
          <w:tcPr/>
          <w:p>
            <w:pPr>
              <w:pStyle w:val="Compact"/>
            </w:pPr>
            <w:r>
              <w:t xml:space="preserve">SIEM / SOAR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Time To Detect (MTTD) for critical events</w:t>
            </w:r>
          </w:p>
        </w:tc>
        <w:tc>
          <w:tcPr/>
          <w:p>
            <w:pPr>
              <w:pStyle w:val="Compact"/>
            </w:pPr>
            <w:r>
              <w:t xml:space="preserve">≤ 15 minutes</w:t>
            </w:r>
          </w:p>
        </w:tc>
        <w:tc>
          <w:tcPr/>
          <w:p>
            <w:pPr>
              <w:pStyle w:val="Compact"/>
            </w:pPr>
            <w:r>
              <w:t xml:space="preserve">SOC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vulnerability remediation within SLA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Vuln scanner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Successful phishing breaches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Incident log + email security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pentest critical findings remediated</w:t>
            </w:r>
          </w:p>
        </w:tc>
        <w:tc>
          <w:tcPr/>
          <w:p>
            <w:pPr>
              <w:pStyle w:val="Compact"/>
            </w:pPr>
            <w:r>
              <w:t xml:space="preserve">100% within 30 days</w:t>
            </w:r>
          </w:p>
        </w:tc>
        <w:tc>
          <w:tcPr/>
          <w:p>
            <w:pPr>
              <w:pStyle w:val="Compact"/>
            </w:pPr>
            <w:r>
              <w:t xml:space="preserve">Pentest 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EDR coverage</w:t>
            </w:r>
          </w:p>
        </w:tc>
        <w:tc>
          <w:tcPr/>
          <w:p>
            <w:pPr>
              <w:pStyle w:val="Compact"/>
            </w:pPr>
            <w:r>
              <w:t xml:space="preserve">100% of managed endpoints</w:t>
            </w:r>
          </w:p>
        </w:tc>
        <w:tc>
          <w:tcPr/>
          <w:p>
            <w:pPr>
              <w:pStyle w:val="Compact"/>
            </w:pPr>
            <w:r>
              <w:t xml:space="preserve">EDR 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awareness training delivered to staff</w:t>
            </w:r>
          </w:p>
        </w:tc>
        <w:tc>
          <w:tcPr/>
          <w:p>
            <w:pPr>
              <w:pStyle w:val="Compact"/>
            </w:pPr>
            <w:r>
              <w:t xml:space="preserve">1 session per quarter</w:t>
            </w:r>
          </w:p>
        </w:tc>
        <w:tc>
          <w:tcPr/>
          <w:p>
            <w:pPr>
              <w:pStyle w:val="Compact"/>
            </w:pPr>
            <w:r>
              <w:t xml:space="preserve">Training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 drill</w:t>
            </w:r>
          </w:p>
        </w:tc>
        <w:tc>
          <w:tcPr/>
          <w:p>
            <w:pPr>
              <w:pStyle w:val="Compact"/>
            </w:pPr>
            <w:r>
              <w:t xml:space="preserve">1 per quarter</w:t>
            </w:r>
          </w:p>
        </w:tc>
        <w:tc>
          <w:tcPr/>
          <w:p>
            <w:pPr>
              <w:pStyle w:val="Compact"/>
            </w:pPr>
            <w:r>
              <w:t xml:space="preserve">Drill log</w:t>
            </w:r>
          </w:p>
        </w:tc>
      </w:tr>
    </w:tbl>
    <w:bookmarkEnd w:id="18"/>
    <w:bookmarkStart w:id="19" w:name="account-manager-service-delivery"/>
    <w:p>
      <w:pPr>
        <w:pStyle w:val="Heading3"/>
      </w:pPr>
      <w:r>
        <w:t xml:space="preserve">3.7 Account Manager / Service Delivery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CSAT (overall service relationship)</w:t>
            </w:r>
          </w:p>
        </w:tc>
        <w:tc>
          <w:tcPr/>
          <w:p>
            <w:pPr>
              <w:pStyle w:val="Compact"/>
            </w:pPr>
            <w:r>
              <w:t xml:space="preserve">≥ 4.2 / 5 quarterly</w:t>
            </w:r>
          </w:p>
        </w:tc>
        <w:tc>
          <w:tcPr/>
          <w:p>
            <w:pPr>
              <w:pStyle w:val="Compact"/>
            </w:pPr>
            <w:r>
              <w:t xml:space="preserve">Survey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Quarterly Business Reviews (QBRs) delivered</w:t>
            </w:r>
          </w:p>
        </w:tc>
        <w:tc>
          <w:tcPr/>
          <w:p>
            <w:pPr>
              <w:pStyle w:val="Compact"/>
            </w:pPr>
            <w:r>
              <w:t xml:space="preserve">4 per year, on schedule</w:t>
            </w:r>
          </w:p>
        </w:tc>
        <w:tc>
          <w:tcPr/>
          <w:p>
            <w:pPr>
              <w:pStyle w:val="Compact"/>
            </w:pPr>
            <w:r>
              <w:t xml:space="preserve">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QBR action items closed</w:t>
            </w:r>
          </w:p>
        </w:tc>
        <w:tc>
          <w:tcPr/>
          <w:p>
            <w:pPr>
              <w:pStyle w:val="Compact"/>
            </w:pPr>
            <w:r>
              <w:t xml:space="preserve">≥ 90% by next QBR</w:t>
            </w:r>
          </w:p>
        </w:tc>
        <w:tc>
          <w:tcPr/>
          <w:p>
            <w:pPr>
              <w:pStyle w:val="Compact"/>
            </w:pPr>
            <w:r>
              <w:t xml:space="preserve">Action 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Invoices issued accurately</w:t>
            </w:r>
          </w:p>
        </w:tc>
        <w:tc>
          <w:tcPr/>
          <w:p>
            <w:pPr>
              <w:pStyle w:val="Compact"/>
            </w:pPr>
            <w:r>
              <w:t xml:space="preserve">100%, no disputes raised</w:t>
            </w:r>
          </w:p>
        </w:tc>
        <w:tc>
          <w:tcPr/>
          <w:p>
            <w:pPr>
              <w:pStyle w:val="Compact"/>
            </w:pPr>
            <w:r>
              <w:t xml:space="preserve">Finance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Overdue invoices &gt; 45 days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Finance ageing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 renewals secured</w:t>
            </w:r>
          </w:p>
        </w:tc>
        <w:tc>
          <w:tcPr/>
          <w:p>
            <w:pPr>
              <w:pStyle w:val="Compact"/>
            </w:pPr>
            <w:r>
              <w:t xml:space="preserve">100% on or before expiry</w:t>
            </w:r>
          </w:p>
        </w:tc>
        <w:tc>
          <w:tcPr/>
          <w:p>
            <w:pPr>
              <w:pStyle w:val="Compact"/>
            </w:pPr>
            <w:r>
              <w:t xml:space="preserve">CRM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Escalations resolved at AM level</w:t>
            </w:r>
          </w:p>
        </w:tc>
        <w:tc>
          <w:tcPr/>
          <w:p>
            <w:pPr>
              <w:pStyle w:val="Compact"/>
            </w:pPr>
            <w:r>
              <w:t xml:space="preserve">≥ 80% (without going to L4)</w:t>
            </w:r>
          </w:p>
        </w:tc>
        <w:tc>
          <w:tcPr/>
          <w:p>
            <w:pPr>
              <w:pStyle w:val="Compact"/>
            </w:pPr>
            <w:r>
              <w:t xml:space="preserve">Escalation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service report delivered</w:t>
            </w:r>
          </w:p>
        </w:tc>
        <w:tc>
          <w:tcPr/>
          <w:p>
            <w:pPr>
              <w:pStyle w:val="Compact"/>
            </w:pPr>
            <w:r>
              <w:t xml:space="preserve">Within 5 business days of month-end</w:t>
            </w:r>
          </w:p>
        </w:tc>
        <w:tc>
          <w:tcPr/>
          <w:p>
            <w:pPr>
              <w:pStyle w:val="Compact"/>
            </w:pPr>
            <w:r>
              <w:t xml:space="preserve">Report calendar</w:t>
            </w:r>
          </w:p>
        </w:tc>
      </w:tr>
    </w:tbl>
    <w:bookmarkEnd w:id="19"/>
    <w:bookmarkStart w:id="20" w:name="engineering-lead-l3l4-escalation"/>
    <w:p>
      <w:pPr>
        <w:pStyle w:val="Heading3"/>
      </w:pPr>
      <w:r>
        <w:t xml:space="preserve">3.8 Engineering Lead (L3/L4 escalation)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24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incidents unresolved past 4 hours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Incident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Architectural changes reviewed and approved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Architecture review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IT strategy and roadmap quality</w:t>
            </w:r>
          </w:p>
        </w:tc>
        <w:tc>
          <w:tcPr/>
          <w:p>
            <w:pPr>
              <w:pStyle w:val="Compact"/>
            </w:pPr>
            <w:r>
              <w:t xml:space="preserve">Signed off at QBR</w:t>
            </w:r>
          </w:p>
        </w:tc>
        <w:tc>
          <w:tcPr/>
          <w:p>
            <w:pPr>
              <w:pStyle w:val="Compact"/>
            </w:pPr>
            <w:r>
              <w:t xml:space="preserve">QBR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Mentoring sessions with team</w:t>
            </w:r>
          </w:p>
        </w:tc>
        <w:tc>
          <w:tcPr/>
          <w:p>
            <w:pPr>
              <w:pStyle w:val="Compact"/>
            </w:pPr>
            <w:r>
              <w:t xml:space="preserve">1 per quarter per role</w:t>
            </w:r>
          </w:p>
        </w:tc>
        <w:tc>
          <w:tcPr/>
          <w:p>
            <w:pPr>
              <w:pStyle w:val="Compact"/>
            </w:pPr>
            <w:r>
              <w:t xml:space="preserve">Training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 incident root-cause analysis</w:t>
            </w:r>
          </w:p>
        </w:tc>
        <w:tc>
          <w:tcPr/>
          <w:p>
            <w:pPr>
              <w:pStyle w:val="Compact"/>
            </w:pPr>
            <w:r>
              <w:t xml:space="preserve">RCA within 5 business days for every P1/P2</w:t>
            </w:r>
          </w:p>
        </w:tc>
        <w:tc>
          <w:tcPr/>
          <w:p>
            <w:pPr>
              <w:pStyle w:val="Compact"/>
            </w:pPr>
            <w:r>
              <w:t xml:space="preserve">Postmortem repo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Cross-team knowledge sharing</w:t>
            </w:r>
          </w:p>
        </w:tc>
        <w:tc>
          <w:tcPr/>
          <w:p>
            <w:pPr>
              <w:pStyle w:val="Compact"/>
            </w:pPr>
            <w:r>
              <w:t xml:space="preserve">1 published learning / quarter</w:t>
            </w:r>
          </w:p>
        </w:tc>
        <w:tc>
          <w:tcPr/>
          <w:p>
            <w:pPr>
              <w:pStyle w:val="Compact"/>
            </w:pPr>
            <w:r>
              <w:t xml:space="preserve">Internal wiki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retention</w:t>
            </w:r>
          </w:p>
        </w:tc>
        <w:tc>
          <w:tcPr/>
          <w:p>
            <w:pPr>
              <w:pStyle w:val="Compact"/>
            </w:pPr>
            <w:r>
              <w:t xml:space="preserve">≥ 90% annual retention on this account</w:t>
            </w:r>
          </w:p>
        </w:tc>
        <w:tc>
          <w:tcPr/>
          <w:p>
            <w:pPr>
              <w:pStyle w:val="Compact"/>
            </w:pPr>
            <w:r>
              <w:t xml:space="preserve">HR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cost-build-up"/>
    <w:p>
      <w:pPr>
        <w:pStyle w:val="Heading2"/>
      </w:pPr>
      <w:r>
        <w:t xml:space="preserve">4. Cost build-up</w:t>
      </w:r>
    </w:p>
    <w:p>
      <w:pPr>
        <w:pStyle w:val="FirstParagraph"/>
      </w:pPr>
      <w:r>
        <w:t xml:space="preserve">All resources are dedicated and 100% allocated. Costs are linear (no FTE fractions).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Monthly (₹)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team (10 people, 100% allocated)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 Site Manager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Helpdesk × 3 dedicated</w:t>
            </w:r>
          </w:p>
        </w:tc>
        <w:tc>
          <w:tcPr/>
          <w:p>
            <w:pPr>
              <w:pStyle w:val="Compact"/>
            </w:pPr>
            <w:r>
              <w:t xml:space="preserve">1,38,000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/ DevOps Engineer</w:t>
            </w:r>
          </w:p>
        </w:tc>
        <w:tc>
          <w:tcPr/>
          <w:p>
            <w:pPr>
              <w:pStyle w:val="Compact"/>
            </w:pPr>
            <w:r>
              <w:t xml:space="preserve">1,17,000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&amp; Systems Engineer (L2)</w:t>
            </w:r>
          </w:p>
        </w:tc>
        <w:tc>
          <w:tcPr/>
          <w:p>
            <w:pPr>
              <w:pStyle w:val="Compact"/>
            </w:pPr>
            <w:r>
              <w:t xml:space="preserve">1,30,000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HospitalPro Application Support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Analyst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Manager</w:t>
            </w:r>
          </w:p>
        </w:tc>
        <w:tc>
          <w:tcPr/>
          <w:p>
            <w:pPr>
              <w:pStyle w:val="Compact"/>
            </w:pPr>
            <w:r>
              <w:t xml:space="preserve">1,40,000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Engineering Lead</w:t>
            </w:r>
          </w:p>
        </w:tc>
        <w:tc>
          <w:tcPr/>
          <w:p>
            <w:pPr>
              <w:pStyle w:val="Compact"/>
            </w:pPr>
            <w:r>
              <w:t xml:space="preserve">1,50,000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allocated salary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11,95,000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Tools (ITSM, RMM, SIEM, backup, monitoring, CMDB)</w:t>
            </w:r>
          </w:p>
        </w:tc>
        <w:tc>
          <w:tcPr/>
          <w:p>
            <w:pPr>
              <w:pStyle w:val="Compact"/>
            </w:pPr>
            <w:r>
              <w:t xml:space="preserve">97,000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Onsite ops (transport, mobile data, equipment, badges)</w:t>
            </w:r>
          </w:p>
        </w:tc>
        <w:tc>
          <w:tcPr/>
          <w:p>
            <w:pPr>
              <w:pStyle w:val="Compact"/>
            </w:pPr>
            <w:r>
              <w:t xml:space="preserve">22,000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pentest + compliance audit (amortised)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cost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13,44,000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(≈ 42%)</w:t>
            </w:r>
          </w:p>
        </w:tc>
        <w:tc>
          <w:tcPr/>
          <w:p>
            <w:pPr>
              <w:pStyle w:val="Compact"/>
            </w:pPr>
            <w:r>
              <w:t xml:space="preserve">5,66,000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services fee — monthly (excl. GST)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₹19,10,000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@ 18%</w:t>
            </w:r>
          </w:p>
        </w:tc>
        <w:tc>
          <w:tcPr/>
          <w:p>
            <w:pPr>
              <w:pStyle w:val="Compact"/>
            </w:pPr>
            <w:r>
              <w:t xml:space="preserve">₹3,43,800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Managed services fee — monthly (incl. GST)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₹22,53,800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Pass-through (M365, Entra, EDR, internet) — at vendor cost</w:t>
            </w:r>
          </w:p>
        </w:tc>
        <w:tc>
          <w:tcPr/>
          <w:p>
            <w:pPr>
              <w:pStyle w:val="Compact"/>
            </w:pPr>
            <w:r>
              <w:t xml:space="preserve">~₹4,01,000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total monthly run-rate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~₹26,55,000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Estimated annual contract value (ACV)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~₹3,18,60,000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19b20ddd715ecd7e16a8a94749de19f42d31fa"/>
    <w:p>
      <w:pPr>
        <w:pStyle w:val="Heading2"/>
      </w:pPr>
      <w:r>
        <w:t xml:space="preserve">5. What this dedicated-team model gives the hospital</w:t>
      </w:r>
    </w:p>
    <w:p>
      <w:pPr>
        <w:pStyle w:val="FirstParagraph"/>
      </w:pPr>
      <w:r>
        <w:t xml:space="preserve">Compared to the previous shared-resource model (v1.1), the all-dedicated structure delivers: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SLAs.</w:t>
      </w:r>
      <w:r>
        <w:t xml:space="preserve"> </w:t>
      </w:r>
      <w:r>
        <w:t xml:space="preserve">Engineering Lead, Security Analyst, and Application Support are no longer waiting in another client’s queue. P1 events get immediate full-team attention.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Hospital-specific expertise.</w:t>
      </w:r>
      <w:r>
        <w:t xml:space="preserve"> </w:t>
      </w:r>
      <w:r>
        <w:t xml:space="preserve">Every team member becomes deeply familiar with the hospital’s HMIS workflows, network topology, biometric devices, and clinical-shift patterns.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 for end-users.</w:t>
      </w:r>
      <w:r>
        <w:t xml:space="preserve"> </w:t>
      </w:r>
      <w:r>
        <w:t xml:space="preserve">Doctors and nurses see the same engineers every day, reducing repeat explanation cycles.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priority conflicts.</w:t>
      </w:r>
      <w:r>
        <w:t xml:space="preserve"> </w:t>
      </w:r>
      <w:r>
        <w:t xml:space="preserve">During a critical clinical incident, no team member is being pulled by another client’s outage.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attrition resilience.</w:t>
      </w:r>
      <w:r>
        <w:t xml:space="preserve"> </w:t>
      </w:r>
      <w:r>
        <w:t xml:space="preserve">A team of 10 dedicated engineers can absorb leave, illness, and resignations more gracefully than a thin allocation across many shared resources.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Cleaner audit trail.</w:t>
      </w:r>
      <w:r>
        <w:t xml:space="preserve"> </w:t>
      </w:r>
      <w:r>
        <w:t xml:space="preserve">Every action is attributable to a single client’s team — important for NABH and DPDP compliance reviews.</w:t>
      </w:r>
    </w:p>
    <w:p>
      <w:r>
        <w:pict>
          <v:rect style="width:0;height:1.5pt" o:hralign="center" o:hrstd="t" o:hr="t"/>
        </w:pict>
      </w:r>
    </w:p>
    <w:bookmarkEnd w:id="23"/>
    <w:bookmarkStart w:id="24" w:name="sign-off"/>
    <w:p>
      <w:pPr>
        <w:pStyle w:val="Heading2"/>
      </w:pPr>
      <w:r>
        <w:t xml:space="preserve">6. Sign-off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84"/>
        <w:gridCol w:w="35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 Busitema Referral Hospital</w:t>
            </w:r>
          </w:p>
        </w:tc>
        <w:tc>
          <w:tcPr/>
          <w:p>
            <w:pPr>
              <w:pStyle w:val="Compact"/>
            </w:pPr>
            <w:r>
              <w:t xml:space="preserve">For [Your Company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Name: ____________________________</w:t>
            </w:r>
          </w:p>
        </w:tc>
        <w:tc>
          <w:tcPr/>
          <w:p>
            <w:pPr>
              <w:pStyle w:val="Compact"/>
            </w:pPr>
            <w:r>
              <w:t xml:space="preserve">Name: 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Title: ____________________________</w:t>
            </w:r>
          </w:p>
        </w:tc>
        <w:tc>
          <w:tcPr/>
          <w:p>
            <w:pPr>
              <w:pStyle w:val="Compact"/>
            </w:pPr>
            <w:r>
              <w:t xml:space="preserve">Title: 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Date: ____________________________</w:t>
            </w:r>
          </w:p>
        </w:tc>
        <w:tc>
          <w:tcPr/>
          <w:p>
            <w:pPr>
              <w:pStyle w:val="Compact"/>
            </w:pPr>
            <w:r>
              <w:t xml:space="preserve">Date: ____________________________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Signature: _______________________</w:t>
            </w:r>
          </w:p>
        </w:tc>
        <w:tc>
          <w:tcPr/>
          <w:p>
            <w:pPr>
              <w:pStyle w:val="Compact"/>
            </w:pPr>
            <w:r>
              <w:t xml:space="preserve">Signature: 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document is a companion to the full Managed IT Services Proposal. Refer to that document for scope, SLA matrix, contract terms, transition roadmap, RACI matrix, and pass-through invoicing format. Pricing in this v1.2 supersedes the v1.1 figures in the parent proposal — the hospital should be quoted ₹19.10 lakh / month managed-services fee under the all-dedicated model.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Managed IT Services — Team Summary &amp; KRAs</dc:title>
  <dc:creator/>
  <cp:keywords/>
  <dcterms:created xsi:type="dcterms:W3CDTF">2026-05-06T06:14:02Z</dcterms:created>
  <dcterms:modified xsi:type="dcterms:W3CDTF">2026-05-06T06:14:02Z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ient">
    <vt:lpwstr>Busitema Referral Hospital</vt:lpwstr>
  </property>
  <property fmtid="{D5CDD505-2E9C-101B-9397-08002B2CF9AE}" pid="3" name="date">
    <vt:lpwstr>May 2026</vt:lpwstr>
  </property>
  <property fmtid="{D5CDD505-2E9C-101B-9397-08002B2CF9AE}" pid="4" name="prepared_by">
    <vt:lpwstr>[Your Company Name]</vt:lpwstr>
  </property>
  <property fmtid="{D5CDD505-2E9C-101B-9397-08002B2CF9AE}" pid="5" name="subtitle">
    <vt:lpwstr>Companion document to the Managed IT Services Proposal</vt:lpwstr>
  </property>
  <property fmtid="{D5CDD505-2E9C-101B-9397-08002B2CF9AE}" pid="6" name="version">
    <vt:lpwstr>1.2</vt:lpwstr>
  </property>
</Properties>
</file>