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200-Bed Hospital — Equipment &amp; Hardware Requirements</w:t>
      </w:r>
    </w:p>
    <w:p>
      <w:pPr>
        <w:pStyle w:val="Subtitle"/>
      </w:pPr>
      <w:r>
        <w:t xml:space="preserve">Complete IT + clinical-IT inventory for HospitalPro deployment</w:t>
      </w:r>
    </w:p>
    <w:p>
      <w:pPr>
        <w:pStyle w:val="Date"/>
      </w:pPr>
      <w:r>
        <w:t xml:space="preserve">May 2026</w:t>
      </w:r>
    </w:p>
    <w:bookmarkStart w:id="38" w:name="X53488a5769783db05c3f77db2189dc8d23c420e"/>
    <w:p>
      <w:pPr>
        <w:pStyle w:val="Heading1"/>
      </w:pPr>
      <w:r>
        <w:t xml:space="preserve">200-Bed Hospital — Equipment &amp; Hardware Requirements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document covers the</w:t>
      </w:r>
      <w:r>
        <w:t xml:space="preserve"> </w:t>
      </w:r>
      <w:r>
        <w:rPr>
          <w:b/>
          <w:bCs/>
        </w:rPr>
        <w:t xml:space="preserve">IT-touching hardware and biomedical equipment</w:t>
      </w:r>
      <w:r>
        <w:t xml:space="preserve"> </w:t>
      </w:r>
      <w:r>
        <w:t xml:space="preserve">required to run a 200-bed multi-specialty hospital with HospitalPro as the core HMIS.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 purely clinical equipment that doesn’t integrate with the IT system (surgical instruments, basic furniture, building services).</w:t>
      </w:r>
    </w:p>
    <w:p>
      <w:pPr>
        <w:pStyle w:val="BodyText"/>
      </w:pPr>
      <w:r>
        <w:t xml:space="preserve">Coverage:</w:t>
      </w:r>
    </w:p>
    <w:p>
      <w:pPr>
        <w:pStyle w:val="Compact"/>
        <w:numPr>
          <w:ilvl w:val="0"/>
          <w:numId w:val="1001"/>
        </w:numPr>
      </w:pPr>
      <w:r>
        <w:t xml:space="preserve">End-user computing (workstations, tablets, peripherals)</w:t>
      </w:r>
    </w:p>
    <w:p>
      <w:pPr>
        <w:pStyle w:val="Compact"/>
        <w:numPr>
          <w:ilvl w:val="0"/>
          <w:numId w:val="1001"/>
        </w:numPr>
      </w:pPr>
      <w:r>
        <w:t xml:space="preserve">Network &amp; connectivity</w:t>
      </w:r>
    </w:p>
    <w:p>
      <w:pPr>
        <w:pStyle w:val="Compact"/>
        <w:numPr>
          <w:ilvl w:val="0"/>
          <w:numId w:val="1001"/>
        </w:numPr>
      </w:pPr>
      <w:r>
        <w:t xml:space="preserve">Servers &amp; data-centre</w:t>
      </w:r>
    </w:p>
    <w:p>
      <w:pPr>
        <w:pStyle w:val="Compact"/>
        <w:numPr>
          <w:ilvl w:val="0"/>
          <w:numId w:val="1001"/>
        </w:numPr>
      </w:pPr>
      <w:r>
        <w:t xml:space="preserve">Telephony &amp; paging</w:t>
      </w:r>
    </w:p>
    <w:p>
      <w:pPr>
        <w:pStyle w:val="Compact"/>
        <w:numPr>
          <w:ilvl w:val="0"/>
          <w:numId w:val="1001"/>
        </w:numPr>
      </w:pPr>
      <w:r>
        <w:t xml:space="preserve">Clinical / biomedical IT-integrated devices</w:t>
      </w:r>
    </w:p>
    <w:p>
      <w:pPr>
        <w:pStyle w:val="Compact"/>
        <w:numPr>
          <w:ilvl w:val="0"/>
          <w:numId w:val="1001"/>
        </w:numPr>
      </w:pPr>
      <w:r>
        <w:t xml:space="preserve">Imaging hardware (radiology + lab)</w:t>
      </w:r>
    </w:p>
    <w:p>
      <w:pPr>
        <w:pStyle w:val="Compact"/>
        <w:numPr>
          <w:ilvl w:val="0"/>
          <w:numId w:val="1001"/>
        </w:numPr>
      </w:pPr>
      <w:r>
        <w:t xml:space="preserve">Print, scan, label</w:t>
      </w:r>
    </w:p>
    <w:p>
      <w:pPr>
        <w:pStyle w:val="Compact"/>
        <w:numPr>
          <w:ilvl w:val="0"/>
          <w:numId w:val="1001"/>
        </w:numPr>
      </w:pPr>
      <w:r>
        <w:t xml:space="preserve">Power &amp; environmental</w:t>
      </w:r>
    </w:p>
    <w:p>
      <w:pPr>
        <w:pStyle w:val="Compact"/>
        <w:numPr>
          <w:ilvl w:val="0"/>
          <w:numId w:val="1001"/>
        </w:numPr>
      </w:pPr>
      <w:r>
        <w:t xml:space="preserve">Biometric &amp; access control</w:t>
      </w:r>
    </w:p>
    <w:p>
      <w:pPr>
        <w:pStyle w:val="Compact"/>
        <w:numPr>
          <w:ilvl w:val="0"/>
          <w:numId w:val="1001"/>
        </w:numPr>
      </w:pPr>
      <w:r>
        <w:t xml:space="preserve">Surveillance</w:t>
      </w:r>
    </w:p>
    <w:p>
      <w:pPr>
        <w:pStyle w:val="Compact"/>
        <w:numPr>
          <w:ilvl w:val="0"/>
          <w:numId w:val="1001"/>
        </w:numPr>
      </w:pPr>
      <w:r>
        <w:t xml:space="preserve">Mobile / endpoint accessories</w:t>
      </w:r>
    </w:p>
    <w:p>
      <w:pPr>
        <w:pStyle w:val="Compact"/>
        <w:numPr>
          <w:ilvl w:val="0"/>
          <w:numId w:val="1001"/>
        </w:numPr>
      </w:pPr>
      <w:r>
        <w:t xml:space="preserve">Spares &amp; consumables</w:t>
      </w:r>
    </w:p>
    <w:p>
      <w:pPr>
        <w:pStyle w:val="FirstParagraph"/>
      </w:pPr>
      <w:r>
        <w:t xml:space="preserve">Pricing in INR is indicative for India procurement (May 2026), based on commercial-grade brands.</w:t>
      </w:r>
      <w:r>
        <w:t xml:space="preserve"> </w:t>
      </w:r>
      <w:r>
        <w:rPr>
          <w:b/>
          <w:bCs/>
        </w:rPr>
        <w:t xml:space="preserve">Capex</w:t>
      </w:r>
      <w:r>
        <w:t xml:space="preserve"> </w:t>
      </w:r>
      <w:r>
        <w:t xml:space="preserve">= one-time.</w:t>
      </w:r>
      <w:r>
        <w:t xml:space="preserve"> </w:t>
      </w:r>
      <w:r>
        <w:rPr>
          <w:b/>
          <w:bCs/>
        </w:rPr>
        <w:t xml:space="preserve">Opex</w:t>
      </w:r>
      <w:r>
        <w:t xml:space="preserve"> </w:t>
      </w:r>
      <w:r>
        <w:t xml:space="preserve">= recurring (cloud, support, licenses).</w:t>
      </w:r>
    </w:p>
    <w:p>
      <w:r>
        <w:pict>
          <v:rect style="width:0;height:1.5pt" o:hralign="center" o:hrstd="t" o:hr="t"/>
        </w:pict>
      </w:r>
    </w:p>
    <w:bookmarkEnd w:id="9"/>
    <w:bookmarkStart w:id="11" w:name="end-user-computing-euc"/>
    <w:p>
      <w:pPr>
        <w:pStyle w:val="Heading2"/>
      </w:pPr>
      <w:r>
        <w:t xml:space="preserve">1. End-user computing (EUC)</w:t>
      </w:r>
    </w:p>
    <w:p>
      <w:pPr>
        <w:pStyle w:val="FirstParagraph"/>
      </w:pPr>
      <w:r>
        <w:t xml:space="preserve">Counts derived from a typical 200-bed multi-specialty: 60-bed IPD ward, 60-bed IPD private/semi-private, 20-bed ICU, 20-bed Emergency, 16-bed OT recovery, 16 OPD chambers, plus admin / lab / radiology / pharmacy / billing / front office.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32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(₹)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(₹)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OPD consultation desktops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i5/8GB/256GB SSD/22” monitor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Nursing-station all-in-ones (IPD)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24” AIO, i5/8GB, antimicrobial keyboard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Front-office desktops (registration, OPD reception)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i3/8GB/256GB SSD/22”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counter desktops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i5/8GB/256GB SSD/24”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 POS desktops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i5/8GB/256GB SSD/22”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analyzer-attached PCs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i5/8GB/256GB, 2× COM ports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Radiology / PACS workstations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Xeon/32GB/2TB SSD/24” medical-grade dual-monitor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 consoles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i7/16GB/512GB SSD/27”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ICU bedside workstations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Medical-grade panel PC, IP54, 19”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triage desktops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i5/8GB/256GB SSD/22”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 mobile devices (ward rounds)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iPad 10.9” (or Android equivalent) + ruggedized 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/ HR / Finance laptops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i5/16GB/512GB SSD/14”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 / leadership laptops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i7/16GB/1TB SSD/14”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— EUC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110 endpoints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76,50,000</w:t>
            </w:r>
          </w:p>
        </w:tc>
      </w:tr>
    </w:tbl>
    <w:bookmarkStart w:id="10" w:name="euc-notes"/>
    <w:p>
      <w:pPr>
        <w:pStyle w:val="Heading3"/>
      </w:pPr>
      <w:r>
        <w:t xml:space="preserve">EUC notes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Antimicrobial keyboards</w:t>
      </w:r>
      <w:r>
        <w:t xml:space="preserve"> </w:t>
      </w:r>
      <w:r>
        <w:t xml:space="preserve">in clinical areas — wipeable, IP-rated. Add ~₹1,500/unit for these.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Medical-grade monitors</w:t>
      </w:r>
      <w:r>
        <w:t xml:space="preserve"> </w:t>
      </w:r>
      <w:r>
        <w:t xml:space="preserve">in radiology must meet DICOM Part 14 grayscale calibration (3MP minimum for general radiography reading; 5MP for mammography if applicable).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iPads</w:t>
      </w:r>
      <w:r>
        <w:t xml:space="preserve"> </w:t>
      </w:r>
      <w:r>
        <w:t xml:space="preserve">use HospitalPro’s mobile doctor app over WiFi for ward-round chart updates and OT stage tracker.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Stock spare</w:t>
      </w:r>
      <w:r>
        <w:t xml:space="preserve"> </w:t>
      </w:r>
      <w:r>
        <w:t xml:space="preserve">of ~10% (≈11 endpoints) recommended for swap-out during repair — budget +₹7,65,000.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network-connectivity"/>
    <w:p>
      <w:pPr>
        <w:pStyle w:val="Heading2"/>
      </w:pPr>
      <w:r>
        <w:t xml:space="preserve">2. Network &amp; connectivity</w:t>
      </w:r>
    </w:p>
    <w:bookmarkStart w:id="12" w:name="internet-wan"/>
    <w:p>
      <w:pPr>
        <w:pStyle w:val="Heading3"/>
      </w:pPr>
      <w:r>
        <w:t xml:space="preserve">2.1 Internet (WAN)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169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Monthly opex (₹)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internet — fiber leased 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200 Mbps symmetric, 1:1, SLA 99.5%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 internet — 5G or secondary fiber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 Mbps, automatic failover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public IPs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for inbound HL7 / DICOM gateways if needed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— WAN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39,000/mo</w:t>
            </w:r>
          </w:p>
        </w:tc>
      </w:tr>
    </w:tbl>
    <w:bookmarkEnd w:id="12"/>
    <w:bookmarkStart w:id="13" w:name="lan-switches-cabling"/>
    <w:p>
      <w:pPr>
        <w:pStyle w:val="Heading3"/>
      </w:pPr>
      <w:r>
        <w:t xml:space="preserve">2.2 LAN — switches &amp; cabling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32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(₹)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(₹)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switch (L3)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(HA pair)</w:t>
            </w:r>
          </w:p>
        </w:tc>
        <w:tc>
          <w:tcPr/>
          <w:p>
            <w:pPr>
              <w:pStyle w:val="Compact"/>
            </w:pPr>
            <w:r>
              <w:t xml:space="preserve">24-port 10GbE, stackable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 switch (per floor)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48-port 1GbE PoE+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switch (small areas)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24-port PoE+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Cat-6A structured cabling (rooms + IT closets)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~600 drops</w:t>
            </w:r>
          </w:p>
        </w:tc>
        <w:tc>
          <w:tcPr/>
          <w:p>
            <w:pPr>
              <w:pStyle w:val="Compact"/>
            </w:pPr>
            <w:r>
              <w:t xml:space="preserve">including patch panels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2,200/drop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19” wall-mount racks (IT closets)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9U + ventilation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cords (Cat 6A)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mixed lengths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— LAN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36,48,000</w:t>
            </w:r>
          </w:p>
        </w:tc>
      </w:tr>
    </w:tbl>
    <w:bookmarkEnd w:id="13"/>
    <w:bookmarkStart w:id="14" w:name="wifi-enterprise-grade"/>
    <w:p>
      <w:pPr>
        <w:pStyle w:val="Heading3"/>
      </w:pPr>
      <w:r>
        <w:t xml:space="preserve">2.3 WiFi — enterprise-grade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32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(₹)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(₹)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 access points (WiFi 6E)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Aruba / Ubiquiti UniFi 6E, ceiling-mount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 controller / cloud key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UniFi Cloud Key Gen2 Plus or Aruba 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 survey + 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Heat-map professional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— WiFi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14,25,000</w:t>
            </w:r>
          </w:p>
        </w:tc>
      </w:tr>
    </w:tbl>
    <w:bookmarkEnd w:id="14"/>
    <w:bookmarkStart w:id="15" w:name="firewall-security"/>
    <w:p>
      <w:pPr>
        <w:pStyle w:val="Heading3"/>
      </w:pPr>
      <w:r>
        <w:t xml:space="preserve">2.4 Firewall &amp;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32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(₹)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(₹)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Next-gen firewall (HA pair)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Fortinet 60F or similar, IPS+SSL inspection licenses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3-year support &amp; updates (firewall)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UTM bundle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— security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10,00,000</w:t>
            </w:r>
          </w:p>
        </w:tc>
      </w:tr>
    </w:tbl>
    <w:bookmarkEnd w:id="15"/>
    <w:bookmarkStart w:id="16" w:name="network-totals"/>
    <w:p>
      <w:pPr>
        <w:pStyle w:val="Heading3"/>
      </w:pPr>
      <w:r>
        <w:t xml:space="preserve">2.5 Network totals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Capex (LAN + WiFi + Firewall):</w:t>
      </w:r>
      <w:r>
        <w:t xml:space="preserve"> </w:t>
      </w:r>
      <w:r>
        <w:t xml:space="preserve">₹60,73,000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Opex (WAN):</w:t>
      </w:r>
      <w:r>
        <w:t xml:space="preserve"> </w:t>
      </w:r>
      <w:r>
        <w:t xml:space="preserve">₹39,000/month = ₹4,68,000/year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servers-data-centre"/>
    <w:p>
      <w:pPr>
        <w:pStyle w:val="Heading2"/>
      </w:pPr>
      <w:r>
        <w:t xml:space="preserve">3. Servers &amp; data-centre</w:t>
      </w:r>
    </w:p>
    <w:p>
      <w:pPr>
        <w:pStyle w:val="FirstParagraph"/>
      </w:pPr>
      <w:r>
        <w:t xml:space="preserve">For a 200-bed hospital, HospitalPro is hosted on Vercel (cloud serverless) and the Postgres database is managed (Neon / RDS / equivalent), so the hospital itself runs</w:t>
      </w:r>
      <w:r>
        <w:t xml:space="preserve"> </w:t>
      </w:r>
      <w:r>
        <w:rPr>
          <w:b/>
          <w:bCs/>
        </w:rPr>
        <w:t xml:space="preserve">minimal on-prem infrastructure</w:t>
      </w:r>
      <w:r>
        <w:t xml:space="preserve">. The on-prem footprint is for:</w:t>
      </w:r>
    </w:p>
    <w:p>
      <w:pPr>
        <w:pStyle w:val="Compact"/>
        <w:numPr>
          <w:ilvl w:val="0"/>
          <w:numId w:val="1004"/>
        </w:numPr>
      </w:pPr>
      <w:r>
        <w:t xml:space="preserve">Local file/print server</w:t>
      </w:r>
    </w:p>
    <w:p>
      <w:pPr>
        <w:pStyle w:val="Compact"/>
        <w:numPr>
          <w:ilvl w:val="0"/>
          <w:numId w:val="1004"/>
        </w:numPr>
      </w:pPr>
      <w:r>
        <w:t xml:space="preserve">Active Directory / Entra ID hybrid join (if hybrid)</w:t>
      </w:r>
    </w:p>
    <w:p>
      <w:pPr>
        <w:pStyle w:val="Compact"/>
        <w:numPr>
          <w:ilvl w:val="0"/>
          <w:numId w:val="1004"/>
        </w:numPr>
      </w:pPr>
      <w:r>
        <w:t xml:space="preserve">PACS image archive (radiology — too large for cloud at hospital prices)</w:t>
      </w:r>
    </w:p>
    <w:p>
      <w:pPr>
        <w:pStyle w:val="Compact"/>
        <w:numPr>
          <w:ilvl w:val="0"/>
          <w:numId w:val="1004"/>
        </w:numPr>
      </w:pPr>
      <w:r>
        <w:t xml:space="preserve">Surveillance / NVR</w:t>
      </w:r>
    </w:p>
    <w:p>
      <w:pPr>
        <w:pStyle w:val="Compact"/>
        <w:numPr>
          <w:ilvl w:val="0"/>
          <w:numId w:val="1004"/>
        </w:numPr>
      </w:pPr>
      <w:r>
        <w:t xml:space="preserve">Backup target for tape/USB rotation</w:t>
      </w:r>
    </w:p>
    <w:p>
      <w:pPr>
        <w:pStyle w:val="Compact"/>
        <w:numPr>
          <w:ilvl w:val="0"/>
          <w:numId w:val="1004"/>
        </w:numPr>
      </w:pPr>
      <w:r>
        <w:t xml:space="preserve">Monitoring &amp; syslog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32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(₹)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(₹)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— file / domain / monitoring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Dell PowerEdge R450, Xeon Silver, 64GB RAM, 4× 1TB SSD RAID-10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— PACS / DICOM archive (Orthanc or dcm4chee)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Dell R650, Xeon Gold, 128GB RAM, 4× 4TB NVMe RAID-10 + 2× 8TB HDD for cold archive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 for backups + CCTV recording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Synology RS3621xs+ with 8× 16TB drives in RAID-6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rack + PDU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42U, redundant PDUs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— servers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21,00,000</w:t>
            </w:r>
          </w:p>
        </w:tc>
      </w:tr>
    </w:tbl>
    <w:bookmarkStart w:id="18" w:name="server-room-infrastructure"/>
    <w:p>
      <w:pPr>
        <w:pStyle w:val="Heading3"/>
      </w:pPr>
      <w:r>
        <w:t xml:space="preserve">Server room 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32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(₹)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(₹)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 air-conditioner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(N+1)</w:t>
            </w:r>
          </w:p>
        </w:tc>
        <w:tc>
          <w:tcPr/>
          <w:p>
            <w:pPr>
              <w:pStyle w:val="Compact"/>
            </w:pPr>
            <w:r>
              <w:t xml:space="preserve">7.5 kW each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 — server 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 kVA online, 30-min runtime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 — workstations (per floor)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 kVA each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Diesel generator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40 kVA standby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Fire-suppression (FM-200 / Novec 1230)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for server 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+ temperature sensors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set</w:t>
            </w:r>
          </w:p>
        </w:tc>
        <w:tc>
          <w:tcPr/>
          <w:p>
            <w:pPr>
              <w:pStyle w:val="Compact"/>
            </w:pPr>
            <w:r>
              <w:t xml:space="preserve">with SNMP alerting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— power &amp; environment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27,10,000</w:t>
            </w:r>
          </w:p>
        </w:tc>
      </w:tr>
    </w:tbl>
    <w:bookmarkEnd w:id="18"/>
    <w:bookmarkStart w:id="19" w:name="cloud-side-opex-managed-services-monthly"/>
    <w:p>
      <w:pPr>
        <w:pStyle w:val="Heading3"/>
      </w:pPr>
      <w:r>
        <w:t xml:space="preserve">Cloud-side opex (managed services, monthly)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Monthly (₹)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Pro (frontend + backend)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managed (Neon / RDS)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 + CDN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vault (immutable, off-site)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/ SMS gateway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opex 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1,70,000/month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20,40,000/year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telephony-paging"/>
    <w:p>
      <w:pPr>
        <w:pStyle w:val="Heading2"/>
      </w:pPr>
      <w:r>
        <w:t xml:space="preserve">4. Telephony &amp; paging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32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(₹)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(₹)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IP-PBX (cloud or on-prem)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3CX or Yeastar, 100 extensions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phones (desks)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Yealink T31G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Cordless DECT for clinicians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base + handset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Nurse-call / paging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 bed call buttons + master station, 200 beds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Public-address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covers OPD, lobby, common areas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31,40,000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X37e585981009394bbc4eeb648a2f5532a5334eb"/>
    <w:p>
      <w:pPr>
        <w:pStyle w:val="Heading2"/>
      </w:pPr>
      <w:r>
        <w:t xml:space="preserve">5. Clinical / biomedical — IT-integrated devices</w:t>
      </w:r>
    </w:p>
    <w:p>
      <w:pPr>
        <w:pStyle w:val="FirstParagraph"/>
      </w:pPr>
      <w:r>
        <w:t xml:space="preserve">Devices that push data into HospitalPro via HL7 / ASTM / vendor SDK. Quantities are minimums; expand based on patient volume.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32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Spec / 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(₹)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(₹)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Multi-parameter patient monitors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ICU + emergency, ECG/SpO2/NIBP/temp/EtCO2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Defibrillator (biphasic)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with monitor + AED mode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Ventilators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ICU-grade, multi-mode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1,44,00,000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Anaesthesia workstations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OT, integrated vapourizer + monitor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Infusion pumps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volumetric, network-connected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Syringe pumps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for ICU + NICU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Vital-signs monitors (ward)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spot-check, BP/SpO2/Temp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Blood-gas analyzer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networked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Glucometers (POC)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with cloud sync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— biomedical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4,29,30,000</w:t>
            </w:r>
          </w:p>
        </w:tc>
      </w:tr>
    </w:tbl>
    <w:bookmarkStart w:id="22" w:name="lab-analyzers-it-integrated"/>
    <w:p>
      <w:pPr>
        <w:pStyle w:val="Heading3"/>
      </w:pPr>
      <w:r>
        <w:t xml:space="preserve">Lab analyzers (IT-integrated)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32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(₹)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(₹)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Auto-haematology analyzer (5-part)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60 samples/hr, HL7 output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Auto-biochemistry analyzer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400 tests/hr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Auto-immunoassay analyzer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mid-volume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Urine analyzer (auto)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strip + sediment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Blood-coagulation analyzer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4-channel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ECG machine (12-lead, networked)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DICOM/HL7 export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— lab analyzers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1,05,20,000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5" w:name="imaging-hardware"/>
    <w:p>
      <w:pPr>
        <w:pStyle w:val="Heading2"/>
      </w:pPr>
      <w:r>
        <w:t xml:space="preserve">6. Imaging hardware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32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(₹)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(₹)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X-ray system (DR)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500-650 mA, ceiling-mounted, DICOM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1,80,00,000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X-ray (ward / 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digital, battery-operated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 scanner (16-slice)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with PACS integration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4,50,00,000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Ultrasound (high-end)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4D obstetric + general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Ultrasound (portable)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bedside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Mammography (optional, women’s hospital)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C-arm (OT)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mobile, image-intensifier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MRI (1.5T) — Phase-2 / optional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typically deferred to phase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— imaging (Phase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7,58,00,000</w:t>
            </w:r>
          </w:p>
        </w:tc>
      </w:tr>
    </w:tbl>
    <w:bookmarkStart w:id="24" w:name="imaging-it-integration"/>
    <w:p>
      <w:pPr>
        <w:pStyle w:val="Heading3"/>
      </w:pPr>
      <w:r>
        <w:t xml:space="preserve">Imaging IT integration</w:t>
      </w:r>
    </w:p>
    <w:p>
      <w:pPr>
        <w:pStyle w:val="Compact"/>
        <w:numPr>
          <w:ilvl w:val="0"/>
          <w:numId w:val="1005"/>
        </w:numPr>
      </w:pPr>
      <w:r>
        <w:t xml:space="preserve">All imaging devices export</w:t>
      </w:r>
      <w:r>
        <w:t xml:space="preserve"> </w:t>
      </w:r>
      <w:r>
        <w:rPr>
          <w:b/>
          <w:bCs/>
        </w:rPr>
        <w:t xml:space="preserve">DICOM</w:t>
      </w:r>
      <w:r>
        <w:t xml:space="preserve"> </w:t>
      </w:r>
      <w:r>
        <w:t xml:space="preserve">to the on-prem PACS server (Orthanc / dcm4chee).</w:t>
      </w:r>
    </w:p>
    <w:p>
      <w:pPr>
        <w:pStyle w:val="Compact"/>
        <w:numPr>
          <w:ilvl w:val="0"/>
          <w:numId w:val="1005"/>
        </w:numPr>
      </w:pPr>
      <w:r>
        <w:t xml:space="preserve">HospitalPro’s radiology module pulls study metadata via DICOMweb.</w:t>
      </w:r>
    </w:p>
    <w:p>
      <w:pPr>
        <w:pStyle w:val="Compact"/>
        <w:numPr>
          <w:ilvl w:val="0"/>
          <w:numId w:val="1005"/>
        </w:numPr>
      </w:pPr>
      <w:r>
        <w:t xml:space="preserve">Reports authored in HospitalPro’s Radiology page; PDF + DICOM-SR pushed back to PACS for archival.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int-scan-label"/>
    <w:p>
      <w:pPr>
        <w:pStyle w:val="Heading2"/>
      </w:pPr>
      <w:r>
        <w:t xml:space="preserve">7. Print, scan, label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32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(₹)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(₹)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laser printers (departmental)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Brother HL-L6400DW or HP 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MFD (scan + print + copy)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front office, MRD, billing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 thermal label printer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Zebra GK420t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specimen barcode printer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Zebra ZD420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wristband printer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Zebra HC100 healthcare-grade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Barcode scanners (handheld)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for pharmacy, lab, ward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scanner (high-volume MRD)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Fujitsu fi-7160 ADF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— print/scan/label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16,71,000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biometric-access-control"/>
    <w:p>
      <w:pPr>
        <w:pStyle w:val="Heading2"/>
      </w:pPr>
      <w:r>
        <w:t xml:space="preserve">8. Biometric &amp; access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32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(₹)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(₹)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Biometric attendance terminals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fingerprint + face, IP-connected, push to HospitalPro</w:t>
            </w:r>
            <w:r>
              <w:t xml:space="preserve"> </w:t>
            </w:r>
            <w:r>
              <w:rPr>
                <w:rStyle w:val="VerbatimChar"/>
              </w:rPr>
              <w:t xml:space="preserve">/api/biometric/punch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Access-control card readers (server room, pharmacy, MRD)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RFID + PIN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Door controllers + electric strikes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with battery backup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Visitor-management kiosk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tablet + ID scanner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4,72,000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urveillance"/>
    <w:p>
      <w:pPr>
        <w:pStyle w:val="Heading2"/>
      </w:pPr>
      <w:r>
        <w:t xml:space="preserve">9. Surveillance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32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(₹)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(₹)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cameras (entrances, lobby, ward corridors, pharmacy, OT external)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4MP IP, IR night vision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64-channel, 16TB storage (on the NAS)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Cabling + PoE (camera infrastructure included in LAN budget)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6,90,000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mobile-endpoint-accessories"/>
    <w:p>
      <w:pPr>
        <w:pStyle w:val="Heading2"/>
      </w:pPr>
      <w:r>
        <w:t xml:space="preserve">10. Mobile / endpoint accessories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32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(₹)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(₹)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 docks for ward iPads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wall-mounted with charging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Headsets for video consultation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USB stereo with 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Webcams (telemedicine)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Logitech C930e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coats with RFID tags (optional)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for asset tracking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screens (front-desk monitors)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22-24”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3,36,500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oftware-licenses-annual"/>
    <w:p>
      <w:pPr>
        <w:pStyle w:val="Heading2"/>
      </w:pPr>
      <w:r>
        <w:t xml:space="preserve">11. Software licenses (annual)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Annual unit (₹)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annual (₹)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365 Business Standard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17,28,000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Entra ID 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EDR (CrowdStrike / SentinelOne)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software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Antivirus / Defender server licenses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HospitalPro AMC (≈₹3.5L/mo from Standard tier proposal)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41,77,200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software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84,81,200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pares-consumables-annual"/>
    <w:p>
      <w:pPr>
        <w:pStyle w:val="Heading2"/>
      </w:pPr>
      <w:r>
        <w:t xml:space="preserve">12. Spares &amp; consumables (annual)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Annual budget (₹)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replacement reserve (10% of EUC)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 consumables (toner, paper, labels)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Cabling, accessories, small parts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17,65,000/year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summary-totals"/>
    <w:p>
      <w:pPr>
        <w:pStyle w:val="Heading2"/>
      </w:pPr>
      <w:r>
        <w:t xml:space="preserve">13. Summary totals</w:t>
      </w:r>
    </w:p>
    <w:bookmarkStart w:id="32" w:name="one-time-capex-at-hospital-launch"/>
    <w:p>
      <w:pPr>
        <w:pStyle w:val="Heading3"/>
      </w:pPr>
      <w:r>
        <w:t xml:space="preserve">One-time capex (at hospital launch)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 (lakhs)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End-user computing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— LAN + WiFi + Firewall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Servers + data-centre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&amp;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Telephony &amp; paging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Biomedical (IT-integrated)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429.30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analyzers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Imaging (Phase 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758.00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 / scan / label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Biometric &amp; access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Surveillance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/ endpoint accessories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Capex 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₹15,40,92,000</w:t>
            </w:r>
            <w:r>
              <w:t xml:space="preserve"> </w:t>
            </w:r>
            <w:r>
              <w:t xml:space="preserve">≈</w:t>
            </w:r>
            <w:r>
              <w:t xml:space="preserve"> </w:t>
            </w:r>
            <w:r>
              <w:rPr>
                <w:b/>
                <w:bCs/>
              </w:rPr>
              <w:t xml:space="preserve">₹15.4 crore</w:t>
            </w:r>
          </w:p>
        </w:tc>
      </w:tr>
    </w:tbl>
    <w:bookmarkEnd w:id="32"/>
    <w:bookmarkStart w:id="33" w:name="annual-opex"/>
    <w:p>
      <w:pPr>
        <w:pStyle w:val="Heading3"/>
      </w:pPr>
      <w:r>
        <w:t xml:space="preserve">Annual opex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 /year (lakhs)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 (internet)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services (Vercel + Postgres + storage + backup + SMS/email)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licences (M365 + Entra + EDR + AV + HospitalPro AMC)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Spares &amp; consumables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Opex 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₹1,27,54,000/year</w:t>
            </w:r>
            <w:r>
              <w:t xml:space="preserve"> </w:t>
            </w:r>
            <w:r>
              <w:t xml:space="preserve">≈</w:t>
            </w:r>
            <w:r>
              <w:t xml:space="preserve"> </w:t>
            </w:r>
            <w:r>
              <w:rPr>
                <w:b/>
                <w:bCs/>
              </w:rPr>
              <w:t xml:space="preserve">₹1.28 crore/year</w:t>
            </w:r>
          </w:p>
        </w:tc>
      </w:tr>
    </w:tbl>
    <w:bookmarkEnd w:id="33"/>
    <w:bookmarkStart w:id="34" w:name="phasing-recommendation"/>
    <w:p>
      <w:pPr>
        <w:pStyle w:val="Heading3"/>
      </w:pPr>
      <w:r>
        <w:t xml:space="preserve">Phasing recommendation</w:t>
      </w:r>
    </w:p>
    <w:p>
      <w:pPr>
        <w:pStyle w:val="FirstParagraph"/>
      </w:pPr>
      <w:r>
        <w:t xml:space="preserve">For cash-flow management, a</w:t>
      </w:r>
      <w:r>
        <w:t xml:space="preserve"> </w:t>
      </w:r>
      <w:r>
        <w:rPr>
          <w:b/>
          <w:bCs/>
        </w:rPr>
        <w:t xml:space="preserve">Phase 1 / Phase 2</w:t>
      </w:r>
      <w:r>
        <w:t xml:space="preserve"> </w:t>
      </w:r>
      <w:r>
        <w:t xml:space="preserve">split is typical:</w:t>
      </w:r>
    </w:p>
    <w:p>
      <w:pPr>
        <w:pStyle w:val="BodyText"/>
      </w:pPr>
      <w:r>
        <w:rPr>
          <w:b/>
          <w:bCs/>
        </w:rPr>
        <w:t xml:space="preserve">Phase 1 — Day 1 (must-have):</w:t>
      </w:r>
      <w:r>
        <w:t xml:space="preserve"> </w:t>
      </w:r>
      <w:r>
        <w:t xml:space="preserve">EUC, full network, server room minus PACS, telephony, biomedical for ICU + OT, lab analyzers,</w:t>
      </w:r>
      <w:r>
        <w:t xml:space="preserve"> </w:t>
      </w:r>
      <w:r>
        <w:rPr>
          <w:b/>
          <w:bCs/>
        </w:rPr>
        <w:t xml:space="preserve">digital X-ray + ultrasound</w:t>
      </w:r>
      <w:r>
        <w:t xml:space="preserve"> </w:t>
      </w:r>
      <w:r>
        <w:t xml:space="preserve">(defer CT to Phase 2), print/label, biometric, surveillance, all software.</w:t>
      </w:r>
      <w:r>
        <w:t xml:space="preserve"> </w:t>
      </w:r>
      <w:r>
        <w:rPr>
          <w:b/>
          <w:bCs/>
        </w:rPr>
        <w:t xml:space="preserve">Approx ₹9-10 crore capex.</w:t>
      </w:r>
    </w:p>
    <w:p>
      <w:pPr>
        <w:pStyle w:val="BodyText"/>
      </w:pPr>
      <w:r>
        <w:rPr>
          <w:b/>
          <w:bCs/>
        </w:rPr>
        <w:t xml:space="preserve">Phase 2 — Months 6-12:</w:t>
      </w:r>
      <w:r>
        <w:t xml:space="preserve"> </w:t>
      </w:r>
      <w:r>
        <w:t xml:space="preserve">CT scanner, MRI (if planned), expanded biomedical, advanced lab platforms.</w:t>
      </w:r>
      <w:r>
        <w:t xml:space="preserve"> </w:t>
      </w:r>
      <w:r>
        <w:rPr>
          <w:b/>
          <w:bCs/>
        </w:rPr>
        <w:t xml:space="preserve">Approx ₹5-6 crore capex.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vendor-brands-preferred-shortlist"/>
    <w:p>
      <w:pPr>
        <w:pStyle w:val="Heading2"/>
      </w:pPr>
      <w:r>
        <w:t xml:space="preserve">14. Vendor brands — preferred shortlist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Preferred (India market)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Dell, HP, Lenovo (commercial 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Medical-grade monitors</w:t>
            </w:r>
          </w:p>
        </w:tc>
        <w:tc>
          <w:tcPr/>
          <w:p>
            <w:pPr>
              <w:pStyle w:val="Compact"/>
            </w:pPr>
            <w:r>
              <w:t xml:space="preserve">Eizo, Barco, NEC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switches</w:t>
            </w:r>
          </w:p>
        </w:tc>
        <w:tc>
          <w:tcPr/>
          <w:p>
            <w:pPr>
              <w:pStyle w:val="Compact"/>
            </w:pPr>
            <w:r>
              <w:t xml:space="preserve">Cisco Catalyst / Meraki, Aruba CX, Ubiquiti UniFi (cost-sensitive)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</w:t>
            </w:r>
          </w:p>
        </w:tc>
        <w:tc>
          <w:tcPr/>
          <w:p>
            <w:pPr>
              <w:pStyle w:val="Compact"/>
            </w:pPr>
            <w:r>
              <w:t xml:space="preserve">Aruba, Ubiquiti UniFi, Cisco Meraki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Firewall</w:t>
            </w:r>
          </w:p>
        </w:tc>
        <w:tc>
          <w:tcPr/>
          <w:p>
            <w:pPr>
              <w:pStyle w:val="Compact"/>
            </w:pPr>
            <w:r>
              <w:t xml:space="preserve">Fortinet, Palo Alto, SonicWall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Servers</w:t>
            </w:r>
          </w:p>
        </w:tc>
        <w:tc>
          <w:tcPr/>
          <w:p>
            <w:pPr>
              <w:pStyle w:val="Compact"/>
            </w:pPr>
            <w:r>
              <w:t xml:space="preserve">Dell PowerEdge, HPE ProLiant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/ NAS</w:t>
            </w:r>
          </w:p>
        </w:tc>
        <w:tc>
          <w:tcPr/>
          <w:p>
            <w:pPr>
              <w:pStyle w:val="Compact"/>
            </w:pPr>
            <w:r>
              <w:t xml:space="preserve">Synology, QNAP, Dell PowerStore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</w:t>
            </w:r>
          </w:p>
        </w:tc>
        <w:tc>
          <w:tcPr/>
          <w:p>
            <w:pPr>
              <w:pStyle w:val="Compact"/>
            </w:pPr>
            <w:r>
              <w:t xml:space="preserve">APC, Schneider, Eaton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monitors</w:t>
            </w:r>
          </w:p>
        </w:tc>
        <w:tc>
          <w:tcPr/>
          <w:p>
            <w:pPr>
              <w:pStyle w:val="Compact"/>
            </w:pPr>
            <w:r>
              <w:t xml:space="preserve">Mindray, Philips, GE Healthcare, Welch Allyn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Ventilators</w:t>
            </w:r>
          </w:p>
        </w:tc>
        <w:tc>
          <w:tcPr/>
          <w:p>
            <w:pPr>
              <w:pStyle w:val="Compact"/>
            </w:pPr>
            <w:r>
              <w:t xml:space="preserve">Mindray, Maquet, Hamilton, Drager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Ultrasound</w:t>
            </w:r>
          </w:p>
        </w:tc>
        <w:tc>
          <w:tcPr/>
          <w:p>
            <w:pPr>
              <w:pStyle w:val="Compact"/>
            </w:pPr>
            <w:r>
              <w:t xml:space="preserve">Mindray, GE, Philips, Samsung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 / X-ray</w:t>
            </w:r>
          </w:p>
        </w:tc>
        <w:tc>
          <w:tcPr/>
          <w:p>
            <w:pPr>
              <w:pStyle w:val="Compact"/>
            </w:pPr>
            <w:r>
              <w:t xml:space="preserve">Siemens, GE, Philips, Mindray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Printers</w:t>
            </w:r>
          </w:p>
        </w:tc>
        <w:tc>
          <w:tcPr/>
          <w:p>
            <w:pPr>
              <w:pStyle w:val="Compact"/>
            </w:pPr>
            <w:r>
              <w:t xml:space="preserve">Brother, HP, Zebra (label)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Biometric</w:t>
            </w:r>
          </w:p>
        </w:tc>
        <w:tc>
          <w:tcPr/>
          <w:p>
            <w:pPr>
              <w:pStyle w:val="Compact"/>
            </w:pPr>
            <w:r>
              <w:t xml:space="preserve">Realtime, Matrix Comsec, Suprema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CCTV</w:t>
            </w:r>
          </w:p>
        </w:tc>
        <w:tc>
          <w:tcPr/>
          <w:p>
            <w:pPr>
              <w:pStyle w:val="Compact"/>
            </w:pPr>
            <w:r>
              <w:t xml:space="preserve">Hikvision, Dahua, Axis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EDR</w:t>
            </w:r>
          </w:p>
        </w:tc>
        <w:tc>
          <w:tcPr/>
          <w:p>
            <w:pPr>
              <w:pStyle w:val="Compact"/>
            </w:pPr>
            <w:r>
              <w:t xml:space="preserve">CrowdStrike, SentinelOne, Microsoft Defender for Business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acceptance-criteria-for-procurement"/>
    <w:p>
      <w:pPr>
        <w:pStyle w:val="Heading2"/>
      </w:pPr>
      <w:r>
        <w:t xml:space="preserve">15. Acceptance criteria for procurement</w:t>
      </w:r>
    </w:p>
    <w:p>
      <w:pPr>
        <w:pStyle w:val="FirstParagraph"/>
      </w:pPr>
      <w:r>
        <w:t xml:space="preserve">For each line item, RFP / RFQ should include:</w:t>
      </w:r>
    </w:p>
    <w:p>
      <w:pPr>
        <w:pStyle w:val="Compact"/>
        <w:numPr>
          <w:ilvl w:val="0"/>
          <w:numId w:val="1006"/>
        </w:numPr>
      </w:pPr>
      <w:r>
        <w:t xml:space="preserve">3-year warranty (5-year for high-value imaging)</w:t>
      </w:r>
    </w:p>
    <w:p>
      <w:pPr>
        <w:pStyle w:val="Compact"/>
        <w:numPr>
          <w:ilvl w:val="0"/>
          <w:numId w:val="1006"/>
        </w:numPr>
      </w:pPr>
      <w:r>
        <w:t xml:space="preserve">Onsite support SLA (4-hour for biomedical critical, 24-hour for IT)</w:t>
      </w:r>
    </w:p>
    <w:p>
      <w:pPr>
        <w:pStyle w:val="Compact"/>
        <w:numPr>
          <w:ilvl w:val="0"/>
          <w:numId w:val="1006"/>
        </w:numPr>
      </w:pPr>
      <w:r>
        <w:t xml:space="preserve">AMC + spare-parts supply commitment</w:t>
      </w:r>
    </w:p>
    <w:p>
      <w:pPr>
        <w:pStyle w:val="Compact"/>
        <w:numPr>
          <w:ilvl w:val="0"/>
          <w:numId w:val="1006"/>
        </w:numPr>
      </w:pPr>
      <w:r>
        <w:t xml:space="preserve">Training for IT and clinical staff</w:t>
      </w:r>
    </w:p>
    <w:p>
      <w:pPr>
        <w:pStyle w:val="Compact"/>
        <w:numPr>
          <w:ilvl w:val="0"/>
          <w:numId w:val="1006"/>
        </w:numPr>
      </w:pPr>
      <w:r>
        <w:t xml:space="preserve">DICOM / HL7 / ASTM compliance certificate (for IT-integrated devices)</w:t>
      </w:r>
    </w:p>
    <w:p>
      <w:pPr>
        <w:pStyle w:val="Compact"/>
        <w:numPr>
          <w:ilvl w:val="0"/>
          <w:numId w:val="1006"/>
        </w:numPr>
      </w:pPr>
      <w:r>
        <w:t xml:space="preserve">Regulatory approvals (CE, FDA, CDSCO for biomedical)</w:t>
      </w:r>
    </w:p>
    <w:p>
      <w:pPr>
        <w:pStyle w:val="Compact"/>
        <w:numPr>
          <w:ilvl w:val="0"/>
          <w:numId w:val="1006"/>
        </w:numPr>
      </w:pPr>
      <w:r>
        <w:t xml:space="preserve">DPDP Act 2023 data-handling addendum (where applicable)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Pricing is indicative for India procurement as of May 2026. Actual quotes vary by brand, region, and negotiation. Use this as a budgetary baseline; refresh quotes 60 days before procurement.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200-Bed Hospital — Equipment &amp; Hardware Requirements</dc:title>
  <dc:creator/>
  <cp:keywords/>
  <dcterms:created xsi:type="dcterms:W3CDTF">2026-05-08T07:24:39Z</dcterms:created>
  <dcterms:modified xsi:type="dcterms:W3CDTF">2026-05-08T07:24:39Z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Hospital admin, CFO, IT procurement, infrastructure consultants</vt:lpwstr>
  </property>
  <property fmtid="{D5CDD505-2E9C-101B-9397-08002B2CF9AE}" pid="3" name="date">
    <vt:lpwstr>May 2026</vt:lpwstr>
  </property>
  <property fmtid="{D5CDD505-2E9C-101B-9397-08002B2CF9AE}" pid="4" name="subtitle">
    <vt:lpwstr>Complete IT + clinical-IT inventory for HospitalPro deployment</vt:lpwstr>
  </property>
  <property fmtid="{D5CDD505-2E9C-101B-9397-08002B2CF9AE}" pid="5" name="version">
    <vt:lpwstr>1.0</vt:lpwstr>
  </property>
</Properties>
</file>