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Managed IT Services — Team Summary &amp; KRAs</w:t>
      </w:r>
    </w:p>
    <w:p>
      <w:pPr>
        <w:pStyle w:val="Subtitle"/>
      </w:pPr>
      <w:r>
        <w:t xml:space="preserve">Companion document to the Managed IT Services Proposal</w:t>
      </w:r>
    </w:p>
    <w:p>
      <w:pPr>
        <w:pStyle w:val="Date"/>
      </w:pPr>
      <w:r>
        <w:t xml:space="preserve">May 2026</w:t>
      </w:r>
    </w:p>
    <w:bookmarkStart w:id="26" w:name="managed-it-services-team-summary-kras"/>
    <w:p>
      <w:pPr>
        <w:pStyle w:val="Heading1"/>
      </w:pPr>
      <w:r>
        <w:t xml:space="preserve">Managed IT Services — Team Summary &amp; KRAs</w:t>
      </w:r>
    </w:p>
    <w:p>
      <w:pPr>
        <w:pStyle w:val="FirstParagraph"/>
      </w:pPr>
      <w:r>
        <w:rPr>
          <w:b/>
          <w:bCs/>
        </w:rPr>
        <w:t xml:space="preserve">Companion document to the Managed IT Services Proposal</w:t>
      </w:r>
    </w:p>
    <w:p>
      <w:pPr>
        <w:pStyle w:val="BodyText"/>
      </w:pPr>
      <w:r>
        <w:rPr>
          <w:b/>
          <w:bCs/>
        </w:rPr>
        <w:t xml:space="preserve">Client:</w:t>
      </w:r>
      <w:r>
        <w:t xml:space="preserve"> </w:t>
      </w:r>
      <w:r>
        <w:t xml:space="preserve">Busitema Referral Hospital (150 employees)</w:t>
      </w:r>
      <w:r>
        <w:t xml:space="preserve"> </w:t>
      </w:r>
      <w:r>
        <w:rPr>
          <w:b/>
          <w:bCs/>
        </w:rPr>
        <w:t xml:space="preserve">Engagement:</w:t>
      </w:r>
      <w:r>
        <w:t xml:space="preserve"> </w:t>
      </w:r>
      <w:r>
        <w:t xml:space="preserve">Standard Managed IT Tier — full IT outsourcing</w:t>
      </w:r>
      <w:r>
        <w:t xml:space="preserve"> </w:t>
      </w:r>
      <w:r>
        <w:rPr>
          <w:b/>
          <w:bCs/>
        </w:rPr>
        <w:t xml:space="preserve">Updated:</w:t>
      </w:r>
      <w:r>
        <w:t xml:space="preserve"> </w:t>
      </w:r>
      <w:r>
        <w:t xml:space="preserve">Dedicated DevOps engineer added (previously 30% shared, now 100% allocated)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Under the Managed IT Services Agreement,</w:t>
      </w:r>
      <w:r>
        <w:t xml:space="preserve"> </w:t>
      </w:r>
      <w:r>
        <w:rPr>
          <w:b/>
          <w:bCs/>
        </w:rPr>
        <w:t xml:space="preserve">[Your Company Name]</w:t>
      </w:r>
      <w:r>
        <w:t xml:space="preserve"> </w:t>
      </w:r>
      <w:r>
        <w:t xml:space="preserve">assumes single-vendor accountability for the hospital’s complete IT estate — endpoints, network, servers, cloud applications, identity management, security, and helpdesk. The hospital deals with one team and one invoice instead of coordinating across multiple specialty vendors.</w:t>
      </w:r>
    </w:p>
    <w:p>
      <w:pPr>
        <w:pStyle w:val="BodyText"/>
      </w:pPr>
      <w:r>
        <w:t xml:space="preserve">The engagement is delivered by an</w:t>
      </w:r>
      <w:r>
        <w:t xml:space="preserve"> </w:t>
      </w:r>
      <w:r>
        <w:rPr>
          <w:b/>
          <w:bCs/>
        </w:rPr>
        <w:t xml:space="preserve">11-person team</w:t>
      </w:r>
      <w:r>
        <w:t xml:space="preserve"> </w:t>
      </w:r>
      <w:r>
        <w:t xml:space="preserve">(5 dedicated, 6 shared) totalling approximately</w:t>
      </w:r>
      <w:r>
        <w:t xml:space="preserve"> </w:t>
      </w:r>
      <w:r>
        <w:rPr>
          <w:b/>
          <w:bCs/>
        </w:rPr>
        <w:t xml:space="preserve">7.3 effective full-time equivalents (FTE)</w:t>
      </w:r>
      <w:r>
        <w:t xml:space="preserve"> </w:t>
      </w:r>
      <w:r>
        <w:t xml:space="preserve">allocated to the hospital. The team blends an onsite presence for clinical-area white-glove support with remote specialists for L2/L3 escalations, security operations, and engineering leadership.</w:t>
      </w:r>
    </w:p>
    <w:p>
      <w:pPr>
        <w:pStyle w:val="BodyText"/>
      </w:pPr>
      <w:r>
        <w:rPr>
          <w:b/>
          <w:bCs/>
        </w:rPr>
        <w:t xml:space="preserve">Headline numbers: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Total bodies on this account</w:t>
            </w:r>
          </w:p>
        </w:tc>
        <w:tc>
          <w:tcPr/>
          <w:p>
            <w:pPr>
              <w:pStyle w:val="Compact"/>
            </w:pPr>
            <w:r>
              <w:t xml:space="preserve">11 people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FTE allocated</w:t>
            </w:r>
          </w:p>
        </w:tc>
        <w:tc>
          <w:tcPr/>
          <w:p>
            <w:pPr>
              <w:pStyle w:val="Compact"/>
            </w:pPr>
            <w:r>
              <w:t xml:space="preserve">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Allocated salary cost (loaded CTC) /month</w:t>
            </w:r>
          </w:p>
        </w:tc>
        <w:tc>
          <w:tcPr/>
          <w:p>
            <w:pPr>
              <w:pStyle w:val="Compact"/>
            </w:pPr>
            <w:r>
              <w:t xml:space="preserve">₹6,18,000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Tools, operations, compliance /month</w:t>
            </w:r>
          </w:p>
        </w:tc>
        <w:tc>
          <w:tcPr/>
          <w:p>
            <w:pPr>
              <w:pStyle w:val="Compact"/>
            </w:pPr>
            <w:r>
              <w:t xml:space="preserve">₹1,49,000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cost /month</w:t>
            </w:r>
          </w:p>
        </w:tc>
        <w:tc>
          <w:tcPr/>
          <w:p>
            <w:pPr>
              <w:pStyle w:val="Compact"/>
            </w:pPr>
            <w:r>
              <w:t xml:space="preserve">₹7,67,000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 (≈ 42%)</w:t>
            </w:r>
          </w:p>
        </w:tc>
        <w:tc>
          <w:tcPr/>
          <w:p>
            <w:pPr>
              <w:pStyle w:val="Compact"/>
            </w:pPr>
            <w:r>
              <w:t xml:space="preserve">₹3,23,000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Managed services fee /month (excl. GST)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₹10,90,000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Managed services fee /month (incl. 18% GST)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₹12,86,200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Pass-through (M365, Entra, EDR, internet) — at vendor cost</w:t>
            </w:r>
          </w:p>
        </w:tc>
        <w:tc>
          <w:tcPr/>
          <w:p>
            <w:pPr>
              <w:pStyle w:val="Compact"/>
            </w:pPr>
            <w:r>
              <w:t xml:space="preserve">~₹4,01,000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monthly run-rate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~₹16,87,000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contract value (estimated)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~₹2.02 crore</w:t>
            </w:r>
          </w:p>
        </w:tc>
      </w:tr>
    </w:tbl>
    <w:p>
      <w:pPr>
        <w:pStyle w:val="BlockText"/>
      </w:pPr>
      <w:r>
        <w:t xml:space="preserve">The DevOps engineer being upgraded from shared (0.3 FTE) to dedicated (1.0 FTE) increases the managed-services fee by approximately ₹1.15 lakh per month — fully transparent in the cost build-up below.</w:t>
      </w:r>
    </w:p>
    <w:p>
      <w:r>
        <w:pict>
          <v:rect style="width:0;height:1.5pt" o:hralign="center" o:hrstd="t" o:hr="t"/>
        </w:pict>
      </w:r>
    </w:p>
    <w:bookmarkEnd w:id="9"/>
    <w:bookmarkStart w:id="14" w:name="team-list"/>
    <w:p>
      <w:pPr>
        <w:pStyle w:val="Heading2"/>
      </w:pPr>
      <w:r>
        <w:t xml:space="preserve">2. Team list</w:t>
      </w:r>
    </w:p>
    <w:bookmarkStart w:id="10" w:name="X6fe0d4b91898b6a1c88a3881cfcf908916bd440"/>
    <w:p>
      <w:pPr>
        <w:pStyle w:val="Heading3"/>
      </w:pPr>
      <w:r>
        <w:t xml:space="preserve">2.1 Dedicated team (100% allocated to this engagement)</w:t>
      </w:r>
    </w:p>
    <w:p>
      <w:pPr>
        <w:pStyle w:val="FirstParagraph"/>
      </w:pPr>
      <w:r>
        <w:t xml:space="preserve">These 5 people work exclusively for Busitema Referral Hospital. Four are physically onsite during operating hours; the DevOps engineer works remotely with periodic onsite presence for major changes and DR drills.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"/>
        <w:gridCol w:w="1009"/>
        <w:gridCol w:w="854"/>
        <w:gridCol w:w="1320"/>
        <w:gridCol w:w="1630"/>
        <w:gridCol w:w="1475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Designation</w:t>
            </w:r>
          </w:p>
        </w:tc>
        <w:tc>
          <w:tcPr/>
          <w:p>
            <w:pPr>
              <w:pStyle w:val="Compact"/>
            </w:pPr>
            <w:r>
              <w:t xml:space="preserve">Headcount</w:t>
            </w:r>
          </w:p>
        </w:tc>
        <w:tc>
          <w:tcPr/>
          <w:p>
            <w:pPr>
              <w:pStyle w:val="Compact"/>
            </w:pPr>
            <w:r>
              <w:t xml:space="preserve">In-hand /mo (₹)</w:t>
            </w:r>
          </w:p>
        </w:tc>
        <w:tc>
          <w:tcPr/>
          <w:p>
            <w:pPr>
              <w:pStyle w:val="Compact"/>
            </w:pPr>
            <w:r>
              <w:t xml:space="preserve">Loaded CTC /mo (₹)</w:t>
            </w:r>
          </w:p>
        </w:tc>
        <w:tc>
          <w:tcPr/>
          <w:p>
            <w:pPr>
              <w:pStyle w:val="Compact"/>
            </w:pPr>
            <w:r>
              <w:t xml:space="preserve">Allocated /mo (₹)</w:t>
            </w:r>
          </w:p>
        </w:tc>
        <w:tc>
          <w:tcPr/>
          <w:p>
            <w:pPr>
              <w:pStyle w:val="Compact"/>
            </w:pPr>
            <w:r>
              <w:t xml:space="preserve">Onsite / Remote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IT Site Manager / SPOC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1,00,000</w:t>
            </w:r>
          </w:p>
        </w:tc>
        <w:tc>
          <w:tcPr/>
          <w:p>
            <w:pPr>
              <w:pStyle w:val="Compact"/>
            </w:pPr>
            <w:r>
              <w:t xml:space="preserve">1,40,000</w:t>
            </w:r>
          </w:p>
        </w:tc>
        <w:tc>
          <w:tcPr/>
          <w:p>
            <w:pPr>
              <w:pStyle w:val="Compact"/>
            </w:pPr>
            <w:r>
              <w:t xml:space="preserve">1,40,000</w:t>
            </w:r>
          </w:p>
        </w:tc>
        <w:tc>
          <w:tcPr/>
          <w:p>
            <w:pPr>
              <w:pStyle w:val="Compact"/>
            </w:pPr>
            <w:r>
              <w:t xml:space="preserve">Onsite, Mon–Sat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L1 Helpdesk Engineer — Shift A (9 AM – 3 PM)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32,000</w:t>
            </w:r>
          </w:p>
        </w:tc>
        <w:tc>
          <w:tcPr/>
          <w:p>
            <w:pPr>
              <w:pStyle w:val="Compact"/>
            </w:pPr>
            <w:r>
              <w:t xml:space="preserve">46,000</w:t>
            </w:r>
          </w:p>
        </w:tc>
        <w:tc>
          <w:tcPr/>
          <w:p>
            <w:pPr>
              <w:pStyle w:val="Compact"/>
            </w:pPr>
            <w:r>
              <w:t xml:space="preserve">46,000</w:t>
            </w:r>
          </w:p>
        </w:tc>
        <w:tc>
          <w:tcPr/>
          <w:p>
            <w:pPr>
              <w:pStyle w:val="Compact"/>
            </w:pPr>
            <w:r>
              <w:t xml:space="preserve">Onsite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L1 Helpdesk Engineer — Shift B (3 PM – 9 PM)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32,000</w:t>
            </w:r>
          </w:p>
        </w:tc>
        <w:tc>
          <w:tcPr/>
          <w:p>
            <w:pPr>
              <w:pStyle w:val="Compact"/>
            </w:pPr>
            <w:r>
              <w:t xml:space="preserve">46,000</w:t>
            </w:r>
          </w:p>
        </w:tc>
        <w:tc>
          <w:tcPr/>
          <w:p>
            <w:pPr>
              <w:pStyle w:val="Compact"/>
            </w:pPr>
            <w:r>
              <w:t xml:space="preserve">46,000</w:t>
            </w:r>
          </w:p>
        </w:tc>
        <w:tc>
          <w:tcPr/>
          <w:p>
            <w:pPr>
              <w:pStyle w:val="Compact"/>
            </w:pPr>
            <w:r>
              <w:t xml:space="preserve">Onsite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L1 Helpdesk Engineer — Rotation/Backup (50% on this account)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32,000</w:t>
            </w:r>
          </w:p>
        </w:tc>
        <w:tc>
          <w:tcPr/>
          <w:p>
            <w:pPr>
              <w:pStyle w:val="Compact"/>
            </w:pPr>
            <w:r>
              <w:t xml:space="preserve">46,000</w:t>
            </w:r>
          </w:p>
        </w:tc>
        <w:tc>
          <w:tcPr/>
          <w:p>
            <w:pPr>
              <w:pStyle w:val="Compact"/>
            </w:pPr>
            <w:r>
              <w:t xml:space="preserve">23,000</w:t>
            </w:r>
          </w:p>
        </w:tc>
        <w:tc>
          <w:tcPr/>
          <w:p>
            <w:pPr>
              <w:pStyle w:val="Compact"/>
            </w:pPr>
            <w:r>
              <w:t xml:space="preserve">Onsite, rotation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/ DevOps Engineer (newly dedicated)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85,000</w:t>
            </w:r>
          </w:p>
        </w:tc>
        <w:tc>
          <w:tcPr/>
          <w:p>
            <w:pPr>
              <w:pStyle w:val="Compact"/>
            </w:pPr>
            <w:r>
              <w:t xml:space="preserve">1,17,000</w:t>
            </w:r>
          </w:p>
        </w:tc>
        <w:tc>
          <w:tcPr/>
          <w:p>
            <w:pPr>
              <w:pStyle w:val="Compact"/>
            </w:pPr>
            <w:r>
              <w:t xml:space="preserve">1,17,000</w:t>
            </w:r>
          </w:p>
        </w:tc>
        <w:tc>
          <w:tcPr/>
          <w:p>
            <w:pPr>
              <w:pStyle w:val="Compact"/>
            </w:pPr>
            <w:r>
              <w:t xml:space="preserve">Remote + onsite for major changes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— dedicated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people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₹3,72,000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1" w:name="shared-team-allocated-by-fte-percentage"/>
    <w:p>
      <w:pPr>
        <w:pStyle w:val="Heading3"/>
      </w:pPr>
      <w:r>
        <w:t xml:space="preserve">2.2 Shared team (allocated by FTE percentage)</w:t>
      </w:r>
    </w:p>
    <w:p>
      <w:pPr>
        <w:pStyle w:val="FirstParagraph"/>
      </w:pPr>
      <w:r>
        <w:t xml:space="preserve">These 6 people are shared across multiple clients. Allocated cost = fully-loaded CTC × allocation %.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"/>
        <w:gridCol w:w="1271"/>
        <w:gridCol w:w="1075"/>
        <w:gridCol w:w="2053"/>
        <w:gridCol w:w="1368"/>
        <w:gridCol w:w="18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Designation</w:t>
            </w:r>
          </w:p>
        </w:tc>
        <w:tc>
          <w:tcPr/>
          <w:p>
            <w:pPr>
              <w:pStyle w:val="Compact"/>
            </w:pPr>
            <w:r>
              <w:t xml:space="preserve">Headcount</w:t>
            </w:r>
          </w:p>
        </w:tc>
        <w:tc>
          <w:tcPr/>
          <w:p>
            <w:pPr>
              <w:pStyle w:val="Compact"/>
            </w:pPr>
            <w:r>
              <w:t xml:space="preserve">Loaded CTC /mo (₹)</w:t>
            </w:r>
          </w:p>
        </w:tc>
        <w:tc>
          <w:tcPr/>
          <w:p>
            <w:pPr>
              <w:pStyle w:val="Compact"/>
            </w:pPr>
            <w:r>
              <w:t xml:space="preserve">Allocation %</w:t>
            </w:r>
          </w:p>
        </w:tc>
        <w:tc>
          <w:tcPr/>
          <w:p>
            <w:pPr>
              <w:pStyle w:val="Compact"/>
            </w:pPr>
            <w:r>
              <w:t xml:space="preserve">Allocated /mo (₹)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Network &amp; Systems Engineer (L2)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1,30,000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91,000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HospitalPro Application Support Engineer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1,40,000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70,000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Security Analyst (24×7 SOC)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1,40,000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42,000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Account Manager / Service Delivery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1,40,000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28,000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Engineering Lead (L3/L4 escalation)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1,50,000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15,000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— shared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people</w:t>
            </w:r>
            <w:r>
              <w:t xml:space="preserve"> </w:t>
            </w:r>
            <w:r>
              <w:t xml:space="preserve">(cumulative ~1.8 FTE)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₹2,46,000</w:t>
            </w:r>
          </w:p>
        </w:tc>
      </w:tr>
    </w:tbl>
    <w:bookmarkEnd w:id="11"/>
    <w:bookmarkStart w:id="12" w:name="headcount-totals"/>
    <w:p>
      <w:pPr>
        <w:pStyle w:val="Heading3"/>
      </w:pPr>
      <w:r>
        <w:t xml:space="preserve">2.3 Headcount totals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Unique bodies on this account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 people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FTE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allocated salary /month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₹6,18,000</w:t>
            </w:r>
          </w:p>
        </w:tc>
      </w:tr>
    </w:tbl>
    <w:bookmarkEnd w:id="12"/>
    <w:bookmarkStart w:id="13" w:name="coverage-windows"/>
    <w:p>
      <w:pPr>
        <w:pStyle w:val="Heading3"/>
      </w:pPr>
      <w:r>
        <w:t xml:space="preserve">2.4 Coverage windows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6"/>
        <w:gridCol w:w="1452"/>
        <w:gridCol w:w="1848"/>
        <w:gridCol w:w="1848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 window</w:t>
            </w:r>
          </w:p>
        </w:tc>
        <w:tc>
          <w:tcPr/>
          <w:p>
            <w:pPr>
              <w:pStyle w:val="Compact"/>
            </w:pPr>
            <w:r>
              <w:t xml:space="preserve">Onsite L1</w:t>
            </w:r>
          </w:p>
        </w:tc>
        <w:tc>
          <w:tcPr/>
          <w:p>
            <w:pPr>
              <w:pStyle w:val="Compact"/>
            </w:pPr>
            <w:r>
              <w:t xml:space="preserve">Remote L2/L3</w:t>
            </w:r>
          </w:p>
        </w:tc>
        <w:tc>
          <w:tcPr/>
          <w:p>
            <w:pPr>
              <w:pStyle w:val="Compact"/>
            </w:pPr>
            <w:r>
              <w:t xml:space="preserve">Site Manager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Mon–Sat 9 AM – 9 PM</w:t>
            </w:r>
          </w:p>
        </w:tc>
        <w:tc>
          <w:tcPr/>
          <w:p>
            <w:pPr>
              <w:pStyle w:val="Compact"/>
            </w:pPr>
            <w:r>
              <w:t xml:space="preserve">✅ 2 in shifts</w:t>
            </w:r>
          </w:p>
        </w:tc>
        <w:tc>
          <w:tcPr/>
          <w:p>
            <w:pPr>
              <w:pStyle w:val="Compact"/>
            </w:pPr>
            <w:r>
              <w:t xml:space="preserve">✅ Available</w:t>
            </w:r>
          </w:p>
        </w:tc>
        <w:tc>
          <w:tcPr/>
          <w:p>
            <w:pPr>
              <w:pStyle w:val="Compact"/>
            </w:pPr>
            <w:r>
              <w:t xml:space="preserve">✅ Mon–Sat 9–6</w:t>
            </w:r>
          </w:p>
        </w:tc>
        <w:tc>
          <w:tcPr/>
          <w:p>
            <w:pPr>
              <w:pStyle w:val="Compact"/>
            </w:pPr>
            <w:r>
              <w:t xml:space="preserve">✅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Mon–Sat 9 PM – 9 AM</w:t>
            </w:r>
          </w:p>
        </w:tc>
        <w:tc>
          <w:tcPr/>
          <w:p>
            <w:pPr>
              <w:pStyle w:val="Compact"/>
            </w:pPr>
            <w:r>
              <w:t xml:space="preserve">On-call, 1-hr ETA</w:t>
            </w:r>
          </w:p>
        </w:tc>
        <w:tc>
          <w:tcPr/>
          <w:p>
            <w:pPr>
              <w:pStyle w:val="Compact"/>
            </w:pPr>
            <w:r>
              <w:t xml:space="preserve">✅ 24×7 SOC</w:t>
            </w:r>
          </w:p>
        </w:tc>
        <w:tc>
          <w:tcPr/>
          <w:p>
            <w:pPr>
              <w:pStyle w:val="Compact"/>
            </w:pPr>
            <w:r>
              <w:t xml:space="preserve">On-call escalation</w:t>
            </w:r>
          </w:p>
        </w:tc>
        <w:tc>
          <w:tcPr/>
          <w:p>
            <w:pPr>
              <w:pStyle w:val="Compact"/>
            </w:pPr>
            <w:r>
              <w:t xml:space="preserve">On-call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Sunday</w:t>
            </w:r>
          </w:p>
        </w:tc>
        <w:tc>
          <w:tcPr/>
          <w:p>
            <w:pPr>
              <w:pStyle w:val="Compact"/>
            </w:pPr>
            <w:r>
              <w:t xml:space="preserve">On-call, 1-hr ETA</w:t>
            </w:r>
          </w:p>
        </w:tc>
        <w:tc>
          <w:tcPr/>
          <w:p>
            <w:pPr>
              <w:pStyle w:val="Compact"/>
            </w:pPr>
            <w:r>
              <w:t xml:space="preserve">✅ Available</w:t>
            </w:r>
          </w:p>
        </w:tc>
        <w:tc>
          <w:tcPr/>
          <w:p>
            <w:pPr>
              <w:pStyle w:val="Compact"/>
            </w:pPr>
            <w:r>
              <w:t xml:space="preserve">On-call escalation</w:t>
            </w:r>
          </w:p>
        </w:tc>
        <w:tc>
          <w:tcPr/>
          <w:p>
            <w:pPr>
              <w:pStyle w:val="Compact"/>
            </w:pPr>
            <w:r>
              <w:t xml:space="preserve">On-call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holidays</w:t>
            </w:r>
          </w:p>
        </w:tc>
        <w:tc>
          <w:tcPr/>
          <w:p>
            <w:pPr>
              <w:pStyle w:val="Compact"/>
            </w:pPr>
            <w:r>
              <w:t xml:space="preserve">On-call, 1-hr ETA</w:t>
            </w:r>
          </w:p>
        </w:tc>
        <w:tc>
          <w:tcPr/>
          <w:p>
            <w:pPr>
              <w:pStyle w:val="Compact"/>
            </w:pPr>
            <w:r>
              <w:t xml:space="preserve">✅ Available</w:t>
            </w:r>
          </w:p>
        </w:tc>
        <w:tc>
          <w:tcPr/>
          <w:p>
            <w:pPr>
              <w:pStyle w:val="Compact"/>
            </w:pPr>
            <w:r>
              <w:t xml:space="preserve">On-call escalation</w:t>
            </w:r>
          </w:p>
        </w:tc>
        <w:tc>
          <w:tcPr/>
          <w:p>
            <w:pPr>
              <w:pStyle w:val="Compact"/>
            </w:pPr>
            <w:r>
              <w:t xml:space="preserve">On-call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23" w:name="key-result-areas-kras-by-role"/>
    <w:p>
      <w:pPr>
        <w:pStyle w:val="Heading2"/>
      </w:pPr>
      <w:r>
        <w:t xml:space="preserve">3. Key Result Areas (KRAs) by role</w:t>
      </w:r>
    </w:p>
    <w:p>
      <w:pPr>
        <w:pStyle w:val="FirstParagraph"/>
      </w:pPr>
      <w:r>
        <w:t xml:space="preserve">KRAs are measurable outcomes used to evaluate each role’s performance. They feed directly into the SLA matrix the client sees and the internal monthly performance review.</w:t>
      </w:r>
    </w:p>
    <w:bookmarkStart w:id="15" w:name="it-site-manager-spoc"/>
    <w:p>
      <w:pPr>
        <w:pStyle w:val="Heading3"/>
      </w:pPr>
      <w:r>
        <w:t xml:space="preserve">3.1 IT Site Manager / SPOC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2436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KRA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 service uptime across all hospital IT services</w:t>
            </w:r>
          </w:p>
        </w:tc>
        <w:tc>
          <w:tcPr/>
          <w:p>
            <w:pPr>
              <w:pStyle w:val="Compact"/>
            </w:pPr>
            <w:r>
              <w:t xml:space="preserve">≥ 99.5% monthly</w:t>
            </w:r>
          </w:p>
        </w:tc>
        <w:tc>
          <w:tcPr/>
          <w:p>
            <w:pPr>
              <w:pStyle w:val="Compact"/>
            </w:pPr>
            <w:r>
              <w:t xml:space="preserve">Composite uptime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 compliance across all severity levels</w:t>
            </w:r>
          </w:p>
        </w:tc>
        <w:tc>
          <w:tcPr/>
          <w:p>
            <w:pPr>
              <w:pStyle w:val="Compact"/>
            </w:pPr>
            <w:r>
              <w:t xml:space="preserve">≥ 95% month-on-month</w:t>
            </w:r>
          </w:p>
        </w:tc>
        <w:tc>
          <w:tcPr/>
          <w:p>
            <w:pPr>
              <w:pStyle w:val="Compact"/>
            </w:pPr>
            <w:r>
              <w:t xml:space="preserve">ITSM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incident resolution within committed time</w:t>
            </w:r>
          </w:p>
        </w:tc>
        <w:tc>
          <w:tcPr/>
          <w:p>
            <w:pPr>
              <w:pStyle w:val="Compact"/>
            </w:pPr>
            <w:r>
              <w:t xml:space="preserve">100% within 2 hours</w:t>
            </w:r>
          </w:p>
        </w:tc>
        <w:tc>
          <w:tcPr/>
          <w:p>
            <w:pPr>
              <w:pStyle w:val="Compact"/>
            </w:pPr>
            <w:r>
              <w:t xml:space="preserve">Incident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Quarterly Business Review delivery</w:t>
            </w:r>
          </w:p>
        </w:tc>
        <w:tc>
          <w:tcPr/>
          <w:p>
            <w:pPr>
              <w:pStyle w:val="Compact"/>
            </w:pPr>
            <w:r>
              <w:t xml:space="preserve">100% on schedule</w:t>
            </w:r>
          </w:p>
        </w:tc>
        <w:tc>
          <w:tcPr/>
          <w:p>
            <w:pPr>
              <w:pStyle w:val="Compact"/>
            </w:pPr>
            <w:r>
              <w:t xml:space="preserve">QBR calendar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IT roadmap signed off by hospital leadership</w:t>
            </w:r>
          </w:p>
        </w:tc>
        <w:tc>
          <w:tcPr/>
          <w:p>
            <w:pPr>
              <w:pStyle w:val="Compact"/>
            </w:pPr>
            <w:r>
              <w:t xml:space="preserve">1 per year, by 31 March</w:t>
            </w:r>
          </w:p>
        </w:tc>
        <w:tc>
          <w:tcPr/>
          <w:p>
            <w:pPr>
              <w:pStyle w:val="Compact"/>
            </w:pPr>
            <w:r>
              <w:t xml:space="preserve">Signed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Joiner / leaver / mover IT actions completed</w:t>
            </w:r>
          </w:p>
        </w:tc>
        <w:tc>
          <w:tcPr/>
          <w:p>
            <w:pPr>
              <w:pStyle w:val="Compact"/>
            </w:pPr>
            <w:r>
              <w:t xml:space="preserve">100% within 2 business days</w:t>
            </w:r>
          </w:p>
        </w:tc>
        <w:tc>
          <w:tcPr/>
          <w:p>
            <w:pPr>
              <w:pStyle w:val="Compact"/>
            </w:pPr>
            <w:r>
              <w:t xml:space="preserve">HR-IT ticket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escalations closed within agreed timeline</w:t>
            </w:r>
          </w:p>
        </w:tc>
        <w:tc>
          <w:tcPr/>
          <w:p>
            <w:pPr>
              <w:pStyle w:val="Compact"/>
            </w:pPr>
            <w:r>
              <w:t xml:space="preserve">≥ 90% within target</w:t>
            </w:r>
          </w:p>
        </w:tc>
        <w:tc>
          <w:tcPr/>
          <w:p>
            <w:pPr>
              <w:pStyle w:val="Compact"/>
            </w:pPr>
            <w:r>
              <w:t xml:space="preserve">Vendor ticket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Hospital leadership CSAT score</w:t>
            </w:r>
          </w:p>
        </w:tc>
        <w:tc>
          <w:tcPr/>
          <w:p>
            <w:pPr>
              <w:pStyle w:val="Compact"/>
            </w:pPr>
            <w:r>
              <w:t xml:space="preserve">≥ 4.2 / 5 quarterly</w:t>
            </w:r>
          </w:p>
        </w:tc>
        <w:tc>
          <w:tcPr/>
          <w:p>
            <w:pPr>
              <w:pStyle w:val="Compact"/>
            </w:pPr>
            <w:r>
              <w:t xml:space="preserve">Survey</w:t>
            </w:r>
          </w:p>
        </w:tc>
      </w:tr>
    </w:tbl>
    <w:bookmarkEnd w:id="15"/>
    <w:bookmarkStart w:id="16" w:name="l1-helpdesk-engineer-2.5-fte"/>
    <w:p>
      <w:pPr>
        <w:pStyle w:val="Heading3"/>
      </w:pPr>
      <w:r>
        <w:t xml:space="preserve">3.2 L1 Helpdesk Engineer (× 2.5 FTE)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2436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KRA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First-contact resolution rate (P3 tickets)</w:t>
            </w:r>
          </w:p>
        </w:tc>
        <w:tc>
          <w:tcPr/>
          <w:p>
            <w:pPr>
              <w:pStyle w:val="Compact"/>
            </w:pPr>
            <w:r>
              <w:t xml:space="preserve">≥ 90%</w:t>
            </w:r>
          </w:p>
        </w:tc>
        <w:tc>
          <w:tcPr/>
          <w:p>
            <w:pPr>
              <w:pStyle w:val="Compact"/>
            </w:pPr>
            <w:r>
              <w:t xml:space="preserve">ITSM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ticket resolution time</w:t>
            </w:r>
          </w:p>
        </w:tc>
        <w:tc>
          <w:tcPr/>
          <w:p>
            <w:pPr>
              <w:pStyle w:val="Compact"/>
            </w:pPr>
            <w:r>
              <w:t xml:space="preserve">≤ 4 business hours</w:t>
            </w:r>
          </w:p>
        </w:tc>
        <w:tc>
          <w:tcPr/>
          <w:p>
            <w:pPr>
              <w:pStyle w:val="Compact"/>
            </w:pPr>
            <w:r>
              <w:t xml:space="preserve">ITSM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Onsite physical response during shift</w:t>
            </w:r>
          </w:p>
        </w:tc>
        <w:tc>
          <w:tcPr/>
          <w:p>
            <w:pPr>
              <w:pStyle w:val="Compact"/>
            </w:pPr>
            <w:r>
              <w:t xml:space="preserve">≤ 15 minutes</w:t>
            </w:r>
          </w:p>
        </w:tc>
        <w:tc>
          <w:tcPr/>
          <w:p>
            <w:pPr>
              <w:pStyle w:val="Compact"/>
            </w:pPr>
            <w:r>
              <w:t xml:space="preserve">Ticket timestamp delta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End-user CSAT on closed tickets</w:t>
            </w:r>
          </w:p>
        </w:tc>
        <w:tc>
          <w:tcPr/>
          <w:p>
            <w:pPr>
              <w:pStyle w:val="Compact"/>
            </w:pPr>
            <w:r>
              <w:t xml:space="preserve">≥ 85% positive</w:t>
            </w:r>
          </w:p>
        </w:tc>
        <w:tc>
          <w:tcPr/>
          <w:p>
            <w:pPr>
              <w:pStyle w:val="Compact"/>
            </w:pPr>
            <w:r>
              <w:t xml:space="preserve">Post-resolution survey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New-laptop / desktop SOE build delivered</w:t>
            </w:r>
          </w:p>
        </w:tc>
        <w:tc>
          <w:tcPr/>
          <w:p>
            <w:pPr>
              <w:pStyle w:val="Compact"/>
            </w:pPr>
            <w:r>
              <w:t xml:space="preserve">≤ 1 business day</w:t>
            </w:r>
          </w:p>
        </w:tc>
        <w:tc>
          <w:tcPr/>
          <w:p>
            <w:pPr>
              <w:pStyle w:val="Compact"/>
            </w:pPr>
            <w:r>
              <w:t xml:space="preserve">Onboarding tickets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Printer / biometric device uptime</w:t>
            </w:r>
          </w:p>
        </w:tc>
        <w:tc>
          <w:tcPr/>
          <w:p>
            <w:pPr>
              <w:pStyle w:val="Compact"/>
            </w:pPr>
            <w:r>
              <w:t xml:space="preserve">≥ 99% during business hours</w:t>
            </w:r>
          </w:p>
        </w:tc>
        <w:tc>
          <w:tcPr/>
          <w:p>
            <w:pPr>
              <w:pStyle w:val="Compact"/>
            </w:pPr>
            <w:r>
              <w:t xml:space="preserve">Asset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 logging discipline (every interaction logged)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Audit sample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 compliance on supported endpoints</w:t>
            </w:r>
          </w:p>
        </w:tc>
        <w:tc>
          <w:tcPr/>
          <w:p>
            <w:pPr>
              <w:pStyle w:val="Compact"/>
            </w:pPr>
            <w:r>
              <w:t xml:space="preserve">≥ 95% within patch cycle</w:t>
            </w:r>
          </w:p>
        </w:tc>
        <w:tc>
          <w:tcPr/>
          <w:p>
            <w:pPr>
              <w:pStyle w:val="Compact"/>
            </w:pPr>
            <w:r>
              <w:t xml:space="preserve">RMM reports</w:t>
            </w:r>
          </w:p>
        </w:tc>
      </w:tr>
    </w:tbl>
    <w:bookmarkEnd w:id="16"/>
    <w:bookmarkStart w:id="17" w:name="cloud-devops-engineer-dedicated"/>
    <w:p>
      <w:pPr>
        <w:pStyle w:val="Heading3"/>
      </w:pPr>
      <w:r>
        <w:t xml:space="preserve">3.3 Cloud / DevOps Engineer (dedicated)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2436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KRA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HospitalPro production uptime</w:t>
            </w:r>
          </w:p>
        </w:tc>
        <w:tc>
          <w:tcPr/>
          <w:p>
            <w:pPr>
              <w:pStyle w:val="Compact"/>
            </w:pPr>
            <w:r>
              <w:t xml:space="preserve">≥ 99.9% monthly</w:t>
            </w:r>
          </w:p>
        </w:tc>
        <w:tc>
          <w:tcPr/>
          <w:p>
            <w:pPr>
              <w:pStyle w:val="Compact"/>
            </w:pPr>
            <w:r>
              <w:t xml:space="preserve">APM / status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success rate (HMIS DB + critical file shares)</w:t>
            </w:r>
          </w:p>
        </w:tc>
        <w:tc>
          <w:tcPr/>
          <w:p>
            <w:pPr>
              <w:pStyle w:val="Compact"/>
            </w:pPr>
            <w:r>
              <w:t xml:space="preserve">≥ 99.5%</w:t>
            </w:r>
          </w:p>
        </w:tc>
        <w:tc>
          <w:tcPr/>
          <w:p>
            <w:pPr>
              <w:pStyle w:val="Compact"/>
            </w:pPr>
            <w:r>
              <w:t xml:space="preserve">Backup software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Quarterly Disaster Recovery drill executed and documented</w:t>
            </w:r>
          </w:p>
        </w:tc>
        <w:tc>
          <w:tcPr/>
          <w:p>
            <w:pPr>
              <w:pStyle w:val="Compact"/>
            </w:pPr>
            <w:r>
              <w:t xml:space="preserve">1 per quarter</w:t>
            </w:r>
          </w:p>
        </w:tc>
        <w:tc>
          <w:tcPr/>
          <w:p>
            <w:pPr>
              <w:pStyle w:val="Compact"/>
            </w:pPr>
            <w:r>
              <w:t xml:space="preserve">DR runbook +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Time To Recovery (MTTR) for cloud incidents</w:t>
            </w:r>
          </w:p>
        </w:tc>
        <w:tc>
          <w:tcPr/>
          <w:p>
            <w:pPr>
              <w:pStyle w:val="Compact"/>
            </w:pPr>
            <w:r>
              <w:t xml:space="preserve">≤ 30 minutes</w:t>
            </w:r>
          </w:p>
        </w:tc>
        <w:tc>
          <w:tcPr/>
          <w:p>
            <w:pPr>
              <w:pStyle w:val="Compact"/>
            </w:pPr>
            <w:r>
              <w:t xml:space="preserve">Incident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success rate (CI/CD)</w:t>
            </w:r>
          </w:p>
        </w:tc>
        <w:tc>
          <w:tcPr/>
          <w:p>
            <w:pPr>
              <w:pStyle w:val="Compact"/>
            </w:pPr>
            <w:r>
              <w:t xml:space="preserve">≥ 98%</w:t>
            </w:r>
          </w:p>
        </w:tc>
        <w:tc>
          <w:tcPr/>
          <w:p>
            <w:pPr>
              <w:pStyle w:val="Compact"/>
            </w:pPr>
            <w:r>
              <w:t xml:space="preserve">Deployment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Unauthorized production changes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</w:t>
            </w:r>
          </w:p>
        </w:tc>
        <w:tc>
          <w:tcPr/>
          <w:p>
            <w:pPr>
              <w:pStyle w:val="Compact"/>
            </w:pPr>
            <w:r>
              <w:t xml:space="preserve">Change-control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cloud spend variance vs. budget</w:t>
            </w:r>
          </w:p>
        </w:tc>
        <w:tc>
          <w:tcPr/>
          <w:p>
            <w:pPr>
              <w:pStyle w:val="Compact"/>
            </w:pPr>
            <w:r>
              <w:t xml:space="preserve">≤ ± 5%</w:t>
            </w:r>
          </w:p>
        </w:tc>
        <w:tc>
          <w:tcPr/>
          <w:p>
            <w:pPr>
              <w:pStyle w:val="Compact"/>
            </w:pPr>
            <w:r>
              <w:t xml:space="preserve">Vercel / Postgres invoices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performance SLA (P95 query latency)</w:t>
            </w:r>
          </w:p>
        </w:tc>
        <w:tc>
          <w:tcPr/>
          <w:p>
            <w:pPr>
              <w:pStyle w:val="Compact"/>
            </w:pPr>
            <w:r>
              <w:t xml:space="preserve">≤ 200 ms</w:t>
            </w:r>
          </w:p>
        </w:tc>
        <w:tc>
          <w:tcPr/>
          <w:p>
            <w:pPr>
              <w:pStyle w:val="Compact"/>
            </w:pPr>
            <w:r>
              <w:t xml:space="preserve">DB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Infrastructure-as-Code coverage</w:t>
            </w:r>
          </w:p>
        </w:tc>
        <w:tc>
          <w:tcPr/>
          <w:p>
            <w:pPr>
              <w:pStyle w:val="Compact"/>
            </w:pPr>
            <w:r>
              <w:t xml:space="preserve">100% of cloud resources</w:t>
            </w:r>
          </w:p>
        </w:tc>
        <w:tc>
          <w:tcPr/>
          <w:p>
            <w:pPr>
              <w:pStyle w:val="Compact"/>
            </w:pPr>
            <w:r>
              <w:t xml:space="preserve">Terraform / equivalent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capacity / cost optimisation report</w:t>
            </w:r>
          </w:p>
        </w:tc>
        <w:tc>
          <w:tcPr/>
          <w:p>
            <w:pPr>
              <w:pStyle w:val="Compact"/>
            </w:pPr>
            <w:r>
              <w:t xml:space="preserve">1 per month</w:t>
            </w:r>
          </w:p>
        </w:tc>
        <w:tc>
          <w:tcPr/>
          <w:p>
            <w:pPr>
              <w:pStyle w:val="Compact"/>
            </w:pPr>
            <w:r>
              <w:t xml:space="preserve">Internal report</w:t>
            </w:r>
          </w:p>
        </w:tc>
      </w:tr>
    </w:tbl>
    <w:bookmarkEnd w:id="17"/>
    <w:bookmarkStart w:id="18" w:name="network-systems-engineer-l2"/>
    <w:p>
      <w:pPr>
        <w:pStyle w:val="Heading3"/>
      </w:pPr>
      <w:r>
        <w:t xml:space="preserve">3.4 Network &amp; Systems Engineer (L2)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2436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KRA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uptime (LAN + WAN combined)</w:t>
            </w:r>
          </w:p>
        </w:tc>
        <w:tc>
          <w:tcPr/>
          <w:p>
            <w:pPr>
              <w:pStyle w:val="Compact"/>
            </w:pPr>
            <w:r>
              <w:t xml:space="preserve">≥ 99.5%</w:t>
            </w:r>
          </w:p>
        </w:tc>
        <w:tc>
          <w:tcPr/>
          <w:p>
            <w:pPr>
              <w:pStyle w:val="Compact"/>
            </w:pPr>
            <w:r>
              <w:t xml:space="preserve">Network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WiFi coverage availability in clinical areas</w:t>
            </w:r>
          </w:p>
        </w:tc>
        <w:tc>
          <w:tcPr/>
          <w:p>
            <w:pPr>
              <w:pStyle w:val="Compact"/>
            </w:pPr>
            <w:r>
              <w:t xml:space="preserve">≥ 99% during business hours</w:t>
            </w:r>
          </w:p>
        </w:tc>
        <w:tc>
          <w:tcPr/>
          <w:p>
            <w:pPr>
              <w:pStyle w:val="Compact"/>
            </w:pPr>
            <w:r>
              <w:t xml:space="preserve">RF heatmap /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 failover tested</w:t>
            </w:r>
          </w:p>
        </w:tc>
        <w:tc>
          <w:tcPr/>
          <w:p>
            <w:pPr>
              <w:pStyle w:val="Compact"/>
            </w:pPr>
            <w:r>
              <w:t xml:space="preserve">1 per quarter, documented</w:t>
            </w:r>
          </w:p>
        </w:tc>
        <w:tc>
          <w:tcPr/>
          <w:p>
            <w:pPr>
              <w:pStyle w:val="Compact"/>
            </w:pPr>
            <w:r>
              <w:t xml:space="preserve">Test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Firewall change-control adherence</w:t>
            </w:r>
          </w:p>
        </w:tc>
        <w:tc>
          <w:tcPr/>
          <w:p>
            <w:pPr>
              <w:pStyle w:val="Compact"/>
            </w:pPr>
            <w:r>
              <w:t xml:space="preserve">100% via approved CR</w:t>
            </w:r>
          </w:p>
        </w:tc>
        <w:tc>
          <w:tcPr/>
          <w:p>
            <w:pPr>
              <w:pStyle w:val="Compact"/>
            </w:pPr>
            <w:r>
              <w:t xml:space="preserve">Change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patch compliance</w:t>
            </w:r>
          </w:p>
        </w:tc>
        <w:tc>
          <w:tcPr/>
          <w:p>
            <w:pPr>
              <w:pStyle w:val="Compact"/>
            </w:pPr>
            <w:r>
              <w:t xml:space="preserve">≥ 95% within patch cycle</w:t>
            </w:r>
          </w:p>
        </w:tc>
        <w:tc>
          <w:tcPr/>
          <w:p>
            <w:pPr>
              <w:pStyle w:val="Compact"/>
            </w:pPr>
            <w:r>
              <w:t xml:space="preserve">Patch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 battery health verified</w:t>
            </w:r>
          </w:p>
        </w:tc>
        <w:tc>
          <w:tcPr/>
          <w:p>
            <w:pPr>
              <w:pStyle w:val="Compact"/>
            </w:pPr>
            <w:r>
              <w:t xml:space="preserve">Monthly check, log retained</w:t>
            </w:r>
          </w:p>
        </w:tc>
        <w:tc>
          <w:tcPr/>
          <w:p>
            <w:pPr>
              <w:pStyle w:val="Compact"/>
            </w:pPr>
            <w:r>
              <w:t xml:space="preserve">Maintenance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capacity report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Internal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Time To Recovery for network P1</w:t>
            </w:r>
          </w:p>
        </w:tc>
        <w:tc>
          <w:tcPr/>
          <w:p>
            <w:pPr>
              <w:pStyle w:val="Compact"/>
            </w:pPr>
            <w:r>
              <w:t xml:space="preserve">≤ 1 hour</w:t>
            </w:r>
          </w:p>
        </w:tc>
        <w:tc>
          <w:tcPr/>
          <w:p>
            <w:pPr>
              <w:pStyle w:val="Compact"/>
            </w:pPr>
            <w:r>
              <w:t xml:space="preserve">Incident log</w:t>
            </w:r>
          </w:p>
        </w:tc>
      </w:tr>
    </w:tbl>
    <w:bookmarkEnd w:id="18"/>
    <w:bookmarkStart w:id="19" w:name="hospitalpro-application-support-engineer"/>
    <w:p>
      <w:pPr>
        <w:pStyle w:val="Heading3"/>
      </w:pPr>
      <w:r>
        <w:t xml:space="preserve">3.5 HospitalPro Application Support Engineer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2436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KRA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HMIS bug triage within target</w:t>
            </w:r>
          </w:p>
        </w:tc>
        <w:tc>
          <w:tcPr/>
          <w:p>
            <w:pPr>
              <w:pStyle w:val="Compact"/>
            </w:pPr>
            <w:r>
              <w:t xml:space="preserve">≥ 95% within 4 business hours</w:t>
            </w:r>
          </w:p>
        </w:tc>
        <w:tc>
          <w:tcPr/>
          <w:p>
            <w:pPr>
              <w:pStyle w:val="Compact"/>
            </w:pPr>
            <w:r>
              <w:t xml:space="preserve">ITSM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HMIS bug-fix deployment per severity</w:t>
            </w:r>
          </w:p>
        </w:tc>
        <w:tc>
          <w:tcPr/>
          <w:p>
            <w:pPr>
              <w:pStyle w:val="Compact"/>
            </w:pPr>
            <w:r>
              <w:t xml:space="preserve">P1 ≤ 24 hours, P2 ≤ 5 days, P3 ≤ release cycle</w:t>
            </w:r>
          </w:p>
        </w:tc>
        <w:tc>
          <w:tcPr/>
          <w:p>
            <w:pPr>
              <w:pStyle w:val="Compact"/>
            </w:pPr>
            <w:r>
              <w:t xml:space="preserve">Release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corruption incidents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</w:t>
            </w:r>
          </w:p>
        </w:tc>
        <w:tc>
          <w:tcPr/>
          <w:p>
            <w:pPr>
              <w:pStyle w:val="Compact"/>
            </w:pPr>
            <w:r>
              <w:t xml:space="preserve">Audit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 health report delivered</w:t>
            </w:r>
          </w:p>
        </w:tc>
        <w:tc>
          <w:tcPr/>
          <w:p>
            <w:pPr>
              <w:pStyle w:val="Compact"/>
            </w:pPr>
            <w:r>
              <w:t xml:space="preserve">1 per quarter</w:t>
            </w:r>
          </w:p>
        </w:tc>
        <w:tc>
          <w:tcPr/>
          <w:p>
            <w:pPr>
              <w:pStyle w:val="Compact"/>
            </w:pPr>
            <w:r>
              <w:t xml:space="preserve">Internal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Doctor / staff CSAT on HMIS issues</w:t>
            </w:r>
          </w:p>
        </w:tc>
        <w:tc>
          <w:tcPr/>
          <w:p>
            <w:pPr>
              <w:pStyle w:val="Compact"/>
            </w:pPr>
            <w:r>
              <w:t xml:space="preserve">≥ 4.0 / 5</w:t>
            </w:r>
          </w:p>
        </w:tc>
        <w:tc>
          <w:tcPr/>
          <w:p>
            <w:pPr>
              <w:pStyle w:val="Compact"/>
            </w:pPr>
            <w:r>
              <w:t xml:space="preserve">In-product survey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Knowledge-base articles published / updated</w:t>
            </w:r>
          </w:p>
        </w:tc>
        <w:tc>
          <w:tcPr/>
          <w:p>
            <w:pPr>
              <w:pStyle w:val="Compact"/>
            </w:pPr>
            <w:r>
              <w:t xml:space="preserve">≥ 4 per month</w:t>
            </w:r>
          </w:p>
        </w:tc>
        <w:tc>
          <w:tcPr/>
          <w:p>
            <w:pPr>
              <w:pStyle w:val="Compact"/>
            </w:pPr>
            <w:r>
              <w:t xml:space="preserve">KB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review of all production fixes</w:t>
            </w:r>
          </w:p>
        </w:tc>
        <w:tc>
          <w:tcPr/>
          <w:p>
            <w:pPr>
              <w:pStyle w:val="Compact"/>
            </w:pPr>
            <w:r>
              <w:t xml:space="preserve">100% peer-reviewed</w:t>
            </w:r>
          </w:p>
        </w:tc>
        <w:tc>
          <w:tcPr/>
          <w:p>
            <w:pPr>
              <w:pStyle w:val="Compact"/>
            </w:pPr>
            <w:r>
              <w:t xml:space="preserve">Git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coverage on changed code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  <w:tc>
          <w:tcPr/>
          <w:p>
            <w:pPr>
              <w:pStyle w:val="Compact"/>
            </w:pPr>
            <w:r>
              <w:t xml:space="preserve">CI report</w:t>
            </w:r>
          </w:p>
        </w:tc>
      </w:tr>
    </w:tbl>
    <w:bookmarkEnd w:id="19"/>
    <w:bookmarkStart w:id="20" w:name="security-analyst-soc"/>
    <w:p>
      <w:pPr>
        <w:pStyle w:val="Heading3"/>
      </w:pPr>
      <w:r>
        <w:t xml:space="preserve">3.6 Security Analyst (SOC)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2436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KRA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alerts triaged within target</w:t>
            </w:r>
          </w:p>
        </w:tc>
        <w:tc>
          <w:tcPr/>
          <w:p>
            <w:pPr>
              <w:pStyle w:val="Compact"/>
            </w:pPr>
            <w:r>
              <w:t xml:space="preserve">100% within 30 minutes</w:t>
            </w:r>
          </w:p>
        </w:tc>
        <w:tc>
          <w:tcPr/>
          <w:p>
            <w:pPr>
              <w:pStyle w:val="Compact"/>
            </w:pPr>
            <w:r>
              <w:t xml:space="preserve">SIEM / SOAR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Time To Detect (MTTD) for critical events</w:t>
            </w:r>
          </w:p>
        </w:tc>
        <w:tc>
          <w:tcPr/>
          <w:p>
            <w:pPr>
              <w:pStyle w:val="Compact"/>
            </w:pPr>
            <w:r>
              <w:t xml:space="preserve">≤ 15 minutes</w:t>
            </w:r>
          </w:p>
        </w:tc>
        <w:tc>
          <w:tcPr/>
          <w:p>
            <w:pPr>
              <w:pStyle w:val="Compact"/>
            </w:pPr>
            <w:r>
              <w:t xml:space="preserve">SOC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vulnerability remediation within SLA</w:t>
            </w:r>
          </w:p>
        </w:tc>
        <w:tc>
          <w:tcPr/>
          <w:p>
            <w:pPr>
              <w:pStyle w:val="Compact"/>
            </w:pPr>
            <w:r>
              <w:t xml:space="preserve">≥ 90%</w:t>
            </w:r>
          </w:p>
        </w:tc>
        <w:tc>
          <w:tcPr/>
          <w:p>
            <w:pPr>
              <w:pStyle w:val="Compact"/>
            </w:pPr>
            <w:r>
              <w:t xml:space="preserve">Vuln scanner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Successful phishing breaches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</w:t>
            </w:r>
          </w:p>
        </w:tc>
        <w:tc>
          <w:tcPr/>
          <w:p>
            <w:pPr>
              <w:pStyle w:val="Compact"/>
            </w:pPr>
            <w:r>
              <w:t xml:space="preserve">Incident log + email security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pentest critical findings remediated</w:t>
            </w:r>
          </w:p>
        </w:tc>
        <w:tc>
          <w:tcPr/>
          <w:p>
            <w:pPr>
              <w:pStyle w:val="Compact"/>
            </w:pPr>
            <w:r>
              <w:t xml:space="preserve">100% within 30 days</w:t>
            </w:r>
          </w:p>
        </w:tc>
        <w:tc>
          <w:tcPr/>
          <w:p>
            <w:pPr>
              <w:pStyle w:val="Compact"/>
            </w:pPr>
            <w:r>
              <w:t xml:space="preserve">Pentest tracker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EDR coverage</w:t>
            </w:r>
          </w:p>
        </w:tc>
        <w:tc>
          <w:tcPr/>
          <w:p>
            <w:pPr>
              <w:pStyle w:val="Compact"/>
            </w:pPr>
            <w:r>
              <w:t xml:space="preserve">100% of managed endpoints</w:t>
            </w:r>
          </w:p>
        </w:tc>
        <w:tc>
          <w:tcPr/>
          <w:p>
            <w:pPr>
              <w:pStyle w:val="Compact"/>
            </w:pPr>
            <w:r>
              <w:t xml:space="preserve">EDR console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awareness training delivered to staff</w:t>
            </w:r>
          </w:p>
        </w:tc>
        <w:tc>
          <w:tcPr/>
          <w:p>
            <w:pPr>
              <w:pStyle w:val="Compact"/>
            </w:pPr>
            <w:r>
              <w:t xml:space="preserve">1 session per quarter</w:t>
            </w:r>
          </w:p>
        </w:tc>
        <w:tc>
          <w:tcPr/>
          <w:p>
            <w:pPr>
              <w:pStyle w:val="Compact"/>
            </w:pPr>
            <w:r>
              <w:t xml:space="preserve">Training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response drill</w:t>
            </w:r>
          </w:p>
        </w:tc>
        <w:tc>
          <w:tcPr/>
          <w:p>
            <w:pPr>
              <w:pStyle w:val="Compact"/>
            </w:pPr>
            <w:r>
              <w:t xml:space="preserve">1 per quarter</w:t>
            </w:r>
          </w:p>
        </w:tc>
        <w:tc>
          <w:tcPr/>
          <w:p>
            <w:pPr>
              <w:pStyle w:val="Compact"/>
            </w:pPr>
            <w:r>
              <w:t xml:space="preserve">Drill log</w:t>
            </w:r>
          </w:p>
        </w:tc>
      </w:tr>
    </w:tbl>
    <w:bookmarkEnd w:id="20"/>
    <w:bookmarkStart w:id="21" w:name="account-manager-service-delivery"/>
    <w:p>
      <w:pPr>
        <w:pStyle w:val="Heading3"/>
      </w:pPr>
      <w:r>
        <w:t xml:space="preserve">3.7 Account Manager / Service Delivery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2436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KRA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CSAT (overall service relationship)</w:t>
            </w:r>
          </w:p>
        </w:tc>
        <w:tc>
          <w:tcPr/>
          <w:p>
            <w:pPr>
              <w:pStyle w:val="Compact"/>
            </w:pPr>
            <w:r>
              <w:t xml:space="preserve">≥ 4.0 / 5 quarterly</w:t>
            </w:r>
          </w:p>
        </w:tc>
        <w:tc>
          <w:tcPr/>
          <w:p>
            <w:pPr>
              <w:pStyle w:val="Compact"/>
            </w:pPr>
            <w:r>
              <w:t xml:space="preserve">Survey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Quarterly Business Reviews (QBRs) delivered</w:t>
            </w:r>
          </w:p>
        </w:tc>
        <w:tc>
          <w:tcPr/>
          <w:p>
            <w:pPr>
              <w:pStyle w:val="Compact"/>
            </w:pPr>
            <w:r>
              <w:t xml:space="preserve">4 per year, on schedule</w:t>
            </w:r>
          </w:p>
        </w:tc>
        <w:tc>
          <w:tcPr/>
          <w:p>
            <w:pPr>
              <w:pStyle w:val="Compact"/>
            </w:pPr>
            <w:r>
              <w:t xml:space="preserve">Calendar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QBR action items closed</w:t>
            </w:r>
          </w:p>
        </w:tc>
        <w:tc>
          <w:tcPr/>
          <w:p>
            <w:pPr>
              <w:pStyle w:val="Compact"/>
            </w:pPr>
            <w:r>
              <w:t xml:space="preserve">≥ 90% by next QBR</w:t>
            </w:r>
          </w:p>
        </w:tc>
        <w:tc>
          <w:tcPr/>
          <w:p>
            <w:pPr>
              <w:pStyle w:val="Compact"/>
            </w:pPr>
            <w:r>
              <w:t xml:space="preserve">Action tracker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Invoices issued accurately</w:t>
            </w:r>
          </w:p>
        </w:tc>
        <w:tc>
          <w:tcPr/>
          <w:p>
            <w:pPr>
              <w:pStyle w:val="Compact"/>
            </w:pPr>
            <w:r>
              <w:t xml:space="preserve">100%, no disputes raised</w:t>
            </w:r>
          </w:p>
        </w:tc>
        <w:tc>
          <w:tcPr/>
          <w:p>
            <w:pPr>
              <w:pStyle w:val="Compact"/>
            </w:pPr>
            <w:r>
              <w:t xml:space="preserve">Finance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Overdue invoices &gt; 45 days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</w:t>
            </w:r>
          </w:p>
        </w:tc>
        <w:tc>
          <w:tcPr/>
          <w:p>
            <w:pPr>
              <w:pStyle w:val="Compact"/>
            </w:pPr>
            <w:r>
              <w:t xml:space="preserve">Finance ageing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renewals secured</w:t>
            </w:r>
          </w:p>
        </w:tc>
        <w:tc>
          <w:tcPr/>
          <w:p>
            <w:pPr>
              <w:pStyle w:val="Compact"/>
            </w:pPr>
            <w:r>
              <w:t xml:space="preserve">100% on or before expiry</w:t>
            </w:r>
          </w:p>
        </w:tc>
        <w:tc>
          <w:tcPr/>
          <w:p>
            <w:pPr>
              <w:pStyle w:val="Compact"/>
            </w:pPr>
            <w:r>
              <w:t xml:space="preserve">CRM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Escalations resolved at AM level</w:t>
            </w:r>
          </w:p>
        </w:tc>
        <w:tc>
          <w:tcPr/>
          <w:p>
            <w:pPr>
              <w:pStyle w:val="Compact"/>
            </w:pPr>
            <w:r>
              <w:t xml:space="preserve">≥ 80% (without going to L4)</w:t>
            </w:r>
          </w:p>
        </w:tc>
        <w:tc>
          <w:tcPr/>
          <w:p>
            <w:pPr>
              <w:pStyle w:val="Compact"/>
            </w:pPr>
            <w:r>
              <w:t xml:space="preserve">Escalation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service report delivered</w:t>
            </w:r>
          </w:p>
        </w:tc>
        <w:tc>
          <w:tcPr/>
          <w:p>
            <w:pPr>
              <w:pStyle w:val="Compact"/>
            </w:pPr>
            <w:r>
              <w:t xml:space="preserve">Within 5 business days of month-end</w:t>
            </w:r>
          </w:p>
        </w:tc>
        <w:tc>
          <w:tcPr/>
          <w:p>
            <w:pPr>
              <w:pStyle w:val="Compact"/>
            </w:pPr>
            <w:r>
              <w:t xml:space="preserve">Report calendar</w:t>
            </w:r>
          </w:p>
        </w:tc>
      </w:tr>
    </w:tbl>
    <w:bookmarkEnd w:id="21"/>
    <w:bookmarkStart w:id="22" w:name="engineering-lead-l3l4-escalation"/>
    <w:p>
      <w:pPr>
        <w:pStyle w:val="Heading3"/>
      </w:pPr>
      <w:r>
        <w:t xml:space="preserve">3.8 Engineering Lead (L3/L4 escalation)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2436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KRA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incidents unresolved past 4 hours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</w:t>
            </w:r>
          </w:p>
        </w:tc>
        <w:tc>
          <w:tcPr/>
          <w:p>
            <w:pPr>
              <w:pStyle w:val="Compact"/>
            </w:pPr>
            <w:r>
              <w:t xml:space="preserve">Incident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Architectural changes reviewed and approved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Architecture review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IT strategy and roadmap quality</w:t>
            </w:r>
          </w:p>
        </w:tc>
        <w:tc>
          <w:tcPr/>
          <w:p>
            <w:pPr>
              <w:pStyle w:val="Compact"/>
            </w:pPr>
            <w:r>
              <w:t xml:space="preserve">Signed off at QBR</w:t>
            </w:r>
          </w:p>
        </w:tc>
        <w:tc>
          <w:tcPr/>
          <w:p>
            <w:pPr>
              <w:pStyle w:val="Compact"/>
            </w:pPr>
            <w:r>
              <w:t xml:space="preserve">QBR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Mentoring sessions with team</w:t>
            </w:r>
          </w:p>
        </w:tc>
        <w:tc>
          <w:tcPr/>
          <w:p>
            <w:pPr>
              <w:pStyle w:val="Compact"/>
            </w:pPr>
            <w:r>
              <w:t xml:space="preserve">1 per quarter per role</w:t>
            </w:r>
          </w:p>
        </w:tc>
        <w:tc>
          <w:tcPr/>
          <w:p>
            <w:pPr>
              <w:pStyle w:val="Compact"/>
            </w:pPr>
            <w:r>
              <w:t xml:space="preserve">Training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Recurring incident root-cause analysis</w:t>
            </w:r>
          </w:p>
        </w:tc>
        <w:tc>
          <w:tcPr/>
          <w:p>
            <w:pPr>
              <w:pStyle w:val="Compact"/>
            </w:pPr>
            <w:r>
              <w:t xml:space="preserve">RCA within 5 business days for every P1/P2</w:t>
            </w:r>
          </w:p>
        </w:tc>
        <w:tc>
          <w:tcPr/>
          <w:p>
            <w:pPr>
              <w:pStyle w:val="Compact"/>
            </w:pPr>
            <w:r>
              <w:t xml:space="preserve">Postmortem 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Cross-client knowledge sharing</w:t>
            </w:r>
          </w:p>
        </w:tc>
        <w:tc>
          <w:tcPr/>
          <w:p>
            <w:pPr>
              <w:pStyle w:val="Compact"/>
            </w:pPr>
            <w:r>
              <w:t xml:space="preserve">1 published learning / quarter</w:t>
            </w:r>
          </w:p>
        </w:tc>
        <w:tc>
          <w:tcPr/>
          <w:p>
            <w:pPr>
              <w:pStyle w:val="Compact"/>
            </w:pPr>
            <w:r>
              <w:t xml:space="preserve">Internal wiki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retention</w:t>
            </w:r>
          </w:p>
        </w:tc>
        <w:tc>
          <w:tcPr/>
          <w:p>
            <w:pPr>
              <w:pStyle w:val="Compact"/>
            </w:pPr>
            <w:r>
              <w:t xml:space="preserve">≥ 90% annual retention on this account</w:t>
            </w:r>
          </w:p>
        </w:tc>
        <w:tc>
          <w:tcPr/>
          <w:p>
            <w:pPr>
              <w:pStyle w:val="Compact"/>
            </w:pPr>
            <w:r>
              <w:t xml:space="preserve">HR report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cost-build-up"/>
    <w:p>
      <w:pPr>
        <w:pStyle w:val="Heading2"/>
      </w:pPr>
      <w:r>
        <w:t xml:space="preserve">4. Cost build-up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Monthly (₹)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Dedicated team (5 people, 100% allocated)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IT Site Manager</w:t>
            </w:r>
          </w:p>
        </w:tc>
        <w:tc>
          <w:tcPr/>
          <w:p>
            <w:pPr>
              <w:pStyle w:val="Compact"/>
            </w:pPr>
            <w:r>
              <w:t xml:space="preserve">1,40,000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Helpdesk × 2.5 FTE (avg)</w:t>
            </w:r>
          </w:p>
        </w:tc>
        <w:tc>
          <w:tcPr/>
          <w:p>
            <w:pPr>
              <w:pStyle w:val="Compact"/>
            </w:pPr>
            <w:r>
              <w:t xml:space="preserve">1,15,000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/ DevOps Engineer (dedicated)</w:t>
            </w:r>
          </w:p>
        </w:tc>
        <w:tc>
          <w:tcPr/>
          <w:p>
            <w:pPr>
              <w:pStyle w:val="Compact"/>
            </w:pPr>
            <w:r>
              <w:t xml:space="preserve">1,17,000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Subtotal — dedicated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3,72,000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Shared team (6 people, allocated)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Network &amp; Systems Engineer (0.7 FTE)</w:t>
            </w:r>
          </w:p>
        </w:tc>
        <w:tc>
          <w:tcPr/>
          <w:p>
            <w:pPr>
              <w:pStyle w:val="Compact"/>
            </w:pPr>
            <w:r>
              <w:t xml:space="preserve">91,000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HMIS Application Support (0.5 FTE)</w:t>
            </w:r>
          </w:p>
        </w:tc>
        <w:tc>
          <w:tcPr/>
          <w:p>
            <w:pPr>
              <w:pStyle w:val="Compact"/>
            </w:pPr>
            <w:r>
              <w:t xml:space="preserve">70,000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Analyst (0.3 FTE)</w:t>
            </w:r>
          </w:p>
        </w:tc>
        <w:tc>
          <w:tcPr/>
          <w:p>
            <w:pPr>
              <w:pStyle w:val="Compact"/>
            </w:pPr>
            <w:r>
              <w:t xml:space="preserve">42,000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Manager (0.2 FTE)</w:t>
            </w:r>
          </w:p>
        </w:tc>
        <w:tc>
          <w:tcPr/>
          <w:p>
            <w:pPr>
              <w:pStyle w:val="Compact"/>
            </w:pPr>
            <w:r>
              <w:t xml:space="preserve">28,000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Engineering Lead (0.1 FTE)</w:t>
            </w:r>
          </w:p>
        </w:tc>
        <w:tc>
          <w:tcPr/>
          <w:p>
            <w:pPr>
              <w:pStyle w:val="Compact"/>
            </w:pPr>
            <w:r>
              <w:t xml:space="preserve">15,000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Subtotal — shared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2,46,000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allocated salary cost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6,18,000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Tools (ITSM, RMM, SIEM, backup, monitoring, CMDB)</w:t>
            </w:r>
          </w:p>
        </w:tc>
        <w:tc>
          <w:tcPr/>
          <w:p>
            <w:pPr>
              <w:pStyle w:val="Compact"/>
            </w:pPr>
            <w:r>
              <w:t xml:space="preserve">97,000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Onsite ops (transport, mobile data, equipment, badges)</w:t>
            </w:r>
          </w:p>
        </w:tc>
        <w:tc>
          <w:tcPr/>
          <w:p>
            <w:pPr>
              <w:pStyle w:val="Compact"/>
            </w:pPr>
            <w:r>
              <w:t xml:space="preserve">22,000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pentest + compliance audit (amortised)</w:t>
            </w:r>
          </w:p>
        </w:tc>
        <w:tc>
          <w:tcPr/>
          <w:p>
            <w:pPr>
              <w:pStyle w:val="Compact"/>
            </w:pPr>
            <w:r>
              <w:t xml:space="preserve">30,000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 cost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7,67,000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 (≈ 42%)</w:t>
            </w:r>
          </w:p>
        </w:tc>
        <w:tc>
          <w:tcPr/>
          <w:p>
            <w:pPr>
              <w:pStyle w:val="Compact"/>
            </w:pPr>
            <w:r>
              <w:t xml:space="preserve">3,23,000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Managed services fee — monthly (excl. GST)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₹10,90,000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GST @ 18%</w:t>
            </w:r>
          </w:p>
        </w:tc>
        <w:tc>
          <w:tcPr/>
          <w:p>
            <w:pPr>
              <w:pStyle w:val="Compact"/>
            </w:pPr>
            <w:r>
              <w:t xml:space="preserve">₹1,96,200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Managed services fee — monthly (incl. GST)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₹12,86,200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Pass-through (M365, Entra, EDR, internet) — at vendor cost</w:t>
            </w:r>
          </w:p>
        </w:tc>
        <w:tc>
          <w:tcPr/>
          <w:p>
            <w:pPr>
              <w:pStyle w:val="Compact"/>
            </w:pPr>
            <w:r>
              <w:t xml:space="preserve">~₹4,01,000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Estimated total monthly run-rate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~₹16,87,000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Estimated annual contract value (ACV)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~₹2,02,44,000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sign-off"/>
    <w:p>
      <w:pPr>
        <w:pStyle w:val="Heading2"/>
      </w:pPr>
      <w:r>
        <w:t xml:space="preserve">5. Sign-off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84"/>
        <w:gridCol w:w="35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 Busitema Referral Hospital</w:t>
            </w:r>
          </w:p>
        </w:tc>
        <w:tc>
          <w:tcPr/>
          <w:p>
            <w:pPr>
              <w:pStyle w:val="Compact"/>
            </w:pPr>
            <w:r>
              <w:t xml:space="preserve">For [Your Company Name]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Name: ____________________________</w:t>
            </w:r>
          </w:p>
        </w:tc>
        <w:tc>
          <w:tcPr/>
          <w:p>
            <w:pPr>
              <w:pStyle w:val="Compact"/>
            </w:pPr>
            <w:r>
              <w:t xml:space="preserve">Name: 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Title: ____________________________</w:t>
            </w:r>
          </w:p>
        </w:tc>
        <w:tc>
          <w:tcPr/>
          <w:p>
            <w:pPr>
              <w:pStyle w:val="Compact"/>
            </w:pPr>
            <w:r>
              <w:t xml:space="preserve">Title: 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Date: ____________________________</w:t>
            </w:r>
          </w:p>
        </w:tc>
        <w:tc>
          <w:tcPr/>
          <w:p>
            <w:pPr>
              <w:pStyle w:val="Compact"/>
            </w:pPr>
            <w:r>
              <w:t xml:space="preserve">Date: 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Signature: _______________________</w:t>
            </w:r>
          </w:p>
        </w:tc>
        <w:tc>
          <w:tcPr/>
          <w:p>
            <w:pPr>
              <w:pStyle w:val="Compact"/>
            </w:pPr>
            <w:r>
              <w:t xml:space="preserve">Signature: 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is a companion to the full Managed IT Services Proposal. Refer to that document for scope, SLA matrix, contract terms, transition roadmap, RACI matrix, and pass-through invoicing format.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Managed IT Services — Team Summary &amp; KRAs</dc:title>
  <dc:creator/>
  <cp:keywords/>
  <dcterms:created xsi:type="dcterms:W3CDTF">2026-05-06T06:08:57Z</dcterms:created>
  <dcterms:modified xsi:type="dcterms:W3CDTF">2026-05-06T06:08:57Z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Busitema Referral Hospital</vt:lpwstr>
  </property>
  <property fmtid="{D5CDD505-2E9C-101B-9397-08002B2CF9AE}" pid="3" name="date">
    <vt:lpwstr>May 2026</vt:lpwstr>
  </property>
  <property fmtid="{D5CDD505-2E9C-101B-9397-08002B2CF9AE}" pid="4" name="prepared_by">
    <vt:lpwstr>[Your Company Name]</vt:lpwstr>
  </property>
  <property fmtid="{D5CDD505-2E9C-101B-9397-08002B2CF9AE}" pid="5" name="subtitle">
    <vt:lpwstr>Companion document to the Managed IT Services Proposal</vt:lpwstr>
  </property>
  <property fmtid="{D5CDD505-2E9C-101B-9397-08002B2CF9AE}" pid="6" name="version">
    <vt:lpwstr>1.1</vt:lpwstr>
  </property>
</Properties>
</file>