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b/>
          <w:color w:val="1F4FD8"/>
          <w:sz w:val="80"/>
        </w:rPr>
        <w:t>KMCP</w:t>
      </w:r>
    </w:p>
    <w:p>
      <w:pPr>
        <w:spacing w:after="40"/>
      </w:pPr>
      <w:r>
        <w:rPr>
          <w:b/>
          <w:i w:val="0"/>
          <w:sz w:val="34"/>
        </w:rPr>
        <w:t>Smart Street Parking Management System</w:t>
      </w:r>
    </w:p>
    <w:p>
      <w:pPr>
        <w:spacing w:after="520"/>
      </w:pPr>
      <w:r>
        <w:rPr>
          <w:b w:val="0"/>
          <w:i w:val="0"/>
          <w:color w:val="5C6675"/>
          <w:sz w:val="24"/>
        </w:rPr>
        <w:t>Kolkata Municipal Corporation</w:t>
      </w:r>
    </w:p>
    <w:p>
      <w:pPr>
        <w:pBdr>
          <w:bottom w:val="single" w:sz="6" w:color="D8DEE8"/>
        </w:pBdr>
        <w:spacing w:after="200"/>
      </w:pPr>
    </w:p>
    <w:p>
      <w:pPr>
        <w:spacing w:after="80"/>
      </w:pPr>
      <w:r>
        <w:rPr>
          <w:b/>
          <w:i w:val="0"/>
          <w:sz w:val="40"/>
        </w:rPr>
        <w:t>Capability, Differentiation and Security</w:t>
      </w:r>
    </w:p>
    <w:p>
      <w:pPr>
        <w:spacing w:after="520"/>
      </w:pPr>
      <w:r>
        <w:rPr>
          <w:b w:val="0"/>
          <w:i w:val="0"/>
          <w:color w:val="5C6675"/>
          <w:sz w:val="22"/>
        </w:rPr>
        <w:t>Feature specification · architectural differentiators · security controls for citizen data, payment information and parking evidence</w:t>
      </w:r>
    </w:p>
    <w:tbl>
      <w:tblPr>
        <w:tblStyle w:val="TableGrid"/>
        <w:tblW w:type="auto" w:w="0"/>
        <w:jc w:val="center"/>
        <w:tblLook w:firstColumn="1" w:firstRow="1" w:lastColumn="0" w:lastRow="0" w:noHBand="0" w:noVBand="1" w:val="04A0"/>
      </w:tblPr>
      <w:tblGrid>
        <w:gridCol w:w="4824"/>
        <w:gridCol w:w="4824"/>
      </w:tblGrid>
      <w:tr>
        <w:tc>
          <w:tcPr>
            <w:tcW w:type="dxa" w:w="2304"/>
            <w:shd w:val="clear" w:fill="FFFFFF"/>
          </w:tcPr>
          <w:p>
            <w:pPr>
              <w:spacing w:after="40" w:before="40"/>
            </w:pPr>
            <w:r/>
            <w:r>
              <w:rPr>
                <w:b/>
                <w:color w:val="FFFFFF"/>
                <w:sz w:val="18"/>
              </w:rPr>
            </w:r>
          </w:p>
        </w:tc>
        <w:tc>
          <w:tcPr>
            <w:tcW w:type="dxa" w:w="7056"/>
            <w:shd w:val="clear" w:fill="FFFFFF"/>
          </w:tcPr>
          <w:p>
            <w:pPr>
              <w:spacing w:after="40" w:before="40"/>
            </w:pPr>
            <w:r/>
            <w:r>
              <w:rPr>
                <w:b/>
                <w:color w:val="FFFFFF"/>
                <w:sz w:val="18"/>
              </w:rPr>
            </w:r>
          </w:p>
        </w:tc>
      </w:tr>
      <w:tr>
        <w:tc>
          <w:tcPr>
            <w:tcW w:type="dxa" w:w="2304"/>
          </w:tcPr>
          <w:p>
            <w:pPr>
              <w:spacing w:after="40" w:before="40"/>
            </w:pPr>
            <w:r/>
            <w:r>
              <w:rPr>
                <w:sz w:val="18"/>
              </w:rPr>
              <w:t>Document</w:t>
            </w:r>
          </w:p>
        </w:tc>
        <w:tc>
          <w:tcPr>
            <w:tcW w:type="dxa" w:w="7056"/>
          </w:tcPr>
          <w:p>
            <w:pPr>
              <w:spacing w:after="40" w:before="40"/>
            </w:pPr>
            <w:r/>
            <w:r>
              <w:rPr>
                <w:sz w:val="18"/>
              </w:rPr>
              <w:t>Capability, Differentiation and Security</w:t>
            </w:r>
          </w:p>
        </w:tc>
      </w:tr>
      <w:tr>
        <w:tc>
          <w:tcPr>
            <w:tcW w:type="dxa" w:w="2304"/>
          </w:tcPr>
          <w:p>
            <w:pPr>
              <w:spacing w:after="40" w:before="40"/>
            </w:pPr>
            <w:r/>
            <w:r>
              <w:rPr>
                <w:sz w:val="18"/>
              </w:rPr>
              <w:t>Version</w:t>
            </w:r>
          </w:p>
        </w:tc>
        <w:tc>
          <w:tcPr>
            <w:tcW w:type="dxa" w:w="7056"/>
          </w:tcPr>
          <w:p>
            <w:pPr>
              <w:spacing w:after="40" w:before="40"/>
            </w:pPr>
            <w:r/>
            <w:r>
              <w:rPr>
                <w:sz w:val="18"/>
              </w:rPr>
              <w:t>1.0</w:t>
            </w:r>
          </w:p>
        </w:tc>
      </w:tr>
      <w:tr>
        <w:tc>
          <w:tcPr>
            <w:tcW w:type="dxa" w:w="2304"/>
          </w:tcPr>
          <w:p>
            <w:pPr>
              <w:spacing w:after="40" w:before="40"/>
            </w:pPr>
            <w:r/>
            <w:r>
              <w:rPr>
                <w:sz w:val="18"/>
              </w:rPr>
              <w:t>Date</w:t>
            </w:r>
          </w:p>
        </w:tc>
        <w:tc>
          <w:tcPr>
            <w:tcW w:type="dxa" w:w="7056"/>
          </w:tcPr>
          <w:p>
            <w:pPr>
              <w:spacing w:after="40" w:before="40"/>
            </w:pPr>
            <w:r/>
            <w:r>
              <w:rPr>
                <w:sz w:val="18"/>
              </w:rPr>
              <w:t>September 2026</w:t>
            </w:r>
          </w:p>
        </w:tc>
      </w:tr>
      <w:tr>
        <w:tc>
          <w:tcPr>
            <w:tcW w:type="dxa" w:w="2304"/>
          </w:tcPr>
          <w:p>
            <w:pPr>
              <w:spacing w:after="40" w:before="40"/>
            </w:pPr>
            <w:r/>
            <w:r>
              <w:rPr>
                <w:sz w:val="18"/>
              </w:rPr>
              <w:t>Phase</w:t>
            </w:r>
          </w:p>
        </w:tc>
        <w:tc>
          <w:tcPr>
            <w:tcW w:type="dxa" w:w="7056"/>
          </w:tcPr>
          <w:p>
            <w:pPr>
              <w:spacing w:after="40" w:before="40"/>
            </w:pPr>
            <w:r/>
            <w:r>
              <w:rPr>
                <w:sz w:val="18"/>
              </w:rPr>
              <w:t>Phase 1 — 352 features across three applications</w:t>
            </w:r>
          </w:p>
        </w:tc>
      </w:tr>
      <w:tr>
        <w:tc>
          <w:tcPr>
            <w:tcW w:type="dxa" w:w="2304"/>
          </w:tcPr>
          <w:p>
            <w:pPr>
              <w:spacing w:after="40" w:before="40"/>
            </w:pPr>
            <w:r/>
            <w:r>
              <w:rPr>
                <w:sz w:val="18"/>
              </w:rPr>
              <w:t>Prepared for</w:t>
            </w:r>
          </w:p>
        </w:tc>
        <w:tc>
          <w:tcPr>
            <w:tcW w:type="dxa" w:w="7056"/>
          </w:tcPr>
          <w:p>
            <w:pPr>
              <w:spacing w:after="40" w:before="40"/>
            </w:pPr>
            <w:r/>
            <w:r>
              <w:rPr>
                <w:sz w:val="18"/>
              </w:rPr>
              <w:t>Kolkata Municipal Corporation</w:t>
            </w:r>
          </w:p>
        </w:tc>
      </w:tr>
      <w:tr>
        <w:tc>
          <w:tcPr>
            <w:tcW w:type="dxa" w:w="2304"/>
          </w:tcPr>
          <w:p>
            <w:pPr>
              <w:spacing w:after="40" w:before="40"/>
            </w:pPr>
            <w:r/>
            <w:r>
              <w:rPr>
                <w:sz w:val="18"/>
              </w:rPr>
              <w:t>Classification</w:t>
            </w:r>
          </w:p>
        </w:tc>
        <w:tc>
          <w:tcPr>
            <w:tcW w:type="dxa" w:w="7056"/>
          </w:tcPr>
          <w:p>
            <w:pPr>
              <w:spacing w:after="40" w:before="40"/>
            </w:pPr>
            <w:r/>
            <w:r>
              <w:rPr>
                <w:sz w:val="18"/>
              </w:rPr>
              <w:t>Confidential — for the authority and its advisers</w:t>
            </w:r>
          </w:p>
        </w:tc>
      </w:tr>
    </w:tbl>
    <w:p>
      <w:pPr>
        <w:spacing w:after="80"/>
      </w:pPr>
    </w:p>
    <w:p>
      <w:r>
        <w:rPr>
          <w:b w:val="0"/>
          <w:i/>
          <w:color w:val="5C6675"/>
          <w:sz w:val="18"/>
        </w:rPr>
        <w:t>All platform metrics in this document were verified against the running system, not taken from a design specification. Controls described as in force were confirmed in executing code.</w:t>
      </w:r>
    </w:p>
    <w:p>
      <w:r>
        <w:br w:type="page"/>
      </w:r>
    </w:p>
    <w:p>
      <w:pPr>
        <w:pStyle w:val="Heading1"/>
      </w:pPr>
      <w:r>
        <w:t>1. Executive summary</w:t>
      </w:r>
    </w:p>
    <w:p>
      <w:r>
        <w:rPr>
          <w:b w:val="0"/>
          <w:i w:val="0"/>
        </w:rPr>
        <w:t>Today a citizen parks on an authorised stretch of Kolkata's kerb, an attendant tears off a printed slip, quotes a number and takes cash. There is no record the Corporation can verify, no evidence the vehicle was ever parked, and no way to confirm the rate charged was the rate approved.</w:t>
      </w:r>
    </w:p>
    <w:p>
      <w:r>
        <w:rPr>
          <w:b w:val="0"/>
          <w:i w:val="0"/>
        </w:rPr>
        <w:t>KMCP makes every parking event a first-class digital record: created when the vehicle arrives, priced automatically from a government-approved tariff that only an authorised officer can change, evidenced by a timestamped and geotagged photograph, paid through a traceable channel, receipted to the citizen, reconciled against the attendant's shift, and settled to the operator with the Corporation's share computed by the system rather than negotiated by hand.</w:t>
      </w:r>
    </w:p>
    <w:p>
      <w:pPr>
        <w:pStyle w:val="Heading3"/>
      </w:pPr>
      <w:r>
        <w:t>The three problems it addresses</w:t>
      </w:r>
    </w:p>
    <w:p>
      <w:pPr>
        <w:pStyle w:val="ListBullet"/>
        <w:spacing w:after="60"/>
      </w:pPr>
      <w:r>
        <w:rPr>
          <w:b/>
        </w:rPr>
        <w:t xml:space="preserve">Revenue leakage — </w:t>
      </w:r>
      <w:r>
        <w:t>unrecorded cash collection and under-quoted tariffs mean a material share of what citizens pay never reaches the municipal treasury. The platform's answer is direct: the attendant cannot choose the price.</w:t>
      </w:r>
    </w:p>
    <w:p>
      <w:pPr>
        <w:pStyle w:val="ListBullet"/>
        <w:spacing w:after="60"/>
      </w:pPr>
      <w:r>
        <w:rPr>
          <w:b/>
        </w:rPr>
        <w:t xml:space="preserve">No operational visibility — </w:t>
      </w:r>
      <w:r>
        <w:t>the authority has no live view of which zones are full, which operators are performing, or where demand actually is, and therefore plans capacity, contracts and tariff revisions on guesswork.</w:t>
      </w:r>
    </w:p>
    <w:p>
      <w:pPr>
        <w:pStyle w:val="ListBullet"/>
        <w:spacing w:after="60"/>
      </w:pPr>
      <w:r>
        <w:rPr>
          <w:b/>
        </w:rPr>
        <w:t xml:space="preserve">Citizen friction — </w:t>
      </w:r>
      <w:r>
        <w:t>drivers circle for spaces, cannot verify what they were charged, hold no receipt, and have no channel to escalate an overcharge or damage.</w:t>
      </w:r>
    </w:p>
    <w:p>
      <w:pPr>
        <w:pStyle w:val="Heading3"/>
      </w:pPr>
      <w:r>
        <w:t>What is delivered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024"/>
            <w:shd w:val="clear" w:fill="1F4FD8"/>
          </w:tcPr>
          <w:p>
            <w:pPr>
              <w:spacing w:after="40" w:before="40"/>
            </w:pPr>
            <w:r/>
            <w:r>
              <w:rPr>
                <w:b/>
                <w:color w:val="FFFFFF"/>
                <w:sz w:val="18"/>
              </w:rPr>
              <w:t>Component</w:t>
            </w:r>
          </w:p>
        </w:tc>
        <w:tc>
          <w:tcPr>
            <w:tcW w:type="dxa" w:w="3312"/>
            <w:shd w:val="clear" w:fill="1F4FD8"/>
          </w:tcPr>
          <w:p>
            <w:pPr>
              <w:spacing w:after="40" w:before="40"/>
            </w:pPr>
            <w:r/>
            <w:r>
              <w:rPr>
                <w:b/>
                <w:color w:val="FFFFFF"/>
                <w:sz w:val="18"/>
              </w:rPr>
              <w:t>Users</w:t>
            </w:r>
          </w:p>
        </w:tc>
        <w:tc>
          <w:tcPr>
            <w:tcW w:type="dxa" w:w="1872"/>
            <w:shd w:val="clear" w:fill="1F4FD8"/>
          </w:tcPr>
          <w:p>
            <w:pPr>
              <w:spacing w:after="40" w:before="40"/>
            </w:pPr>
            <w:r/>
            <w:r>
              <w:rPr>
                <w:b/>
                <w:color w:val="FFFFFF"/>
                <w:sz w:val="18"/>
              </w:rPr>
              <w:t>Platform</w:t>
            </w:r>
          </w:p>
        </w:tc>
        <w:tc>
          <w:tcPr>
            <w:tcW w:type="dxa" w:w="1152"/>
            <w:shd w:val="clear" w:fill="1F4FD8"/>
          </w:tcPr>
          <w:p>
            <w:pPr>
              <w:spacing w:after="40" w:before="40"/>
            </w:pPr>
            <w:r/>
            <w:r>
              <w:rPr>
                <w:b/>
                <w:color w:val="FFFFFF"/>
                <w:sz w:val="18"/>
              </w:rPr>
              <w:t>Features</w:t>
            </w:r>
          </w:p>
        </w:tc>
      </w:tr>
      <w:tr>
        <w:tc>
          <w:tcPr>
            <w:tcW w:type="dxa" w:w="3024"/>
          </w:tcPr>
          <w:p>
            <w:pPr>
              <w:spacing w:after="40" w:before="40"/>
            </w:pPr>
            <w:r/>
            <w:r>
              <w:rPr>
                <w:sz w:val="18"/>
              </w:rPr>
              <w:t>Admin Portal</w:t>
            </w:r>
          </w:p>
        </w:tc>
        <w:tc>
          <w:tcPr>
            <w:tcW w:type="dxa" w:w="3312"/>
          </w:tcPr>
          <w:p>
            <w:pPr>
              <w:spacing w:after="40" w:before="40"/>
            </w:pPr>
            <w:r/>
            <w:r>
              <w:rPr>
                <w:sz w:val="18"/>
              </w:rPr>
              <w:t>Municipal officers, zone officers, auditors</w:t>
            </w:r>
          </w:p>
        </w:tc>
        <w:tc>
          <w:tcPr>
            <w:tcW w:type="dxa" w:w="1872"/>
          </w:tcPr>
          <w:p>
            <w:pPr>
              <w:spacing w:after="40" w:before="40"/>
            </w:pPr>
            <w:r/>
            <w:r>
              <w:rPr>
                <w:sz w:val="18"/>
              </w:rPr>
              <w:t>Web</w:t>
            </w:r>
          </w:p>
        </w:tc>
        <w:tc>
          <w:tcPr>
            <w:tcW w:type="dxa" w:w="1152"/>
          </w:tcPr>
          <w:p>
            <w:pPr>
              <w:spacing w:after="40" w:before="40"/>
            </w:pPr>
            <w:r/>
            <w:r>
              <w:rPr>
                <w:sz w:val="18"/>
              </w:rPr>
              <w:t>149</w:t>
            </w:r>
          </w:p>
        </w:tc>
      </w:tr>
      <w:tr>
        <w:tc>
          <w:tcPr>
            <w:tcW w:type="dxa" w:w="3024"/>
          </w:tcPr>
          <w:p>
            <w:pPr>
              <w:spacing w:after="40" w:before="40"/>
            </w:pPr>
            <w:r/>
            <w:r>
              <w:rPr>
                <w:sz w:val="18"/>
              </w:rPr>
              <w:t>Vendor Application</w:t>
            </w:r>
          </w:p>
        </w:tc>
        <w:tc>
          <w:tcPr>
            <w:tcW w:type="dxa" w:w="3312"/>
          </w:tcPr>
          <w:p>
            <w:pPr>
              <w:spacing w:after="40" w:before="40"/>
            </w:pPr>
            <w:r/>
            <w:r>
              <w:rPr>
                <w:sz w:val="18"/>
              </w:rPr>
              <w:t>Parking operators and attendants</w:t>
            </w:r>
          </w:p>
        </w:tc>
        <w:tc>
          <w:tcPr>
            <w:tcW w:type="dxa" w:w="1872"/>
          </w:tcPr>
          <w:p>
            <w:pPr>
              <w:spacing w:after="40" w:before="40"/>
            </w:pPr>
            <w:r/>
            <w:r>
              <w:rPr>
                <w:sz w:val="18"/>
              </w:rPr>
              <w:t>Android + iOS</w:t>
            </w:r>
          </w:p>
        </w:tc>
        <w:tc>
          <w:tcPr>
            <w:tcW w:type="dxa" w:w="1152"/>
          </w:tcPr>
          <w:p>
            <w:pPr>
              <w:spacing w:after="40" w:before="40"/>
            </w:pPr>
            <w:r/>
            <w:r>
              <w:rPr>
                <w:sz w:val="18"/>
              </w:rPr>
              <w:t>73</w:t>
            </w:r>
          </w:p>
        </w:tc>
      </w:tr>
      <w:tr>
        <w:tc>
          <w:tcPr>
            <w:tcW w:type="dxa" w:w="3024"/>
          </w:tcPr>
          <w:p>
            <w:pPr>
              <w:spacing w:after="40" w:before="40"/>
            </w:pPr>
            <w:r/>
            <w:r>
              <w:rPr>
                <w:sz w:val="18"/>
              </w:rPr>
              <w:t>Citizen Application</w:t>
            </w:r>
          </w:p>
        </w:tc>
        <w:tc>
          <w:tcPr>
            <w:tcW w:type="dxa" w:w="3312"/>
          </w:tcPr>
          <w:p>
            <w:pPr>
              <w:spacing w:after="40" w:before="40"/>
            </w:pPr>
            <w:r/>
            <w:r>
              <w:rPr>
                <w:sz w:val="18"/>
              </w:rPr>
              <w:t>Vehicle owners</w:t>
            </w:r>
          </w:p>
        </w:tc>
        <w:tc>
          <w:tcPr>
            <w:tcW w:type="dxa" w:w="1872"/>
          </w:tcPr>
          <w:p>
            <w:pPr>
              <w:spacing w:after="40" w:before="40"/>
            </w:pPr>
            <w:r/>
            <w:r>
              <w:rPr>
                <w:sz w:val="18"/>
              </w:rPr>
              <w:t>Android + iOS</w:t>
            </w:r>
          </w:p>
        </w:tc>
        <w:tc>
          <w:tcPr>
            <w:tcW w:type="dxa" w:w="1152"/>
          </w:tcPr>
          <w:p>
            <w:pPr>
              <w:spacing w:after="40" w:before="40"/>
            </w:pPr>
            <w:r/>
            <w:r>
              <w:rPr>
                <w:sz w:val="18"/>
              </w:rPr>
              <w:t>63</w:t>
            </w:r>
          </w:p>
        </w:tc>
      </w:tr>
      <w:tr>
        <w:tc>
          <w:tcPr>
            <w:tcW w:type="dxa" w:w="3024"/>
          </w:tcPr>
          <w:p>
            <w:pPr>
              <w:spacing w:after="40" w:before="40"/>
            </w:pPr>
            <w:r/>
            <w:r>
              <w:rPr>
                <w:sz w:val="18"/>
              </w:rPr>
              <w:t>Core platform services</w:t>
            </w:r>
          </w:p>
        </w:tc>
        <w:tc>
          <w:tcPr>
            <w:tcW w:type="dxa" w:w="3312"/>
          </w:tcPr>
          <w:p>
            <w:pPr>
              <w:spacing w:after="40" w:before="40"/>
            </w:pPr>
            <w:r/>
            <w:r>
              <w:rPr>
                <w:sz w:val="18"/>
              </w:rPr>
              <w:t>All three clients</w:t>
            </w:r>
          </w:p>
        </w:tc>
        <w:tc>
          <w:tcPr>
            <w:tcW w:type="dxa" w:w="1872"/>
          </w:tcPr>
          <w:p>
            <w:pPr>
              <w:spacing w:after="40" w:before="40"/>
            </w:pPr>
            <w:r/>
            <w:r>
              <w:rPr>
                <w:sz w:val="18"/>
              </w:rPr>
              <w:t>API</w:t>
            </w:r>
          </w:p>
        </w:tc>
        <w:tc>
          <w:tcPr>
            <w:tcW w:type="dxa" w:w="1152"/>
          </w:tcPr>
          <w:p>
            <w:pPr>
              <w:spacing w:after="40" w:before="40"/>
            </w:pPr>
            <w:r/>
            <w:r>
              <w:rPr>
                <w:sz w:val="18"/>
              </w:rPr>
              <w:t>35</w:t>
            </w:r>
          </w:p>
        </w:tc>
      </w:tr>
      <w:tr>
        <w:tc>
          <w:tcPr>
            <w:tcW w:type="dxa" w:w="3024"/>
          </w:tcPr>
          <w:p>
            <w:pPr>
              <w:spacing w:after="40" w:before="40"/>
            </w:pPr>
            <w:r/>
            <w:r>
              <w:rPr>
                <w:sz w:val="18"/>
              </w:rPr>
              <w:t>Fraud prevention, security, integrations</w:t>
            </w:r>
          </w:p>
        </w:tc>
        <w:tc>
          <w:tcPr>
            <w:tcW w:type="dxa" w:w="3312"/>
          </w:tcPr>
          <w:p>
            <w:pPr>
              <w:spacing w:after="40" w:before="40"/>
            </w:pPr>
            <w:r/>
            <w:r>
              <w:rPr>
                <w:sz w:val="18"/>
              </w:rPr>
              <w:t>Cross-cutting</w:t>
            </w:r>
          </w:p>
        </w:tc>
        <w:tc>
          <w:tcPr>
            <w:tcW w:type="dxa" w:w="1872"/>
          </w:tcPr>
          <w:p>
            <w:pPr>
              <w:spacing w:after="40" w:before="40"/>
            </w:pPr>
            <w:r/>
            <w:r>
              <w:rPr>
                <w:sz w:val="18"/>
              </w:rPr>
              <w:t>API</w:t>
            </w:r>
          </w:p>
        </w:tc>
        <w:tc>
          <w:tcPr>
            <w:tcW w:type="dxa" w:w="1152"/>
          </w:tcPr>
          <w:p>
            <w:pPr>
              <w:spacing w:after="40" w:before="40"/>
            </w:pPr>
            <w:r/>
            <w:r>
              <w:rPr>
                <w:sz w:val="18"/>
              </w:rPr>
              <w:t>32</w:t>
            </w:r>
          </w:p>
        </w:tc>
      </w:tr>
      <w:tr>
        <w:tc>
          <w:tcPr>
            <w:tcW w:type="dxa" w:w="3024"/>
          </w:tcPr>
          <w:p>
            <w:pPr>
              <w:spacing w:after="40" w:before="40"/>
            </w:pPr>
            <w:r/>
            <w:r>
              <w:rPr>
                <w:sz w:val="18"/>
              </w:rPr>
              <w:t>Total, Phase 1</w:t>
            </w:r>
          </w:p>
        </w:tc>
        <w:tc>
          <w:tcPr>
            <w:tcW w:type="dxa" w:w="3312"/>
          </w:tcPr>
          <w:p>
            <w:pPr>
              <w:spacing w:after="40" w:before="40"/>
            </w:pPr>
            <w:r/>
            <w:r>
              <w:rPr>
                <w:sz w:val="18"/>
              </w:rPr>
            </w:r>
          </w:p>
        </w:tc>
        <w:tc>
          <w:tcPr>
            <w:tcW w:type="dxa" w:w="1872"/>
          </w:tcPr>
          <w:p>
            <w:pPr>
              <w:spacing w:after="40" w:before="40"/>
            </w:pPr>
            <w:r/>
            <w:r>
              <w:rPr>
                <w:sz w:val="18"/>
              </w:rPr>
            </w:r>
          </w:p>
        </w:tc>
        <w:tc>
          <w:tcPr>
            <w:tcW w:type="dxa" w:w="1152"/>
          </w:tcPr>
          <w:p>
            <w:pPr>
              <w:spacing w:after="40" w:before="40"/>
            </w:pPr>
            <w:r/>
            <w:r>
              <w:rPr>
                <w:sz w:val="18"/>
              </w:rPr>
              <w:t>352</w:t>
            </w:r>
          </w:p>
        </w:tc>
      </w:tr>
    </w:tbl>
    <w:p>
      <w:pPr>
        <w:spacing w:after="80"/>
      </w:pPr>
    </w:p>
    <w:p>
      <w:r>
        <w:br w:type="page"/>
      </w:r>
    </w:p>
    <w:p>
      <w:pPr>
        <w:pStyle w:val="Heading1"/>
      </w:pPr>
      <w:r>
        <w:t>2. Feature specification</w:t>
      </w:r>
    </w:p>
    <w:p>
      <w:r>
        <w:rPr>
          <w:b w:val="0"/>
          <w:i w:val="0"/>
        </w:rPr>
        <w:t>Counted from the agreed Scope of Work. Phase 2 items are listed in section 2.6 and are expressly outside this scope.</w:t>
      </w:r>
    </w:p>
    <w:p>
      <w:pPr>
        <w:pStyle w:val="Heading2"/>
      </w:pPr>
      <w:r>
        <w:t>2.1 Core platform services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fill="1F4FD8"/>
          </w:tcPr>
          <w:p>
            <w:pPr>
              <w:spacing w:after="40" w:before="40"/>
            </w:pPr>
            <w:r/>
            <w:r>
              <w:rPr>
                <w:b/>
                <w:color w:val="FFFFFF"/>
                <w:sz w:val="18"/>
              </w:rPr>
              <w:t>Area</w:t>
            </w:r>
          </w:p>
        </w:tc>
        <w:tc>
          <w:tcPr>
            <w:tcW w:type="dxa" w:w="720"/>
            <w:shd w:val="clear" w:fill="1F4FD8"/>
          </w:tcPr>
          <w:p>
            <w:pPr>
              <w:spacing w:after="40" w:before="40"/>
            </w:pPr>
            <w:r/>
            <w:r>
              <w:rPr>
                <w:b/>
                <w:color w:val="FFFFFF"/>
                <w:sz w:val="18"/>
              </w:rPr>
              <w:t>No.</w:t>
            </w:r>
          </w:p>
        </w:tc>
        <w:tc>
          <w:tcPr>
            <w:tcW w:type="dxa" w:w="5760"/>
            <w:shd w:val="clear" w:fill="1F4FD8"/>
          </w:tcPr>
          <w:p>
            <w:pPr>
              <w:spacing w:after="40" w:before="40"/>
            </w:pPr>
            <w:r/>
            <w:r>
              <w:rPr>
                <w:b/>
                <w:color w:val="FFFFFF"/>
                <w:sz w:val="18"/>
              </w:rPr>
              <w:t>Scope</w:t>
            </w:r>
          </w:p>
        </w:tc>
      </w:tr>
      <w:tr>
        <w:tc>
          <w:tcPr>
            <w:tcW w:type="dxa" w:w="2880"/>
          </w:tcPr>
          <w:p>
            <w:pPr>
              <w:spacing w:after="40" w:before="40"/>
            </w:pPr>
            <w:r/>
            <w:r>
              <w:rPr>
                <w:sz w:val="18"/>
              </w:rPr>
              <w:t>Vehicle capture and identification</w:t>
            </w:r>
          </w:p>
        </w:tc>
        <w:tc>
          <w:tcPr>
            <w:tcW w:type="dxa" w:w="720"/>
          </w:tcPr>
          <w:p>
            <w:pPr>
              <w:spacing w:after="40" w:before="40"/>
            </w:pPr>
            <w:r/>
            <w:r>
              <w:rPr>
                <w:sz w:val="18"/>
              </w:rPr>
              <w:t>10</w:t>
            </w:r>
          </w:p>
        </w:tc>
        <w:tc>
          <w:tcPr>
            <w:tcW w:type="dxa" w:w="5760"/>
          </w:tcPr>
          <w:p>
            <w:pPr>
              <w:spacing w:after="40" w:before="40"/>
            </w:pPr>
            <w:r/>
            <w:r>
              <w:rPr>
                <w:sz w:val="18"/>
              </w:rPr>
              <w:t>Plate capture and normalisation to Indian registration formats, photographic evidence, geotagging, vehicle categories, blacklisting</w:t>
            </w:r>
          </w:p>
        </w:tc>
      </w:tr>
      <w:tr>
        <w:tc>
          <w:tcPr>
            <w:tcW w:type="dxa" w:w="2880"/>
          </w:tcPr>
          <w:p>
            <w:pPr>
              <w:spacing w:after="40" w:before="40"/>
            </w:pPr>
            <w:r/>
            <w:r>
              <w:rPr>
                <w:sz w:val="18"/>
              </w:rPr>
              <w:t>Parking timer engine</w:t>
            </w:r>
          </w:p>
        </w:tc>
        <w:tc>
          <w:tcPr>
            <w:tcW w:type="dxa" w:w="720"/>
          </w:tcPr>
          <w:p>
            <w:pPr>
              <w:spacing w:after="40" w:before="40"/>
            </w:pPr>
            <w:r/>
            <w:r>
              <w:rPr>
                <w:sz w:val="18"/>
              </w:rPr>
              <w:t>13</w:t>
            </w:r>
          </w:p>
        </w:tc>
        <w:tc>
          <w:tcPr>
            <w:tcW w:type="dxa" w:w="5760"/>
          </w:tcPr>
          <w:p>
            <w:pPr>
              <w:spacing w:after="40" w:before="40"/>
            </w:pPr>
            <w:r/>
            <w:r>
              <w:rPr>
                <w:sz w:val="18"/>
              </w:rPr>
              <w:t>Session lifecycle, grace periods, live duration, overstay detection, cancellation and dispute states</w:t>
            </w:r>
          </w:p>
        </w:tc>
      </w:tr>
      <w:tr>
        <w:tc>
          <w:tcPr>
            <w:tcW w:type="dxa" w:w="2880"/>
          </w:tcPr>
          <w:p>
            <w:pPr>
              <w:spacing w:after="40" w:before="40"/>
            </w:pPr>
            <w:r/>
            <w:r>
              <w:rPr>
                <w:sz w:val="18"/>
              </w:rPr>
              <w:t>Dynamic pricing engine</w:t>
            </w:r>
          </w:p>
        </w:tc>
        <w:tc>
          <w:tcPr>
            <w:tcW w:type="dxa" w:w="720"/>
          </w:tcPr>
          <w:p>
            <w:pPr>
              <w:spacing w:after="40" w:before="40"/>
            </w:pPr>
            <w:r/>
            <w:r>
              <w:rPr>
                <w:sz w:val="18"/>
              </w:rPr>
              <w:t>12</w:t>
            </w:r>
          </w:p>
        </w:tc>
        <w:tc>
          <w:tcPr>
            <w:tcW w:type="dxa" w:w="5760"/>
          </w:tcPr>
          <w:p>
            <w:pPr>
              <w:spacing w:after="40" w:before="40"/>
            </w:pPr>
            <w:r/>
            <w:r>
              <w:rPr>
                <w:sz w:val="18"/>
              </w:rPr>
              <w:t>Effective-dated tariff versions, base and increment slabs, daily caps, holiday and event multipliers, discounts, pass waivers, tax</w:t>
            </w:r>
          </w:p>
        </w:tc>
      </w:tr>
    </w:tbl>
    <w:p>
      <w:pPr>
        <w:spacing w:after="80"/>
      </w:pPr>
    </w:p>
    <w:p>
      <w:pPr>
        <w:pStyle w:val="Heading2"/>
      </w:pPr>
      <w:r>
        <w:t>2.2 Module 1 — Admin Portal (149 features)</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fill="1F4FD8"/>
          </w:tcPr>
          <w:p>
            <w:pPr>
              <w:spacing w:after="40" w:before="40"/>
            </w:pPr>
            <w:r/>
            <w:r>
              <w:rPr>
                <w:b/>
                <w:color w:val="FFFFFF"/>
                <w:sz w:val="18"/>
              </w:rPr>
              <w:t>Area</w:t>
            </w:r>
          </w:p>
        </w:tc>
        <w:tc>
          <w:tcPr>
            <w:tcW w:type="dxa" w:w="720"/>
            <w:shd w:val="clear" w:fill="1F4FD8"/>
          </w:tcPr>
          <w:p>
            <w:pPr>
              <w:spacing w:after="40" w:before="40"/>
            </w:pPr>
            <w:r/>
            <w:r>
              <w:rPr>
                <w:b/>
                <w:color w:val="FFFFFF"/>
                <w:sz w:val="18"/>
              </w:rPr>
              <w:t>No.</w:t>
            </w:r>
          </w:p>
        </w:tc>
        <w:tc>
          <w:tcPr>
            <w:tcW w:type="dxa" w:w="6048"/>
            <w:shd w:val="clear" w:fill="1F4FD8"/>
          </w:tcPr>
          <w:p>
            <w:pPr>
              <w:spacing w:after="40" w:before="40"/>
            </w:pPr>
            <w:r/>
            <w:r>
              <w:rPr>
                <w:b/>
                <w:color w:val="FFFFFF"/>
                <w:sz w:val="18"/>
              </w:rPr>
              <w:t>Scope</w:t>
            </w:r>
          </w:p>
        </w:tc>
      </w:tr>
      <w:tr>
        <w:tc>
          <w:tcPr>
            <w:tcW w:type="dxa" w:w="2592"/>
          </w:tcPr>
          <w:p>
            <w:pPr>
              <w:spacing w:after="40" w:before="40"/>
            </w:pPr>
            <w:r/>
            <w:r>
              <w:rPr>
                <w:sz w:val="18"/>
              </w:rPr>
              <w:t>Dashboard</w:t>
            </w:r>
          </w:p>
        </w:tc>
        <w:tc>
          <w:tcPr>
            <w:tcW w:type="dxa" w:w="720"/>
          </w:tcPr>
          <w:p>
            <w:pPr>
              <w:spacing w:after="40" w:before="40"/>
            </w:pPr>
            <w:r/>
            <w:r>
              <w:rPr>
                <w:sz w:val="18"/>
              </w:rPr>
              <w:t>14</w:t>
            </w:r>
          </w:p>
        </w:tc>
        <w:tc>
          <w:tcPr>
            <w:tcW w:type="dxa" w:w="6048"/>
          </w:tcPr>
          <w:p>
            <w:pPr>
              <w:spacing w:after="40" w:before="40"/>
            </w:pPr>
            <w:r/>
            <w:r>
              <w:rPr>
                <w:sz w:val="18"/>
              </w:rPr>
              <w:t>Live occupancy, revenue today and month, payment mix, zone heat map, activity feed, attention items</w:t>
            </w:r>
          </w:p>
        </w:tc>
      </w:tr>
      <w:tr>
        <w:tc>
          <w:tcPr>
            <w:tcW w:type="dxa" w:w="2592"/>
          </w:tcPr>
          <w:p>
            <w:pPr>
              <w:spacing w:after="40" w:before="40"/>
            </w:pPr>
            <w:r/>
            <w:r>
              <w:rPr>
                <w:sz w:val="18"/>
              </w:rPr>
              <w:t>Zone management</w:t>
            </w:r>
          </w:p>
        </w:tc>
        <w:tc>
          <w:tcPr>
            <w:tcW w:type="dxa" w:w="720"/>
          </w:tcPr>
          <w:p>
            <w:pPr>
              <w:spacing w:after="40" w:before="40"/>
            </w:pPr>
            <w:r/>
            <w:r>
              <w:rPr>
                <w:sz w:val="18"/>
              </w:rPr>
              <w:t>12</w:t>
            </w:r>
          </w:p>
        </w:tc>
        <w:tc>
          <w:tcPr>
            <w:tcW w:type="dxa" w:w="6048"/>
          </w:tcPr>
          <w:p>
            <w:pPr>
              <w:spacing w:after="40" w:before="40"/>
            </w:pPr>
            <w:r/>
            <w:r>
              <w:rPr>
                <w:sz w:val="18"/>
              </w:rPr>
              <w:t>Geo-fenced zones, capacity, operating hours, open/close/maintenance states, operator assignment</w:t>
            </w:r>
          </w:p>
        </w:tc>
      </w:tr>
      <w:tr>
        <w:tc>
          <w:tcPr>
            <w:tcW w:type="dxa" w:w="2592"/>
          </w:tcPr>
          <w:p>
            <w:pPr>
              <w:spacing w:after="40" w:before="40"/>
            </w:pPr>
            <w:r/>
            <w:r>
              <w:rPr>
                <w:sz w:val="18"/>
              </w:rPr>
              <w:t>Slot management</w:t>
            </w:r>
          </w:p>
        </w:tc>
        <w:tc>
          <w:tcPr>
            <w:tcW w:type="dxa" w:w="720"/>
          </w:tcPr>
          <w:p>
            <w:pPr>
              <w:spacing w:after="40" w:before="40"/>
            </w:pPr>
            <w:r/>
            <w:r>
              <w:rPr>
                <w:sz w:val="18"/>
              </w:rPr>
              <w:t>10</w:t>
            </w:r>
          </w:p>
        </w:tc>
        <w:tc>
          <w:tcPr>
            <w:tcW w:type="dxa" w:w="6048"/>
          </w:tcPr>
          <w:p>
            <w:pPr>
              <w:spacing w:after="40" w:before="40"/>
            </w:pPr>
            <w:r/>
            <w:r>
              <w:rPr>
                <w:sz w:val="18"/>
              </w:rPr>
              <w:t>Individual bays, types including EV and accessible, bulk creation, status and reservation</w:t>
            </w:r>
          </w:p>
        </w:tc>
      </w:tr>
      <w:tr>
        <w:tc>
          <w:tcPr>
            <w:tcW w:type="dxa" w:w="2592"/>
          </w:tcPr>
          <w:p>
            <w:pPr>
              <w:spacing w:after="40" w:before="40"/>
            </w:pPr>
            <w:r/>
            <w:r>
              <w:rPr>
                <w:sz w:val="18"/>
              </w:rPr>
              <w:t>Vendor management</w:t>
            </w:r>
          </w:p>
        </w:tc>
        <w:tc>
          <w:tcPr>
            <w:tcW w:type="dxa" w:w="720"/>
          </w:tcPr>
          <w:p>
            <w:pPr>
              <w:spacing w:after="40" w:before="40"/>
            </w:pPr>
            <w:r/>
            <w:r>
              <w:rPr>
                <w:sz w:val="18"/>
              </w:rPr>
              <w:t>16</w:t>
            </w:r>
          </w:p>
        </w:tc>
        <w:tc>
          <w:tcPr>
            <w:tcW w:type="dxa" w:w="6048"/>
          </w:tcPr>
          <w:p>
            <w:pPr>
              <w:spacing w:after="40" w:before="40"/>
            </w:pPr>
            <w:r/>
            <w:r>
              <w:rPr>
                <w:sz w:val="18"/>
              </w:rPr>
              <w:t>Onboarding, KYC document workflow, approval, suspension, commission rates, performance</w:t>
            </w:r>
          </w:p>
        </w:tc>
      </w:tr>
      <w:tr>
        <w:tc>
          <w:tcPr>
            <w:tcW w:type="dxa" w:w="2592"/>
          </w:tcPr>
          <w:p>
            <w:pPr>
              <w:spacing w:after="40" w:before="40"/>
            </w:pPr>
            <w:r/>
            <w:r>
              <w:rPr>
                <w:sz w:val="18"/>
              </w:rPr>
              <w:t>Attendant management</w:t>
            </w:r>
          </w:p>
        </w:tc>
        <w:tc>
          <w:tcPr>
            <w:tcW w:type="dxa" w:w="720"/>
          </w:tcPr>
          <w:p>
            <w:pPr>
              <w:spacing w:after="40" w:before="40"/>
            </w:pPr>
            <w:r/>
            <w:r>
              <w:rPr>
                <w:sz w:val="18"/>
              </w:rPr>
              <w:t>10</w:t>
            </w:r>
          </w:p>
        </w:tc>
        <w:tc>
          <w:tcPr>
            <w:tcW w:type="dxa" w:w="6048"/>
          </w:tcPr>
          <w:p>
            <w:pPr>
              <w:spacing w:after="40" w:before="40"/>
            </w:pPr>
            <w:r/>
            <w:r>
              <w:rPr>
                <w:sz w:val="18"/>
              </w:rPr>
              <w:t>Roster, employee codes, zone posting, device binding and unbinding, transfer between operators</w:t>
            </w:r>
          </w:p>
        </w:tc>
      </w:tr>
      <w:tr>
        <w:tc>
          <w:tcPr>
            <w:tcW w:type="dxa" w:w="2592"/>
          </w:tcPr>
          <w:p>
            <w:pPr>
              <w:spacing w:after="40" w:before="40"/>
            </w:pPr>
            <w:r/>
            <w:r>
              <w:rPr>
                <w:sz w:val="18"/>
              </w:rPr>
              <w:t>Tariff management</w:t>
            </w:r>
          </w:p>
        </w:tc>
        <w:tc>
          <w:tcPr>
            <w:tcW w:type="dxa" w:w="720"/>
          </w:tcPr>
          <w:p>
            <w:pPr>
              <w:spacing w:after="40" w:before="40"/>
            </w:pPr>
            <w:r/>
            <w:r>
              <w:rPr>
                <w:sz w:val="18"/>
              </w:rPr>
              <w:t>12</w:t>
            </w:r>
          </w:p>
        </w:tc>
        <w:tc>
          <w:tcPr>
            <w:tcW w:type="dxa" w:w="6048"/>
          </w:tcPr>
          <w:p>
            <w:pPr>
              <w:spacing w:after="40" w:before="40"/>
            </w:pPr>
            <w:r/>
            <w:r>
              <w:rPr>
                <w:sz w:val="18"/>
              </w:rPr>
              <w:t>Drafting, versioning, approval reference, publication, archival — a published rate is never edited in place</w:t>
            </w:r>
          </w:p>
        </w:tc>
      </w:tr>
      <w:tr>
        <w:tc>
          <w:tcPr>
            <w:tcW w:type="dxa" w:w="2592"/>
          </w:tcPr>
          <w:p>
            <w:pPr>
              <w:spacing w:after="40" w:before="40"/>
            </w:pPr>
            <w:r/>
            <w:r>
              <w:rPr>
                <w:sz w:val="18"/>
              </w:rPr>
              <w:t>Revenue management</w:t>
            </w:r>
          </w:p>
        </w:tc>
        <w:tc>
          <w:tcPr>
            <w:tcW w:type="dxa" w:w="720"/>
          </w:tcPr>
          <w:p>
            <w:pPr>
              <w:spacing w:after="40" w:before="40"/>
            </w:pPr>
            <w:r/>
            <w:r>
              <w:rPr>
                <w:sz w:val="18"/>
              </w:rPr>
              <w:t>13</w:t>
            </w:r>
          </w:p>
        </w:tc>
        <w:tc>
          <w:tcPr>
            <w:tcW w:type="dxa" w:w="6048"/>
          </w:tcPr>
          <w:p>
            <w:pPr>
              <w:spacing w:after="40" w:before="40"/>
            </w:pPr>
            <w:r/>
            <w:r>
              <w:rPr>
                <w:sz w:val="18"/>
              </w:rPr>
              <w:t>Collections by mode, zone and operator; government share; period comparison</w:t>
            </w:r>
          </w:p>
        </w:tc>
      </w:tr>
      <w:tr>
        <w:tc>
          <w:tcPr>
            <w:tcW w:type="dxa" w:w="2592"/>
          </w:tcPr>
          <w:p>
            <w:pPr>
              <w:spacing w:after="40" w:before="40"/>
            </w:pPr>
            <w:r/>
            <w:r>
              <w:rPr>
                <w:sz w:val="18"/>
              </w:rPr>
              <w:t>Vendor settlement</w:t>
            </w:r>
          </w:p>
        </w:tc>
        <w:tc>
          <w:tcPr>
            <w:tcW w:type="dxa" w:w="720"/>
          </w:tcPr>
          <w:p>
            <w:pPr>
              <w:spacing w:after="40" w:before="40"/>
            </w:pPr>
            <w:r/>
            <w:r>
              <w:rPr>
                <w:sz w:val="18"/>
              </w:rPr>
              <w:t>10</w:t>
            </w:r>
          </w:p>
        </w:tc>
        <w:tc>
          <w:tcPr>
            <w:tcW w:type="dxa" w:w="6048"/>
          </w:tcPr>
          <w:p>
            <w:pPr>
              <w:spacing w:after="40" w:before="40"/>
            </w:pPr>
            <w:r/>
            <w:r>
              <w:rPr>
                <w:sz w:val="18"/>
              </w:rPr>
              <w:t>Generation, submission, approval, rejection, payout instruction, double-entry ledger postings</w:t>
            </w:r>
          </w:p>
        </w:tc>
      </w:tr>
      <w:tr>
        <w:tc>
          <w:tcPr>
            <w:tcW w:type="dxa" w:w="2592"/>
          </w:tcPr>
          <w:p>
            <w:pPr>
              <w:spacing w:after="40" w:before="40"/>
            </w:pPr>
            <w:r/>
            <w:r>
              <w:rPr>
                <w:sz w:val="18"/>
              </w:rPr>
              <w:t>User management</w:t>
            </w:r>
          </w:p>
        </w:tc>
        <w:tc>
          <w:tcPr>
            <w:tcW w:type="dxa" w:w="720"/>
          </w:tcPr>
          <w:p>
            <w:pPr>
              <w:spacing w:after="40" w:before="40"/>
            </w:pPr>
            <w:r/>
            <w:r>
              <w:rPr>
                <w:sz w:val="18"/>
              </w:rPr>
              <w:t>7</w:t>
            </w:r>
          </w:p>
        </w:tc>
        <w:tc>
          <w:tcPr>
            <w:tcW w:type="dxa" w:w="6048"/>
          </w:tcPr>
          <w:p>
            <w:pPr>
              <w:spacing w:after="40" w:before="40"/>
            </w:pPr>
            <w:r/>
            <w:r>
              <w:rPr>
                <w:sz w:val="18"/>
              </w:rPr>
              <w:t>Accounts, roles, zone allocation, status, password reset, session revocation</w:t>
            </w:r>
          </w:p>
        </w:tc>
      </w:tr>
      <w:tr>
        <w:tc>
          <w:tcPr>
            <w:tcW w:type="dxa" w:w="2592"/>
          </w:tcPr>
          <w:p>
            <w:pPr>
              <w:spacing w:after="40" w:before="40"/>
            </w:pPr>
            <w:r/>
            <w:r>
              <w:rPr>
                <w:sz w:val="18"/>
              </w:rPr>
              <w:t>Reports and analytics</w:t>
            </w:r>
          </w:p>
        </w:tc>
        <w:tc>
          <w:tcPr>
            <w:tcW w:type="dxa" w:w="720"/>
          </w:tcPr>
          <w:p>
            <w:pPr>
              <w:spacing w:after="40" w:before="40"/>
            </w:pPr>
            <w:r/>
            <w:r>
              <w:rPr>
                <w:sz w:val="18"/>
              </w:rPr>
              <w:t>15</w:t>
            </w:r>
          </w:p>
        </w:tc>
        <w:tc>
          <w:tcPr>
            <w:tcW w:type="dxa" w:w="6048"/>
          </w:tcPr>
          <w:p>
            <w:pPr>
              <w:spacing w:after="40" w:before="40"/>
            </w:pPr>
            <w:r/>
            <w:r>
              <w:rPr>
                <w:sz w:val="18"/>
              </w:rPr>
              <w:t>Eleven report types, occupancy and revenue series, utilisation, scheduled recurrence, exports</w:t>
            </w:r>
          </w:p>
        </w:tc>
      </w:tr>
      <w:tr>
        <w:tc>
          <w:tcPr>
            <w:tcW w:type="dxa" w:w="2592"/>
          </w:tcPr>
          <w:p>
            <w:pPr>
              <w:spacing w:after="40" w:before="40"/>
            </w:pPr>
            <w:r/>
            <w:r>
              <w:rPr>
                <w:sz w:val="18"/>
              </w:rPr>
              <w:t>Notifications</w:t>
            </w:r>
          </w:p>
        </w:tc>
        <w:tc>
          <w:tcPr>
            <w:tcW w:type="dxa" w:w="720"/>
          </w:tcPr>
          <w:p>
            <w:pPr>
              <w:spacing w:after="40" w:before="40"/>
            </w:pPr>
            <w:r/>
            <w:r>
              <w:rPr>
                <w:sz w:val="18"/>
              </w:rPr>
              <w:t>7</w:t>
            </w:r>
          </w:p>
        </w:tc>
        <w:tc>
          <w:tcPr>
            <w:tcW w:type="dxa" w:w="6048"/>
          </w:tcPr>
          <w:p>
            <w:pPr>
              <w:spacing w:after="40" w:before="40"/>
            </w:pPr>
            <w:r/>
            <w:r>
              <w:rPr>
                <w:sz w:val="18"/>
              </w:rPr>
              <w:t>In-app alerts for cash variance, approvals, applications, capacity and incidents</w:t>
            </w:r>
          </w:p>
        </w:tc>
      </w:tr>
      <w:tr>
        <w:tc>
          <w:tcPr>
            <w:tcW w:type="dxa" w:w="2592"/>
          </w:tcPr>
          <w:p>
            <w:pPr>
              <w:spacing w:after="40" w:before="40"/>
            </w:pPr>
            <w:r/>
            <w:r>
              <w:rPr>
                <w:sz w:val="18"/>
              </w:rPr>
              <w:t>Audit and compliance</w:t>
            </w:r>
          </w:p>
        </w:tc>
        <w:tc>
          <w:tcPr>
            <w:tcW w:type="dxa" w:w="720"/>
          </w:tcPr>
          <w:p>
            <w:pPr>
              <w:spacing w:after="40" w:before="40"/>
            </w:pPr>
            <w:r/>
            <w:r>
              <w:rPr>
                <w:sz w:val="18"/>
              </w:rPr>
              <w:t>7</w:t>
            </w:r>
          </w:p>
        </w:tc>
        <w:tc>
          <w:tcPr>
            <w:tcW w:type="dxa" w:w="6048"/>
          </w:tcPr>
          <w:p>
            <w:pPr>
              <w:spacing w:after="40" w:before="40"/>
            </w:pPr>
            <w:r/>
            <w:r>
              <w:rPr>
                <w:sz w:val="18"/>
              </w:rPr>
              <w:t>Full change trail, authentication events, active sessions, anomaly review</w:t>
            </w:r>
          </w:p>
        </w:tc>
      </w:tr>
      <w:tr>
        <w:tc>
          <w:tcPr>
            <w:tcW w:type="dxa" w:w="2592"/>
          </w:tcPr>
          <w:p>
            <w:pPr>
              <w:spacing w:after="40" w:before="40"/>
            </w:pPr>
            <w:r/>
            <w:r>
              <w:rPr>
                <w:sz w:val="18"/>
              </w:rPr>
              <w:t>Content management</w:t>
            </w:r>
          </w:p>
        </w:tc>
        <w:tc>
          <w:tcPr>
            <w:tcW w:type="dxa" w:w="720"/>
          </w:tcPr>
          <w:p>
            <w:pPr>
              <w:spacing w:after="40" w:before="40"/>
            </w:pPr>
            <w:r/>
            <w:r>
              <w:rPr>
                <w:sz w:val="18"/>
              </w:rPr>
              <w:t>6</w:t>
            </w:r>
          </w:p>
        </w:tc>
        <w:tc>
          <w:tcPr>
            <w:tcW w:type="dxa" w:w="6048"/>
          </w:tcPr>
          <w:p>
            <w:pPr>
              <w:spacing w:after="40" w:before="40"/>
            </w:pPr>
            <w:r/>
            <w:r>
              <w:rPr>
                <w:sz w:val="18"/>
              </w:rPr>
              <w:t>Citizen-facing pages, FAQs and banners, published from the portal</w:t>
            </w:r>
          </w:p>
        </w:tc>
      </w:tr>
      <w:tr>
        <w:tc>
          <w:tcPr>
            <w:tcW w:type="dxa" w:w="2592"/>
          </w:tcPr>
          <w:p>
            <w:pPr>
              <w:spacing w:after="40" w:before="40"/>
            </w:pPr>
            <w:r/>
            <w:r>
              <w:rPr>
                <w:sz w:val="18"/>
              </w:rPr>
              <w:t>System configuration</w:t>
            </w:r>
          </w:p>
        </w:tc>
        <w:tc>
          <w:tcPr>
            <w:tcW w:type="dxa" w:w="720"/>
          </w:tcPr>
          <w:p>
            <w:pPr>
              <w:spacing w:after="40" w:before="40"/>
            </w:pPr>
            <w:r/>
            <w:r>
              <w:rPr>
                <w:sz w:val="18"/>
              </w:rPr>
              <w:t>10</w:t>
            </w:r>
          </w:p>
        </w:tc>
        <w:tc>
          <w:tcPr>
            <w:tcW w:type="dxa" w:w="6048"/>
          </w:tcPr>
          <w:p>
            <w:pPr>
              <w:spacing w:after="40" w:before="40"/>
            </w:pPr>
            <w:r/>
            <w:r>
              <w:rPr>
                <w:sz w:val="18"/>
              </w:rPr>
              <w:t>Tax rates, grace periods, geo-fence tolerance, integrations, the editable permission matrix</w:t>
            </w:r>
          </w:p>
        </w:tc>
      </w:tr>
    </w:tbl>
    <w:p>
      <w:pPr>
        <w:spacing w:after="80"/>
      </w:pPr>
    </w:p>
    <w:p>
      <w:r>
        <w:br w:type="page"/>
      </w:r>
    </w:p>
    <w:p>
      <w:pPr>
        <w:pStyle w:val="Heading2"/>
      </w:pPr>
      <w:r>
        <w:t>2.3 Module 2 — Vendor Mobile Application (73 features)</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1F4FD8"/>
          </w:tcPr>
          <w:p>
            <w:pPr>
              <w:spacing w:after="40" w:before="40"/>
            </w:pPr>
            <w:r/>
            <w:r>
              <w:rPr>
                <w:b/>
                <w:color w:val="FFFFFF"/>
                <w:sz w:val="18"/>
              </w:rPr>
              <w:t>Area</w:t>
            </w:r>
          </w:p>
        </w:tc>
        <w:tc>
          <w:tcPr>
            <w:tcW w:type="dxa" w:w="720"/>
            <w:shd w:val="clear" w:fill="1F4FD8"/>
          </w:tcPr>
          <w:p>
            <w:pPr>
              <w:spacing w:after="40" w:before="40"/>
            </w:pPr>
            <w:r/>
            <w:r>
              <w:rPr>
                <w:b/>
                <w:color w:val="FFFFFF"/>
                <w:sz w:val="18"/>
              </w:rPr>
              <w:t>No.</w:t>
            </w:r>
          </w:p>
        </w:tc>
        <w:tc>
          <w:tcPr>
            <w:tcW w:type="dxa" w:w="5904"/>
            <w:shd w:val="clear" w:fill="1F4FD8"/>
          </w:tcPr>
          <w:p>
            <w:pPr>
              <w:spacing w:after="40" w:before="40"/>
            </w:pPr>
            <w:r/>
            <w:r>
              <w:rPr>
                <w:b/>
                <w:color w:val="FFFFFF"/>
                <w:sz w:val="18"/>
              </w:rPr>
              <w:t>Scope</w:t>
            </w:r>
          </w:p>
        </w:tc>
      </w:tr>
      <w:tr>
        <w:tc>
          <w:tcPr>
            <w:tcW w:type="dxa" w:w="2736"/>
          </w:tcPr>
          <w:p>
            <w:pPr>
              <w:spacing w:after="40" w:before="40"/>
            </w:pPr>
            <w:r/>
            <w:r>
              <w:rPr>
                <w:sz w:val="18"/>
              </w:rPr>
              <w:t>Dashboard</w:t>
            </w:r>
          </w:p>
        </w:tc>
        <w:tc>
          <w:tcPr>
            <w:tcW w:type="dxa" w:w="720"/>
          </w:tcPr>
          <w:p>
            <w:pPr>
              <w:spacing w:after="40" w:before="40"/>
            </w:pPr>
            <w:r/>
            <w:r>
              <w:rPr>
                <w:sz w:val="18"/>
              </w:rPr>
              <w:t>8</w:t>
            </w:r>
          </w:p>
        </w:tc>
        <w:tc>
          <w:tcPr>
            <w:tcW w:type="dxa" w:w="5904"/>
          </w:tcPr>
          <w:p>
            <w:pPr>
              <w:spacing w:after="40" w:before="40"/>
            </w:pPr>
            <w:r/>
            <w:r>
              <w:rPr>
                <w:sz w:val="18"/>
              </w:rPr>
              <w:t>Today's sessions, collections, active vehicles, shift state</w:t>
            </w:r>
          </w:p>
        </w:tc>
      </w:tr>
      <w:tr>
        <w:tc>
          <w:tcPr>
            <w:tcW w:type="dxa" w:w="2736"/>
          </w:tcPr>
          <w:p>
            <w:pPr>
              <w:spacing w:after="40" w:before="40"/>
            </w:pPr>
            <w:r/>
            <w:r>
              <w:rPr>
                <w:sz w:val="18"/>
              </w:rPr>
              <w:t>Start parking</w:t>
            </w:r>
          </w:p>
        </w:tc>
        <w:tc>
          <w:tcPr>
            <w:tcW w:type="dxa" w:w="720"/>
          </w:tcPr>
          <w:p>
            <w:pPr>
              <w:spacing w:after="40" w:before="40"/>
            </w:pPr>
            <w:r/>
            <w:r>
              <w:rPr>
                <w:sz w:val="18"/>
              </w:rPr>
              <w:t>8</w:t>
            </w:r>
          </w:p>
        </w:tc>
        <w:tc>
          <w:tcPr>
            <w:tcW w:type="dxa" w:w="5904"/>
          </w:tcPr>
          <w:p>
            <w:pPr>
              <w:spacing w:after="40" w:before="40"/>
            </w:pPr>
            <w:r/>
            <w:r>
              <w:rPr>
                <w:sz w:val="18"/>
              </w:rPr>
              <w:t>Plate entry, photographic evidence, geo-fence confirmation, vehicle category, bay selection</w:t>
            </w:r>
          </w:p>
        </w:tc>
      </w:tr>
      <w:tr>
        <w:tc>
          <w:tcPr>
            <w:tcW w:type="dxa" w:w="2736"/>
          </w:tcPr>
          <w:p>
            <w:pPr>
              <w:spacing w:after="40" w:before="40"/>
            </w:pPr>
            <w:r/>
            <w:r>
              <w:rPr>
                <w:sz w:val="18"/>
              </w:rPr>
              <w:t>End parking</w:t>
            </w:r>
          </w:p>
        </w:tc>
        <w:tc>
          <w:tcPr>
            <w:tcW w:type="dxa" w:w="720"/>
          </w:tcPr>
          <w:p>
            <w:pPr>
              <w:spacing w:after="40" w:before="40"/>
            </w:pPr>
            <w:r/>
            <w:r>
              <w:rPr>
                <w:sz w:val="18"/>
              </w:rPr>
              <w:t>5</w:t>
            </w:r>
          </w:p>
        </w:tc>
        <w:tc>
          <w:tcPr>
            <w:tcW w:type="dxa" w:w="5904"/>
          </w:tcPr>
          <w:p>
            <w:pPr>
              <w:spacing w:after="40" w:before="40"/>
            </w:pPr>
            <w:r/>
            <w:r>
              <w:rPr>
                <w:sz w:val="18"/>
              </w:rPr>
              <w:t>Server-computed fare, exit evidence, duration</w:t>
            </w:r>
          </w:p>
        </w:tc>
      </w:tr>
      <w:tr>
        <w:tc>
          <w:tcPr>
            <w:tcW w:type="dxa" w:w="2736"/>
          </w:tcPr>
          <w:p>
            <w:pPr>
              <w:spacing w:after="40" w:before="40"/>
            </w:pPr>
            <w:r/>
            <w:r>
              <w:rPr>
                <w:sz w:val="18"/>
              </w:rPr>
              <w:t>Payment collection</w:t>
            </w:r>
          </w:p>
        </w:tc>
        <w:tc>
          <w:tcPr>
            <w:tcW w:type="dxa" w:w="720"/>
          </w:tcPr>
          <w:p>
            <w:pPr>
              <w:spacing w:after="40" w:before="40"/>
            </w:pPr>
            <w:r/>
            <w:r>
              <w:rPr>
                <w:sz w:val="18"/>
              </w:rPr>
              <w:t>10</w:t>
            </w:r>
          </w:p>
        </w:tc>
        <w:tc>
          <w:tcPr>
            <w:tcW w:type="dxa" w:w="5904"/>
          </w:tcPr>
          <w:p>
            <w:pPr>
              <w:spacing w:after="40" w:before="40"/>
            </w:pPr>
            <w:r/>
            <w:r>
              <w:rPr>
                <w:sz w:val="18"/>
              </w:rPr>
              <w:t>Cash, UPI QR, payment link, receipt dispatch by SMS and WhatsApp</w:t>
            </w:r>
          </w:p>
        </w:tc>
      </w:tr>
      <w:tr>
        <w:tc>
          <w:tcPr>
            <w:tcW w:type="dxa" w:w="2736"/>
          </w:tcPr>
          <w:p>
            <w:pPr>
              <w:spacing w:after="40" w:before="40"/>
            </w:pPr>
            <w:r/>
            <w:r>
              <w:rPr>
                <w:sz w:val="18"/>
              </w:rPr>
              <w:t>Search, history and shift</w:t>
            </w:r>
          </w:p>
        </w:tc>
        <w:tc>
          <w:tcPr>
            <w:tcW w:type="dxa" w:w="720"/>
          </w:tcPr>
          <w:p>
            <w:pPr>
              <w:spacing w:after="40" w:before="40"/>
            </w:pPr>
            <w:r/>
            <w:r>
              <w:rPr>
                <w:sz w:val="18"/>
              </w:rPr>
              <w:t>14</w:t>
            </w:r>
          </w:p>
        </w:tc>
        <w:tc>
          <w:tcPr>
            <w:tcW w:type="dxa" w:w="5904"/>
          </w:tcPr>
          <w:p>
            <w:pPr>
              <w:spacing w:after="40" w:before="40"/>
            </w:pPr>
            <w:r/>
            <w:r>
              <w:rPr>
                <w:sz w:val="18"/>
              </w:rPr>
              <w:t>Plate lookup, day book, shift open and close with cash declaration</w:t>
            </w:r>
          </w:p>
        </w:tc>
      </w:tr>
      <w:tr>
        <w:tc>
          <w:tcPr>
            <w:tcW w:type="dxa" w:w="2736"/>
          </w:tcPr>
          <w:p>
            <w:pPr>
              <w:spacing w:after="40" w:before="40"/>
            </w:pPr>
            <w:r/>
            <w:r>
              <w:rPr>
                <w:sz w:val="18"/>
              </w:rPr>
              <w:t>Vendor accounts</w:t>
            </w:r>
          </w:p>
        </w:tc>
        <w:tc>
          <w:tcPr>
            <w:tcW w:type="dxa" w:w="720"/>
          </w:tcPr>
          <w:p>
            <w:pPr>
              <w:spacing w:after="40" w:before="40"/>
            </w:pPr>
            <w:r/>
            <w:r>
              <w:rPr>
                <w:sz w:val="18"/>
              </w:rPr>
              <w:t>7</w:t>
            </w:r>
          </w:p>
        </w:tc>
        <w:tc>
          <w:tcPr>
            <w:tcW w:type="dxa" w:w="5904"/>
          </w:tcPr>
          <w:p>
            <w:pPr>
              <w:spacing w:after="40" w:before="40"/>
            </w:pPr>
            <w:r/>
            <w:r>
              <w:rPr>
                <w:sz w:val="18"/>
              </w:rPr>
              <w:t>Attendant roster, performance, settlement visibility</w:t>
            </w:r>
          </w:p>
        </w:tc>
      </w:tr>
      <w:tr>
        <w:tc>
          <w:tcPr>
            <w:tcW w:type="dxa" w:w="2736"/>
          </w:tcPr>
          <w:p>
            <w:pPr>
              <w:spacing w:after="40" w:before="40"/>
            </w:pPr>
            <w:r/>
            <w:r>
              <w:rPr>
                <w:sz w:val="18"/>
              </w:rPr>
              <w:t>Attendance, incidents, assistance</w:t>
            </w:r>
          </w:p>
        </w:tc>
        <w:tc>
          <w:tcPr>
            <w:tcW w:type="dxa" w:w="720"/>
          </w:tcPr>
          <w:p>
            <w:pPr>
              <w:spacing w:after="40" w:before="40"/>
            </w:pPr>
            <w:r/>
            <w:r>
              <w:rPr>
                <w:sz w:val="18"/>
              </w:rPr>
              <w:t>16</w:t>
            </w:r>
          </w:p>
        </w:tc>
        <w:tc>
          <w:tcPr>
            <w:tcW w:type="dxa" w:w="5904"/>
          </w:tcPr>
          <w:p>
            <w:pPr>
              <w:spacing w:after="40" w:before="40"/>
            </w:pPr>
            <w:r/>
            <w:r>
              <w:rPr>
                <w:sz w:val="18"/>
              </w:rPr>
              <w:t>Check-in and check-out, incident raising with photographs, escalation, help</w:t>
            </w:r>
          </w:p>
        </w:tc>
      </w:tr>
      <w:tr>
        <w:tc>
          <w:tcPr>
            <w:tcW w:type="dxa" w:w="2736"/>
          </w:tcPr>
          <w:p>
            <w:pPr>
              <w:spacing w:after="40" w:before="40"/>
            </w:pPr>
            <w:r/>
            <w:r>
              <w:rPr>
                <w:sz w:val="18"/>
              </w:rPr>
              <w:t>Offline mode</w:t>
            </w:r>
          </w:p>
        </w:tc>
        <w:tc>
          <w:tcPr>
            <w:tcW w:type="dxa" w:w="720"/>
          </w:tcPr>
          <w:p>
            <w:pPr>
              <w:spacing w:after="40" w:before="40"/>
            </w:pPr>
            <w:r/>
            <w:r>
              <w:rPr>
                <w:sz w:val="18"/>
              </w:rPr>
              <w:t>5</w:t>
            </w:r>
          </w:p>
        </w:tc>
        <w:tc>
          <w:tcPr>
            <w:tcW w:type="dxa" w:w="5904"/>
          </w:tcPr>
          <w:p>
            <w:pPr>
              <w:spacing w:after="40" w:before="40"/>
            </w:pPr>
            <w:r/>
            <w:r>
              <w:rPr>
                <w:sz w:val="18"/>
              </w:rPr>
              <w:t>Local queue, idempotent replay, conflict handling on reconnect</w:t>
            </w:r>
          </w:p>
        </w:tc>
      </w:tr>
    </w:tbl>
    <w:p>
      <w:pPr>
        <w:spacing w:after="80"/>
      </w:pPr>
    </w:p>
    <w:p>
      <w:pPr>
        <w:pStyle w:val="Heading2"/>
      </w:pPr>
      <w:r>
        <w:t>2.4 Module 3 — Citizen Mobile Application (63 features)</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1F4FD8"/>
          </w:tcPr>
          <w:p>
            <w:pPr>
              <w:spacing w:after="40" w:before="40"/>
            </w:pPr>
            <w:r/>
            <w:r>
              <w:rPr>
                <w:b/>
                <w:color w:val="FFFFFF"/>
                <w:sz w:val="18"/>
              </w:rPr>
              <w:t>Area</w:t>
            </w:r>
          </w:p>
        </w:tc>
        <w:tc>
          <w:tcPr>
            <w:tcW w:type="dxa" w:w="720"/>
            <w:shd w:val="clear" w:fill="1F4FD8"/>
          </w:tcPr>
          <w:p>
            <w:pPr>
              <w:spacing w:after="40" w:before="40"/>
            </w:pPr>
            <w:r/>
            <w:r>
              <w:rPr>
                <w:b/>
                <w:color w:val="FFFFFF"/>
                <w:sz w:val="18"/>
              </w:rPr>
              <w:t>No.</w:t>
            </w:r>
          </w:p>
        </w:tc>
        <w:tc>
          <w:tcPr>
            <w:tcW w:type="dxa" w:w="5904"/>
            <w:shd w:val="clear" w:fill="1F4FD8"/>
          </w:tcPr>
          <w:p>
            <w:pPr>
              <w:spacing w:after="40" w:before="40"/>
            </w:pPr>
            <w:r/>
            <w:r>
              <w:rPr>
                <w:b/>
                <w:color w:val="FFFFFF"/>
                <w:sz w:val="18"/>
              </w:rPr>
              <w:t>Scope</w:t>
            </w:r>
          </w:p>
        </w:tc>
      </w:tr>
      <w:tr>
        <w:tc>
          <w:tcPr>
            <w:tcW w:type="dxa" w:w="2736"/>
          </w:tcPr>
          <w:p>
            <w:pPr>
              <w:spacing w:after="40" w:before="40"/>
            </w:pPr>
            <w:r/>
            <w:r>
              <w:rPr>
                <w:sz w:val="18"/>
              </w:rPr>
              <w:t>Registration and garage</w:t>
            </w:r>
          </w:p>
        </w:tc>
        <w:tc>
          <w:tcPr>
            <w:tcW w:type="dxa" w:w="720"/>
          </w:tcPr>
          <w:p>
            <w:pPr>
              <w:spacing w:after="40" w:before="40"/>
            </w:pPr>
            <w:r/>
            <w:r>
              <w:rPr>
                <w:sz w:val="18"/>
              </w:rPr>
              <w:t>6</w:t>
            </w:r>
          </w:p>
        </w:tc>
        <w:tc>
          <w:tcPr>
            <w:tcW w:type="dxa" w:w="5904"/>
          </w:tcPr>
          <w:p>
            <w:pPr>
              <w:spacing w:after="40" w:before="40"/>
            </w:pPr>
            <w:r/>
            <w:r>
              <w:rPr>
                <w:sz w:val="18"/>
              </w:rPr>
              <w:t>OTP sign-in, profile, multiple registered vehicles</w:t>
            </w:r>
          </w:p>
        </w:tc>
      </w:tr>
      <w:tr>
        <w:tc>
          <w:tcPr>
            <w:tcW w:type="dxa" w:w="2736"/>
          </w:tcPr>
          <w:p>
            <w:pPr>
              <w:spacing w:after="40" w:before="40"/>
            </w:pPr>
            <w:r/>
            <w:r>
              <w:rPr>
                <w:sz w:val="18"/>
              </w:rPr>
              <w:t>Live map and availability</w:t>
            </w:r>
          </w:p>
        </w:tc>
        <w:tc>
          <w:tcPr>
            <w:tcW w:type="dxa" w:w="720"/>
          </w:tcPr>
          <w:p>
            <w:pPr>
              <w:spacing w:after="40" w:before="40"/>
            </w:pPr>
            <w:r/>
            <w:r>
              <w:rPr>
                <w:sz w:val="18"/>
              </w:rPr>
              <w:t>13</w:t>
            </w:r>
          </w:p>
        </w:tc>
        <w:tc>
          <w:tcPr>
            <w:tcW w:type="dxa" w:w="5904"/>
          </w:tcPr>
          <w:p>
            <w:pPr>
              <w:spacing w:after="40" w:before="40"/>
            </w:pPr>
            <w:r/>
            <w:r>
              <w:rPr>
                <w:sz w:val="18"/>
              </w:rPr>
              <w:t>Nearby authorised zones, live availability, tariff preview, filters, navigation handoff</w:t>
            </w:r>
          </w:p>
        </w:tc>
      </w:tr>
      <w:tr>
        <w:tc>
          <w:tcPr>
            <w:tcW w:type="dxa" w:w="2736"/>
          </w:tcPr>
          <w:p>
            <w:pPr>
              <w:spacing w:after="40" w:before="40"/>
            </w:pPr>
            <w:r/>
            <w:r>
              <w:rPr>
                <w:sz w:val="18"/>
              </w:rPr>
              <w:t>Live session and payment</w:t>
            </w:r>
          </w:p>
        </w:tc>
        <w:tc>
          <w:tcPr>
            <w:tcW w:type="dxa" w:w="720"/>
          </w:tcPr>
          <w:p>
            <w:pPr>
              <w:spacing w:after="40" w:before="40"/>
            </w:pPr>
            <w:r/>
            <w:r>
              <w:rPr>
                <w:sz w:val="18"/>
              </w:rPr>
              <w:t>13</w:t>
            </w:r>
          </w:p>
        </w:tc>
        <w:tc>
          <w:tcPr>
            <w:tcW w:type="dxa" w:w="5904"/>
          </w:tcPr>
          <w:p>
            <w:pPr>
              <w:spacing w:after="40" w:before="40"/>
            </w:pPr>
            <w:r/>
            <w:r>
              <w:rPr>
                <w:sz w:val="18"/>
              </w:rPr>
              <w:t>Running session, live charge, UPI, card and wallet payment, cash marked by the attendant</w:t>
            </w:r>
          </w:p>
        </w:tc>
      </w:tr>
      <w:tr>
        <w:tc>
          <w:tcPr>
            <w:tcW w:type="dxa" w:w="2736"/>
          </w:tcPr>
          <w:p>
            <w:pPr>
              <w:spacing w:after="40" w:before="40"/>
            </w:pPr>
            <w:r/>
            <w:r>
              <w:rPr>
                <w:sz w:val="18"/>
              </w:rPr>
              <w:t>Receipts, history and passes</w:t>
            </w:r>
          </w:p>
        </w:tc>
        <w:tc>
          <w:tcPr>
            <w:tcW w:type="dxa" w:w="720"/>
          </w:tcPr>
          <w:p>
            <w:pPr>
              <w:spacing w:after="40" w:before="40"/>
            </w:pPr>
            <w:r/>
            <w:r>
              <w:rPr>
                <w:sz w:val="18"/>
              </w:rPr>
              <w:t>14</w:t>
            </w:r>
          </w:p>
        </w:tc>
        <w:tc>
          <w:tcPr>
            <w:tcW w:type="dxa" w:w="5904"/>
          </w:tcPr>
          <w:p>
            <w:pPr>
              <w:spacing w:after="40" w:before="40"/>
            </w:pPr>
            <w:r/>
            <w:r>
              <w:rPr>
                <w:sz w:val="18"/>
              </w:rPr>
              <w:t>GST-compliant receipts, full history, monthly and quarterly passes with QR</w:t>
            </w:r>
          </w:p>
        </w:tc>
      </w:tr>
      <w:tr>
        <w:tc>
          <w:tcPr>
            <w:tcW w:type="dxa" w:w="2736"/>
          </w:tcPr>
          <w:p>
            <w:pPr>
              <w:spacing w:after="40" w:before="40"/>
            </w:pPr>
            <w:r/>
            <w:r>
              <w:rPr>
                <w:sz w:val="18"/>
              </w:rPr>
              <w:t>Notifications, locator, support</w:t>
            </w:r>
          </w:p>
        </w:tc>
        <w:tc>
          <w:tcPr>
            <w:tcW w:type="dxa" w:w="720"/>
          </w:tcPr>
          <w:p>
            <w:pPr>
              <w:spacing w:after="40" w:before="40"/>
            </w:pPr>
            <w:r/>
            <w:r>
              <w:rPr>
                <w:sz w:val="18"/>
              </w:rPr>
              <w:t>17</w:t>
            </w:r>
          </w:p>
        </w:tc>
        <w:tc>
          <w:tcPr>
            <w:tcW w:type="dxa" w:w="5904"/>
          </w:tcPr>
          <w:p>
            <w:pPr>
              <w:spacing w:after="40" w:before="40"/>
            </w:pPr>
            <w:r/>
            <w:r>
              <w:rPr>
                <w:sz w:val="18"/>
              </w:rPr>
              <w:t>Expiry reminders, vehicle locator, favourites, feedback, dispute raising, FAQs</w:t>
            </w:r>
          </w:p>
        </w:tc>
      </w:tr>
    </w:tbl>
    <w:p>
      <w:pPr>
        <w:spacing w:after="80"/>
      </w:pPr>
    </w:p>
    <w:p>
      <w:pPr>
        <w:pStyle w:val="Heading2"/>
      </w:pPr>
      <w:r>
        <w:t>2.5 Cross-cutting (32 features)</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1F4FD8"/>
          </w:tcPr>
          <w:p>
            <w:pPr>
              <w:spacing w:after="40" w:before="40"/>
            </w:pPr>
            <w:r/>
            <w:r>
              <w:rPr>
                <w:b/>
                <w:color w:val="FFFFFF"/>
                <w:sz w:val="18"/>
              </w:rPr>
              <w:t>Area</w:t>
            </w:r>
          </w:p>
        </w:tc>
        <w:tc>
          <w:tcPr>
            <w:tcW w:type="dxa" w:w="720"/>
            <w:shd w:val="clear" w:fill="1F4FD8"/>
          </w:tcPr>
          <w:p>
            <w:pPr>
              <w:spacing w:after="40" w:before="40"/>
            </w:pPr>
            <w:r/>
            <w:r>
              <w:rPr>
                <w:b/>
                <w:color w:val="FFFFFF"/>
                <w:sz w:val="18"/>
              </w:rPr>
              <w:t>No.</w:t>
            </w:r>
          </w:p>
        </w:tc>
        <w:tc>
          <w:tcPr>
            <w:tcW w:type="dxa" w:w="5904"/>
            <w:shd w:val="clear" w:fill="1F4FD8"/>
          </w:tcPr>
          <w:p>
            <w:pPr>
              <w:spacing w:after="40" w:before="40"/>
            </w:pPr>
            <w:r/>
            <w:r>
              <w:rPr>
                <w:b/>
                <w:color w:val="FFFFFF"/>
                <w:sz w:val="18"/>
              </w:rPr>
              <w:t>Scope</w:t>
            </w:r>
          </w:p>
        </w:tc>
      </w:tr>
      <w:tr>
        <w:tc>
          <w:tcPr>
            <w:tcW w:type="dxa" w:w="2736"/>
          </w:tcPr>
          <w:p>
            <w:pPr>
              <w:spacing w:after="40" w:before="40"/>
            </w:pPr>
            <w:r/>
            <w:r>
              <w:rPr>
                <w:sz w:val="18"/>
              </w:rPr>
              <w:t>Fraud prevention and analytics</w:t>
            </w:r>
          </w:p>
        </w:tc>
        <w:tc>
          <w:tcPr>
            <w:tcW w:type="dxa" w:w="720"/>
          </w:tcPr>
          <w:p>
            <w:pPr>
              <w:spacing w:after="40" w:before="40"/>
            </w:pPr>
            <w:r/>
            <w:r>
              <w:rPr>
                <w:sz w:val="18"/>
              </w:rPr>
              <w:t>11</w:t>
            </w:r>
          </w:p>
        </w:tc>
        <w:tc>
          <w:tcPr>
            <w:tcW w:type="dxa" w:w="5904"/>
          </w:tcPr>
          <w:p>
            <w:pPr>
              <w:spacing w:after="40" w:before="40"/>
            </w:pPr>
            <w:r/>
            <w:r>
              <w:rPr>
                <w:sz w:val="18"/>
              </w:rPr>
              <w:t>Cash variance detection, duplicate session detection, tariff bypass detection, attendant behaviour analytics</w:t>
            </w:r>
          </w:p>
        </w:tc>
      </w:tr>
      <w:tr>
        <w:tc>
          <w:tcPr>
            <w:tcW w:type="dxa" w:w="2736"/>
          </w:tcPr>
          <w:p>
            <w:pPr>
              <w:spacing w:after="40" w:before="40"/>
            </w:pPr>
            <w:r/>
            <w:r>
              <w:rPr>
                <w:sz w:val="18"/>
              </w:rPr>
              <w:t>Security</w:t>
            </w:r>
          </w:p>
        </w:tc>
        <w:tc>
          <w:tcPr>
            <w:tcW w:type="dxa" w:w="720"/>
          </w:tcPr>
          <w:p>
            <w:pPr>
              <w:spacing w:after="40" w:before="40"/>
            </w:pPr>
            <w:r/>
            <w:r>
              <w:rPr>
                <w:sz w:val="18"/>
              </w:rPr>
              <w:t>9</w:t>
            </w:r>
          </w:p>
        </w:tc>
        <w:tc>
          <w:tcPr>
            <w:tcW w:type="dxa" w:w="5904"/>
          </w:tcPr>
          <w:p>
            <w:pPr>
              <w:spacing w:after="40" w:before="40"/>
            </w:pPr>
            <w:r/>
            <w:r>
              <w:rPr>
                <w:sz w:val="18"/>
              </w:rPr>
              <w:t>Set out in full in section 4</w:t>
            </w:r>
          </w:p>
        </w:tc>
      </w:tr>
      <w:tr>
        <w:tc>
          <w:tcPr>
            <w:tcW w:type="dxa" w:w="2736"/>
          </w:tcPr>
          <w:p>
            <w:pPr>
              <w:spacing w:after="40" w:before="40"/>
            </w:pPr>
            <w:r/>
            <w:r>
              <w:rPr>
                <w:sz w:val="18"/>
              </w:rPr>
              <w:t>Integrations</w:t>
            </w:r>
          </w:p>
        </w:tc>
        <w:tc>
          <w:tcPr>
            <w:tcW w:type="dxa" w:w="720"/>
          </w:tcPr>
          <w:p>
            <w:pPr>
              <w:spacing w:after="40" w:before="40"/>
            </w:pPr>
            <w:r/>
            <w:r>
              <w:rPr>
                <w:sz w:val="18"/>
              </w:rPr>
              <w:t>12</w:t>
            </w:r>
          </w:p>
        </w:tc>
        <w:tc>
          <w:tcPr>
            <w:tcW w:type="dxa" w:w="5904"/>
          </w:tcPr>
          <w:p>
            <w:pPr>
              <w:spacing w:after="40" w:before="40"/>
            </w:pPr>
            <w:r/>
            <w:r>
              <w:rPr>
                <w:sz w:val="18"/>
              </w:rPr>
              <w:t>Payment gateway, payouts, SMS, WhatsApp Business, email, Google and Apple Maps, push notifications</w:t>
            </w:r>
          </w:p>
        </w:tc>
      </w:tr>
    </w:tbl>
    <w:p>
      <w:pPr>
        <w:spacing w:after="80"/>
      </w:pPr>
    </w:p>
    <w:p>
      <w:pPr>
        <w:pStyle w:val="Heading2"/>
      </w:pPr>
      <w:r>
        <w:t>2.6 Phase 2 — outside this scope</w:t>
      </w:r>
    </w:p>
    <w:p>
      <w:r>
        <w:rPr>
          <w:b w:val="0"/>
          <w:i w:val="0"/>
        </w:rPr>
        <w:t>The platform is deliberately architected so each of the following is an extension rather than a rebuild. None is included in Phase 1 scope or price.</w:t>
      </w:r>
    </w:p>
    <w:p>
      <w:r>
        <w:rPr>
          <w:b w:val="0"/>
          <w:i w:val="0"/>
          <w:color w:val="5C6675"/>
          <w:sz w:val="19"/>
        </w:rPr>
        <w:t>ANPR gantries · FASTag integration · RFID-enabled passes · AI illegal-parking detection · EV charging reservation and payment · occupancy-driven dynamic pricing · advance reservation · digital resident permits · corporate fleet management · enforcement and e-challan issuance · IoT per-bay occupancy sensors · CCTV integration for dispute resolution · smart-city command centre integration · carbon and congestion analytics · public API for third-party mobility applications.</w:t>
      </w:r>
    </w:p>
    <w:p>
      <w:r>
        <w:br w:type="page"/>
      </w:r>
    </w:p>
    <w:p>
      <w:pPr>
        <w:pStyle w:val="Heading1"/>
      </w:pPr>
      <w:r>
        <w:t>3. What distinguishes this system</w:t>
      </w:r>
    </w:p>
    <w:p>
      <w:r>
        <w:rPr>
          <w:b w:val="0"/>
          <w:i w:val="0"/>
        </w:rPr>
        <w:t>Each of the following is a deliberate architectural decision with a consequence the authority will experience in operation. They are not feature-list entries.</w:t>
      </w:r>
    </w:p>
    <w:p>
      <w:pPr>
        <w:pStyle w:val="Heading3"/>
      </w:pPr>
      <w:r>
        <w:t>3.1 The server is the sole authority on price</w:t>
      </w:r>
    </w:p>
    <w:p>
      <w:r>
        <w:rPr>
          <w:b w:val="0"/>
          <w:i w:val="0"/>
        </w:rPr>
        <w:t>Fare computation, tariff resolution, geo-fencing, duplicate detection and commission splitting execute on the server. Both mobile applications are deliberately thin — they render what the server sends and capture what the user does. They contain no business logic.</w:t>
      </w:r>
    </w:p>
    <w:p>
      <w:pPr>
        <w:spacing w:after="240"/>
      </w:pPr>
      <w:r>
        <w:rPr>
          <w:b/>
          <w:color w:val="1F4FD8"/>
        </w:rPr>
        <w:t xml:space="preserve">What this means in operation:  </w:t>
      </w:r>
      <w:r>
        <w:rPr>
          <w:b w:val="0"/>
        </w:rPr>
        <w:t>A tariff revision takes effect the moment an officer publishes it: no application release, no app-store review, no waiting for citizens to update. And the vendor application, the citizen application and the portal cannot disagree about a price, because only one copy of the rule exists. A system that places pricing logic in the application can offer neither guarantee.</w:t>
      </w:r>
    </w:p>
    <w:p>
      <w:pPr>
        <w:pStyle w:val="Heading3"/>
      </w:pPr>
      <w:r>
        <w:t>3.2 Money is ledgered, not recalculated</w:t>
      </w:r>
    </w:p>
    <w:p>
      <w:r>
        <w:rPr>
          <w:b w:val="0"/>
          <w:i w:val="0"/>
        </w:rPr>
        <w:t>Settlement approval writes double-entry postings — vendor payable, government revenue, cash in hand — and the screens read the ledger. All amounts are integer paise; no floating-point arithmetic touches money anywhere in the platform.</w:t>
      </w:r>
    </w:p>
    <w:p>
      <w:pPr>
        <w:spacing w:after="240"/>
      </w:pPr>
      <w:r>
        <w:rPr>
          <w:b/>
          <w:color w:val="1F4FD8"/>
        </w:rPr>
        <w:t xml:space="preserve">What this means in operation:  </w:t>
      </w:r>
      <w:r>
        <w:rPr>
          <w:b w:val="0"/>
        </w:rPr>
        <w:t>The figure an auditor sees is the figure that was posted, not a number re-derived when a page is rendered. A system that recomputes the commission split on each read will report different history if its code changes.</w:t>
      </w:r>
    </w:p>
    <w:p>
      <w:pPr>
        <w:pStyle w:val="Heading3"/>
      </w:pPr>
      <w:r>
        <w:t>3.3 Evidence is immutable by construction</w:t>
      </w:r>
    </w:p>
    <w:p>
      <w:r>
        <w:rPr>
          <w:b w:val="0"/>
          <w:i w:val="0"/>
        </w:rPr>
        <w:t>Entry and exit photographs are flagged immutable at the moment of upload and cannot be deleted through the platform by any account at any permission level. Every other change is written to an audit trail carrying the actor, the device, the network address and the record's state before and after.</w:t>
      </w:r>
    </w:p>
    <w:p>
      <w:pPr>
        <w:spacing w:after="240"/>
      </w:pPr>
      <w:r>
        <w:rPr>
          <w:b/>
          <w:color w:val="1F4FD8"/>
        </w:rPr>
        <w:t xml:space="preserve">What this means in operation:  </w:t>
      </w:r>
      <w:r>
        <w:rPr>
          <w:b w:val="0"/>
        </w:rPr>
        <w:t>When a citizen contests a charge — or the Corporation is asked to justify one — the answer is a photograph with a timestamp and a coordinate that nobody could have altered. This is the property that makes the authority defensible in a dispute.</w:t>
      </w:r>
    </w:p>
    <w:p>
      <w:pPr>
        <w:pStyle w:val="Heading3"/>
      </w:pPr>
      <w:r>
        <w:t>3.4 Authorisation is data the authority edits, and it is proven continuously</w:t>
      </w:r>
    </w:p>
    <w:p>
      <w:r>
        <w:rPr>
          <w:b w:val="0"/>
          <w:i w:val="0"/>
        </w:rPr>
        <w:t>Twenty-seven distinct permissions across seven roles. Roles are database records: the Corporation can create a role, or change what an existing one grants, from the settings screen without a software release. Zone officers are additionally restricted to their allocated wards, enforced independently at the record level as well as at the route.</w:t>
      </w:r>
    </w:p>
    <w:p>
      <w:pPr>
        <w:spacing w:after="240"/>
      </w:pPr>
      <w:r>
        <w:rPr>
          <w:b/>
          <w:color w:val="1F4FD8"/>
        </w:rPr>
        <w:t xml:space="preserve">What this means in operation:  </w:t>
      </w:r>
      <w:r>
        <w:rPr>
          <w:b w:val="0"/>
        </w:rPr>
        <w:t>An automated suite asserts 1,155 route-and-role authorisation decisions on every build, so the permission matrix displayed on screen is executable documentation rather than an assertion. Comparable systems place role checks throughout the code with no means of proving what is enforced.</w:t>
      </w:r>
    </w:p>
    <w:p>
      <w:pPr>
        <w:pStyle w:val="Heading3"/>
      </w:pPr>
      <w:r>
        <w:t>3.5 It functions where the network does not</w:t>
      </w:r>
    </w:p>
    <w:p>
      <w:r>
        <w:rPr>
          <w:b w:val="0"/>
          <w:i w:val="0"/>
        </w:rPr>
        <w:t>The vendor application queues work locally and replays it on reconnection. Session start and end are idempotent on the client's own event identifier, so a retry on an unreliable kerbside connection returns the original result instead of creating a second session or taking a second payment.</w:t>
      </w:r>
    </w:p>
    <w:p>
      <w:pPr>
        <w:spacing w:after="240"/>
      </w:pPr>
      <w:r>
        <w:rPr>
          <w:b/>
          <w:color w:val="1F4FD8"/>
        </w:rPr>
        <w:t xml:space="preserve">What this means in operation:  </w:t>
      </w:r>
      <w:r>
        <w:rPr>
          <w:b w:val="0"/>
        </w:rPr>
        <w:t>An attendant on a basement kerb or a congested cell continues working, and the reconciliation at the end of the shift still balances. This is where most deployments fail in Indian field conditions, and it cannot be retrofitted afterwards.</w:t>
      </w:r>
    </w:p>
    <w:p>
      <w:pPr>
        <w:pStyle w:val="Heading3"/>
      </w:pPr>
      <w:r>
        <w:t>3.6 Every sign-in is scored, not merely checked</w:t>
      </w:r>
    </w:p>
    <w:p>
      <w:r>
        <w:rPr>
          <w:b w:val="0"/>
          <w:i w:val="0"/>
        </w:rPr>
        <w:t>Eight anomaly classes are evaluated at each authentication: impossible travel, a new country, a new device, a VPN or proxy, a timezone inconsistent with the network address, an unusual locality, a concurrent session from elsewhere, and a success immediately following repeated failures. The verdict is stored with the event.</w:t>
      </w:r>
    </w:p>
    <w:p>
      <w:pPr>
        <w:spacing w:after="240"/>
      </w:pPr>
      <w:r>
        <w:rPr>
          <w:b/>
          <w:color w:val="1F4FD8"/>
        </w:rPr>
        <w:t xml:space="preserve">What this means in operation:  </w:t>
      </w:r>
      <w:r>
        <w:rPr>
          <w:b w:val="0"/>
        </w:rPr>
        <w:t>A compromised officer account becomes visible in the activity screen before it becomes visible in the accounts. Municipal systems that stop at 'correct password' have no means of noticing.</w:t>
      </w:r>
    </w:p>
    <w:p>
      <w:pPr>
        <w:pStyle w:val="Heading3"/>
      </w:pPr>
      <w:r>
        <w:t>3.7 Built for handover, not dependence</w:t>
      </w:r>
    </w:p>
    <w:p>
      <w:r>
        <w:rPr>
          <w:b w:val="0"/>
          <w:i w:val="0"/>
        </w:rPr>
        <w:t>Architecture documentation, API specification, database schema, operational runbooks and a disaster-recovery plan are delivery items. Configuration the authority will want to change — tariffs, roles, zones, content, retention periods, system settings — is changed in the portal, not in code.</w:t>
      </w:r>
    </w:p>
    <w:p>
      <w:pPr>
        <w:spacing w:after="240"/>
      </w:pPr>
      <w:r>
        <w:rPr>
          <w:b/>
          <w:color w:val="1F4FD8"/>
        </w:rPr>
        <w:t xml:space="preserve">What this means in operation:  </w:t>
      </w:r>
      <w:r>
        <w:rPr>
          <w:b w:val="0"/>
        </w:rPr>
        <w:t>The Corporation's own IT cell can operate the platform. Support is purchased because it is worth purchasing, not because no one else can read the system.</w:t>
      </w:r>
    </w:p>
    <w:p>
      <w:pPr>
        <w:pStyle w:val="Heading3"/>
      </w:pPr>
      <w:r>
        <w:t>3.8 The data model already accommodates Phase 2</w:t>
      </w:r>
    </w:p>
    <w:p>
      <w:r>
        <w:rPr>
          <w:b w:val="0"/>
          <w:i w:val="0"/>
        </w:rPr>
        <w:t>ANPR, FASTag, RFID passes, IoT sensors, e-challan enforcement, resident permits and command-centre integration are all Phase 2 — but the schema, the session lifecycle and the API were designed in the knowledge that they are coming.</w:t>
      </w:r>
    </w:p>
    <w:p>
      <w:pPr>
        <w:spacing w:after="240"/>
      </w:pPr>
      <w:r>
        <w:rPr>
          <w:b/>
          <w:color w:val="1F4FD8"/>
        </w:rPr>
        <w:t xml:space="preserve">What this means in operation:  </w:t>
      </w:r>
      <w:r>
        <w:rPr>
          <w:b w:val="0"/>
        </w:rPr>
        <w:t>The next phase is an extension rather than a replacement. This investment becomes the city's parking infrastructure rather than an application that must be discarded in order to grow.</w:t>
      </w:r>
    </w:p>
    <w:p>
      <w:r>
        <w:br w:type="page"/>
      </w:r>
    </w:p>
    <w:p>
      <w:pPr>
        <w:pStyle w:val="Heading1"/>
      </w:pPr>
      <w:r>
        <w:t>4. Security</w:t>
      </w:r>
    </w:p>
    <w:p>
      <w:r>
        <w:rPr>
          <w:b w:val="0"/>
          <w:i w:val="0"/>
        </w:rPr>
        <w:t>This platform holds three categories of asset, each with a different threat profile and a different regulatory obligation. The controls below are organised around those three, followed by the cross-cutting layers that protect all of them.</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1F4FD8"/>
          </w:tcPr>
          <w:p>
            <w:pPr>
              <w:spacing w:after="40" w:before="40"/>
            </w:pPr>
            <w:r/>
            <w:r>
              <w:rPr>
                <w:b/>
                <w:color w:val="FFFFFF"/>
                <w:sz w:val="18"/>
              </w:rPr>
              <w:t>Asset class</w:t>
            </w:r>
          </w:p>
        </w:tc>
        <w:tc>
          <w:tcPr>
            <w:tcW w:type="dxa" w:w="3744"/>
            <w:shd w:val="clear" w:fill="1F4FD8"/>
          </w:tcPr>
          <w:p>
            <w:pPr>
              <w:spacing w:after="40" w:before="40"/>
            </w:pPr>
            <w:r/>
            <w:r>
              <w:rPr>
                <w:b/>
                <w:color w:val="FFFFFF"/>
                <w:sz w:val="18"/>
              </w:rPr>
              <w:t>What it comprises</w:t>
            </w:r>
          </w:p>
        </w:tc>
        <w:tc>
          <w:tcPr>
            <w:tcW w:type="dxa" w:w="3456"/>
            <w:shd w:val="clear" w:fill="1F4FD8"/>
          </w:tcPr>
          <w:p>
            <w:pPr>
              <w:spacing w:after="40" w:before="40"/>
            </w:pPr>
            <w:r/>
            <w:r>
              <w:rPr>
                <w:b/>
                <w:color w:val="FFFFFF"/>
                <w:sz w:val="18"/>
              </w:rPr>
              <w:t>Principal risk</w:t>
            </w:r>
          </w:p>
        </w:tc>
      </w:tr>
      <w:tr>
        <w:tc>
          <w:tcPr>
            <w:tcW w:type="dxa" w:w="2160"/>
          </w:tcPr>
          <w:p>
            <w:pPr>
              <w:spacing w:after="40" w:before="40"/>
            </w:pPr>
            <w:r/>
            <w:r>
              <w:rPr>
                <w:sz w:val="18"/>
              </w:rPr>
              <w:t>Citizen and public information</w:t>
            </w:r>
          </w:p>
        </w:tc>
        <w:tc>
          <w:tcPr>
            <w:tcW w:type="dxa" w:w="3744"/>
          </w:tcPr>
          <w:p>
            <w:pPr>
              <w:spacing w:after="40" w:before="40"/>
            </w:pPr>
            <w:r/>
            <w:r>
              <w:rPr>
                <w:sz w:val="18"/>
              </w:rPr>
              <w:t>Vehicle registration numbers, mobile numbers, email addresses, GPS traces, parking history, pass records</w:t>
            </w:r>
          </w:p>
        </w:tc>
        <w:tc>
          <w:tcPr>
            <w:tcW w:type="dxa" w:w="3456"/>
          </w:tcPr>
          <w:p>
            <w:pPr>
              <w:spacing w:after="40" w:before="40"/>
            </w:pPr>
            <w:r/>
            <w:r>
              <w:rPr>
                <w:sz w:val="18"/>
              </w:rPr>
              <w:t>Unauthorised disclosure; unlawful retention; profiling of individuals' movements</w:t>
            </w:r>
          </w:p>
        </w:tc>
      </w:tr>
      <w:tr>
        <w:tc>
          <w:tcPr>
            <w:tcW w:type="dxa" w:w="2160"/>
          </w:tcPr>
          <w:p>
            <w:pPr>
              <w:spacing w:after="40" w:before="40"/>
            </w:pPr>
            <w:r/>
            <w:r>
              <w:rPr>
                <w:sz w:val="18"/>
              </w:rPr>
              <w:t>Payment information</w:t>
            </w:r>
          </w:p>
        </w:tc>
        <w:tc>
          <w:tcPr>
            <w:tcW w:type="dxa" w:w="3744"/>
          </w:tcPr>
          <w:p>
            <w:pPr>
              <w:spacing w:after="40" w:before="40"/>
            </w:pPr>
            <w:r/>
            <w:r>
              <w:rPr>
                <w:sz w:val="18"/>
              </w:rPr>
              <w:t>Transaction amounts, payment modes, gateway references, receipts, GST invoices, operator bank details, settlement ledger</w:t>
            </w:r>
          </w:p>
        </w:tc>
        <w:tc>
          <w:tcPr>
            <w:tcW w:type="dxa" w:w="3456"/>
          </w:tcPr>
          <w:p>
            <w:pPr>
              <w:spacing w:after="40" w:before="40"/>
            </w:pPr>
            <w:r/>
            <w:r>
              <w:rPr>
                <w:sz w:val="18"/>
              </w:rPr>
              <w:t>Fraudulent capture; forged confirmation; duplicate charging; loss of reconciliation integrity</w:t>
            </w:r>
          </w:p>
        </w:tc>
      </w:tr>
      <w:tr>
        <w:tc>
          <w:tcPr>
            <w:tcW w:type="dxa" w:w="2160"/>
          </w:tcPr>
          <w:p>
            <w:pPr>
              <w:spacing w:after="40" w:before="40"/>
            </w:pPr>
            <w:r/>
            <w:r>
              <w:rPr>
                <w:sz w:val="18"/>
              </w:rPr>
              <w:t>Parking evidence</w:t>
            </w:r>
          </w:p>
        </w:tc>
        <w:tc>
          <w:tcPr>
            <w:tcW w:type="dxa" w:w="3744"/>
          </w:tcPr>
          <w:p>
            <w:pPr>
              <w:spacing w:after="40" w:before="40"/>
            </w:pPr>
            <w:r/>
            <w:r>
              <w:rPr>
                <w:sz w:val="18"/>
              </w:rPr>
              <w:t>Timestamped, geotagged photographs of identifiable vehicles at identifiable locations; incident photographs; KYC documents</w:t>
            </w:r>
          </w:p>
        </w:tc>
        <w:tc>
          <w:tcPr>
            <w:tcW w:type="dxa" w:w="3456"/>
          </w:tcPr>
          <w:p>
            <w:pPr>
              <w:spacing w:after="40" w:before="40"/>
            </w:pPr>
            <w:r/>
            <w:r>
              <w:rPr>
                <w:sz w:val="18"/>
              </w:rPr>
              <w:t>Alteration or destruction before a dispute; disclosure to a party with no legitimate interest</w:t>
            </w:r>
          </w:p>
        </w:tc>
      </w:tr>
    </w:tbl>
    <w:p>
      <w:pPr>
        <w:spacing w:after="80"/>
      </w:pPr>
    </w:p>
    <w:p>
      <w:pPr>
        <w:pStyle w:val="Heading2"/>
      </w:pPr>
      <w:r>
        <w:t>4.1 Protecting citizen and public information</w:t>
      </w:r>
    </w:p>
    <w:p>
      <w:pPr>
        <w:pStyle w:val="Heading3"/>
      </w:pPr>
      <w:r>
        <w:t>Collection and purpose</w:t>
      </w:r>
    </w:p>
    <w:p>
      <w:pPr>
        <w:pStyle w:val="ListBullet"/>
        <w:spacing w:after="60"/>
      </w:pPr>
      <w:r>
        <w:rPr>
          <w:b/>
        </w:rPr>
        <w:t xml:space="preserve">Purpose limitation — </w:t>
      </w:r>
      <w:r>
        <w:t>each media file records the purpose it was captured for, and that purpose governs how it is stored, how long it is kept and who may read it.</w:t>
      </w:r>
    </w:p>
    <w:p>
      <w:pPr>
        <w:pStyle w:val="ListBullet"/>
        <w:spacing w:after="60"/>
      </w:pPr>
      <w:r>
        <w:rPr>
          <w:b/>
        </w:rPr>
        <w:t xml:space="preserve">Consent — </w:t>
      </w:r>
      <w:r>
        <w:t>location capture is recorded as an explicit, append-only consent record carrying the purpose, the notice version served, the channel, the network address and whether the decision was the citizen's own or an officer's. A withdrawal appends; it does not erase the evidence that consent was given.</w:t>
      </w:r>
    </w:p>
    <w:p>
      <w:pPr>
        <w:pStyle w:val="ListBullet"/>
        <w:spacing w:after="60"/>
      </w:pPr>
      <w:r>
        <w:rPr>
          <w:b/>
        </w:rPr>
        <w:t xml:space="preserve">Notice — </w:t>
      </w:r>
      <w:r>
        <w:t>a published privacy notice states what is held, for how long, and how to obtain a copy or request deletion.</w:t>
      </w:r>
    </w:p>
    <w:p>
      <w:pPr>
        <w:pStyle w:val="Heading3"/>
      </w:pPr>
      <w:r>
        <w:t>Retention and destruction</w:t>
      </w:r>
    </w:p>
    <w:p>
      <w:r>
        <w:rPr>
          <w:b w:val="0"/>
          <w:i w:val="0"/>
        </w:rPr>
        <w:t>Retention periods are configuration the Corporation sets, not constants in code. Each class carries a stated rationale. A nightly sweep enforces them, records what it destroyed in the audit trail, and refuses to touch anything under legal hold.</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1F4FD8"/>
          </w:tcPr>
          <w:p>
            <w:pPr>
              <w:spacing w:after="40" w:before="40"/>
            </w:pPr>
            <w:r/>
            <w:r>
              <w:rPr>
                <w:b/>
                <w:color w:val="FFFFFF"/>
                <w:sz w:val="18"/>
              </w:rPr>
              <w:t>Data class</w:t>
            </w:r>
          </w:p>
        </w:tc>
        <w:tc>
          <w:tcPr>
            <w:tcW w:type="dxa" w:w="1584"/>
            <w:shd w:val="clear" w:fill="1F4FD8"/>
          </w:tcPr>
          <w:p>
            <w:pPr>
              <w:spacing w:after="40" w:before="40"/>
            </w:pPr>
            <w:r/>
            <w:r>
              <w:rPr>
                <w:b/>
                <w:color w:val="FFFFFF"/>
                <w:sz w:val="18"/>
              </w:rPr>
              <w:t>Default period</w:t>
            </w:r>
          </w:p>
        </w:tc>
        <w:tc>
          <w:tcPr>
            <w:tcW w:type="dxa" w:w="5472"/>
            <w:shd w:val="clear" w:fill="1F4FD8"/>
          </w:tcPr>
          <w:p>
            <w:pPr>
              <w:spacing w:after="40" w:before="40"/>
            </w:pPr>
            <w:r/>
            <w:r>
              <w:rPr>
                <w:b/>
                <w:color w:val="FFFFFF"/>
                <w:sz w:val="18"/>
              </w:rPr>
              <w:t>Rationale</w:t>
            </w:r>
          </w:p>
        </w:tc>
      </w:tr>
      <w:tr>
        <w:tc>
          <w:tcPr>
            <w:tcW w:type="dxa" w:w="2304"/>
          </w:tcPr>
          <w:p>
            <w:pPr>
              <w:spacing w:after="40" w:before="40"/>
            </w:pPr>
            <w:r/>
            <w:r>
              <w:rPr>
                <w:sz w:val="18"/>
              </w:rPr>
              <w:t>Evidence photographs</w:t>
            </w:r>
          </w:p>
        </w:tc>
        <w:tc>
          <w:tcPr>
            <w:tcW w:type="dxa" w:w="1584"/>
          </w:tcPr>
          <w:p>
            <w:pPr>
              <w:spacing w:after="40" w:before="40"/>
            </w:pPr>
            <w:r/>
            <w:r>
              <w:rPr>
                <w:sz w:val="18"/>
              </w:rPr>
              <w:t>90 days</w:t>
            </w:r>
          </w:p>
        </w:tc>
        <w:tc>
          <w:tcPr>
            <w:tcW w:type="dxa" w:w="5472"/>
          </w:tcPr>
          <w:p>
            <w:pPr>
              <w:spacing w:after="40" w:before="40"/>
            </w:pPr>
            <w:r/>
            <w:r>
              <w:rPr>
                <w:sz w:val="18"/>
              </w:rPr>
              <w:t>The period the published privacy notice commits to</w:t>
            </w:r>
          </w:p>
        </w:tc>
      </w:tr>
      <w:tr>
        <w:tc>
          <w:tcPr>
            <w:tcW w:type="dxa" w:w="2304"/>
          </w:tcPr>
          <w:p>
            <w:pPr>
              <w:spacing w:after="40" w:before="40"/>
            </w:pPr>
            <w:r/>
            <w:r>
              <w:rPr>
                <w:sz w:val="18"/>
              </w:rPr>
              <w:t>Session GPS coordinates</w:t>
            </w:r>
          </w:p>
        </w:tc>
        <w:tc>
          <w:tcPr>
            <w:tcW w:type="dxa" w:w="1584"/>
          </w:tcPr>
          <w:p>
            <w:pPr>
              <w:spacing w:after="40" w:before="40"/>
            </w:pPr>
            <w:r/>
            <w:r>
              <w:rPr>
                <w:sz w:val="18"/>
              </w:rPr>
              <w:t>90 days</w:t>
            </w:r>
          </w:p>
        </w:tc>
        <w:tc>
          <w:tcPr>
            <w:tcW w:type="dxa" w:w="5472"/>
          </w:tcPr>
          <w:p>
            <w:pPr>
              <w:spacing w:after="40" w:before="40"/>
            </w:pPr>
            <w:r/>
            <w:r>
              <w:rPr>
                <w:sz w:val="18"/>
              </w:rPr>
              <w:t>The same act of capture as the photograph. Coordinates are nulled; the financial record survives</w:t>
            </w:r>
          </w:p>
        </w:tc>
      </w:tr>
      <w:tr>
        <w:tc>
          <w:tcPr>
            <w:tcW w:type="dxa" w:w="2304"/>
          </w:tcPr>
          <w:p>
            <w:pPr>
              <w:spacing w:after="40" w:before="40"/>
            </w:pPr>
            <w:r/>
            <w:r>
              <w:rPr>
                <w:sz w:val="18"/>
              </w:rPr>
              <w:t>Authentication events</w:t>
            </w:r>
          </w:p>
        </w:tc>
        <w:tc>
          <w:tcPr>
            <w:tcW w:type="dxa" w:w="1584"/>
          </w:tcPr>
          <w:p>
            <w:pPr>
              <w:spacing w:after="40" w:before="40"/>
            </w:pPr>
            <w:r/>
            <w:r>
              <w:rPr>
                <w:sz w:val="18"/>
              </w:rPr>
              <w:t>180 days</w:t>
            </w:r>
          </w:p>
        </w:tc>
        <w:tc>
          <w:tcPr>
            <w:tcW w:type="dxa" w:w="5472"/>
          </w:tcPr>
          <w:p>
            <w:pPr>
              <w:spacing w:after="40" w:before="40"/>
            </w:pPr>
            <w:r/>
            <w:r>
              <w:rPr>
                <w:sz w:val="18"/>
              </w:rPr>
              <w:t>Security value decays quickly, and 180 days is the CERT-In log-retention floor</w:t>
            </w:r>
          </w:p>
        </w:tc>
      </w:tr>
      <w:tr>
        <w:tc>
          <w:tcPr>
            <w:tcW w:type="dxa" w:w="2304"/>
          </w:tcPr>
          <w:p>
            <w:pPr>
              <w:spacing w:after="40" w:before="40"/>
            </w:pPr>
            <w:r/>
            <w:r>
              <w:rPr>
                <w:sz w:val="18"/>
              </w:rPr>
              <w:t>Login sessions</w:t>
            </w:r>
          </w:p>
        </w:tc>
        <w:tc>
          <w:tcPr>
            <w:tcW w:type="dxa" w:w="1584"/>
          </w:tcPr>
          <w:p>
            <w:pPr>
              <w:spacing w:after="40" w:before="40"/>
            </w:pPr>
            <w:r/>
            <w:r>
              <w:rPr>
                <w:sz w:val="18"/>
              </w:rPr>
              <w:t>180 days</w:t>
            </w:r>
          </w:p>
        </w:tc>
        <w:tc>
          <w:tcPr>
            <w:tcW w:type="dxa" w:w="5472"/>
          </w:tcPr>
          <w:p>
            <w:pPr>
              <w:spacing w:after="40" w:before="40"/>
            </w:pPr>
            <w:r/>
            <w:r>
              <w:rPr>
                <w:sz w:val="18"/>
              </w:rPr>
              <w:t>As above</w:t>
            </w:r>
          </w:p>
        </w:tc>
      </w:tr>
      <w:tr>
        <w:tc>
          <w:tcPr>
            <w:tcW w:type="dxa" w:w="2304"/>
          </w:tcPr>
          <w:p>
            <w:pPr>
              <w:spacing w:after="40" w:before="40"/>
            </w:pPr>
            <w:r/>
            <w:r>
              <w:rPr>
                <w:sz w:val="18"/>
              </w:rPr>
              <w:t>Notification delivery log</w:t>
            </w:r>
          </w:p>
        </w:tc>
        <w:tc>
          <w:tcPr>
            <w:tcW w:type="dxa" w:w="1584"/>
          </w:tcPr>
          <w:p>
            <w:pPr>
              <w:spacing w:after="40" w:before="40"/>
            </w:pPr>
            <w:r/>
            <w:r>
              <w:rPr>
                <w:sz w:val="18"/>
              </w:rPr>
              <w:t>180 days</w:t>
            </w:r>
          </w:p>
        </w:tc>
        <w:tc>
          <w:tcPr>
            <w:tcW w:type="dxa" w:w="5472"/>
          </w:tcPr>
          <w:p>
            <w:pPr>
              <w:spacing w:after="40" w:before="40"/>
            </w:pPr>
            <w:r/>
            <w:r>
              <w:rPr>
                <w:sz w:val="18"/>
              </w:rPr>
              <w:t>Also the evidence that a required notification was delivered</w:t>
            </w:r>
          </w:p>
        </w:tc>
      </w:tr>
      <w:tr>
        <w:tc>
          <w:tcPr>
            <w:tcW w:type="dxa" w:w="2304"/>
          </w:tcPr>
          <w:p>
            <w:pPr>
              <w:spacing w:after="40" w:before="40"/>
            </w:pPr>
            <w:r/>
            <w:r>
              <w:rPr>
                <w:sz w:val="18"/>
              </w:rPr>
              <w:t>Report exports</w:t>
            </w:r>
          </w:p>
        </w:tc>
        <w:tc>
          <w:tcPr>
            <w:tcW w:type="dxa" w:w="1584"/>
          </w:tcPr>
          <w:p>
            <w:pPr>
              <w:spacing w:after="40" w:before="40"/>
            </w:pPr>
            <w:r/>
            <w:r>
              <w:rPr>
                <w:sz w:val="18"/>
              </w:rPr>
              <w:t>30 days</w:t>
            </w:r>
          </w:p>
        </w:tc>
        <w:tc>
          <w:tcPr>
            <w:tcW w:type="dxa" w:w="5472"/>
          </w:tcPr>
          <w:p>
            <w:pPr>
              <w:spacing w:after="40" w:before="40"/>
            </w:pPr>
            <w:r/>
            <w:r>
              <w:rPr>
                <w:sz w:val="18"/>
              </w:rPr>
              <w:t>Bulk extracts are regenerable, so retaining them is pure risk</w:t>
            </w:r>
          </w:p>
        </w:tc>
      </w:tr>
      <w:tr>
        <w:tc>
          <w:tcPr>
            <w:tcW w:type="dxa" w:w="2304"/>
          </w:tcPr>
          <w:p>
            <w:pPr>
              <w:spacing w:after="40" w:before="40"/>
            </w:pPr>
            <w:r/>
            <w:r>
              <w:rPr>
                <w:sz w:val="18"/>
              </w:rPr>
              <w:t>OTP requests</w:t>
            </w:r>
          </w:p>
        </w:tc>
        <w:tc>
          <w:tcPr>
            <w:tcW w:type="dxa" w:w="1584"/>
          </w:tcPr>
          <w:p>
            <w:pPr>
              <w:spacing w:after="40" w:before="40"/>
            </w:pPr>
            <w:r/>
            <w:r>
              <w:rPr>
                <w:sz w:val="18"/>
              </w:rPr>
              <w:t>7 days</w:t>
            </w:r>
          </w:p>
        </w:tc>
        <w:tc>
          <w:tcPr>
            <w:tcW w:type="dxa" w:w="5472"/>
          </w:tcPr>
          <w:p>
            <w:pPr>
              <w:spacing w:after="40" w:before="40"/>
            </w:pPr>
            <w:r/>
            <w:r>
              <w:rPr>
                <w:sz w:val="18"/>
              </w:rPr>
              <w:t>A number and an expired code hash</w:t>
            </w:r>
          </w:p>
        </w:tc>
      </w:tr>
      <w:tr>
        <w:tc>
          <w:tcPr>
            <w:tcW w:type="dxa" w:w="2304"/>
          </w:tcPr>
          <w:p>
            <w:pPr>
              <w:spacing w:after="40" w:before="40"/>
            </w:pPr>
            <w:r/>
            <w:r>
              <w:rPr>
                <w:sz w:val="18"/>
              </w:rPr>
              <w:t>Audit trail</w:t>
            </w:r>
          </w:p>
        </w:tc>
        <w:tc>
          <w:tcPr>
            <w:tcW w:type="dxa" w:w="1584"/>
          </w:tcPr>
          <w:p>
            <w:pPr>
              <w:spacing w:after="40" w:before="40"/>
            </w:pPr>
            <w:r/>
            <w:r>
              <w:rPr>
                <w:sz w:val="18"/>
              </w:rPr>
              <w:t>7 years</w:t>
            </w:r>
          </w:p>
        </w:tc>
        <w:tc>
          <w:tcPr>
            <w:tcW w:type="dxa" w:w="5472"/>
          </w:tcPr>
          <w:p>
            <w:pPr>
              <w:spacing w:after="40" w:before="40"/>
            </w:pPr>
            <w:r/>
            <w:r>
              <w:rPr>
                <w:sz w:val="18"/>
              </w:rPr>
              <w:t>Deliberately the longest. Destroying it on a privacy rationale would destroy the proof the privacy rules were followed</w:t>
            </w:r>
          </w:p>
        </w:tc>
      </w:tr>
    </w:tbl>
    <w:p>
      <w:pPr>
        <w:spacing w:after="80"/>
      </w:pPr>
    </w:p>
    <w:p>
      <w:pPr>
        <w:spacing w:after="200"/>
      </w:pPr>
      <w:r>
        <w:rPr>
          <w:b/>
        </w:rPr>
        <w:t xml:space="preserve">The sweep is delivered in reporting mode. </w:t>
      </w:r>
      <w:r>
        <w:rPr>
          <w:b w:val="0"/>
        </w:rPr>
        <w:t>A newly commissioned deployment reports what it would destroy and waits for the Corporation to confirm the periods before it destroys anything. No citizen's data is deleted because a default was wrong.</w:t>
      </w:r>
    </w:p>
    <w:p>
      <w:pPr>
        <w:pStyle w:val="Heading3"/>
      </w:pPr>
      <w:r>
        <w:t>Rights of the data principal</w:t>
      </w:r>
    </w:p>
    <w:p>
      <w:pPr>
        <w:pStyle w:val="ListBullet"/>
        <w:spacing w:after="60"/>
      </w:pPr>
      <w:r>
        <w:rPr>
          <w:b/>
        </w:rPr>
        <w:t xml:space="preserve">Access — </w:t>
      </w:r>
      <w:r>
        <w:t>a machine-readable export of everything held about one citizen — profile, vehicles, sessions, payments, receipts, passes, feedback, incidents raised, and the evidence relating to their vehicles. Every invocation is audited with the requesting officer's identity.</w:t>
      </w:r>
    </w:p>
    <w:p>
      <w:pPr>
        <w:pStyle w:val="ListBullet"/>
        <w:spacing w:after="60"/>
      </w:pPr>
      <w:r>
        <w:rPr>
          <w:b/>
        </w:rPr>
        <w:t xml:space="preserve">Correction — </w:t>
      </w:r>
      <w:r>
        <w:t>inaccurate personal data can be corrected.</w:t>
      </w:r>
    </w:p>
    <w:p>
      <w:pPr>
        <w:pStyle w:val="ListBullet"/>
        <w:spacing w:after="60"/>
      </w:pPr>
      <w:r>
        <w:rPr>
          <w:b/>
        </w:rPr>
        <w:t xml:space="preserve">Erasure — </w:t>
      </w:r>
      <w:r>
        <w:t>implemented as anonymisation, not deletion. A citizen's right to erasure does not override the Corporation's obligation to retain financial and tax records, and a session settled to an operator and posted to the ledger cannot simply vanish. Identifiers are destroyed — name, contact details, credentials, devices, location history — while sessions, payments, receipts and ledger entries survive, pointing at an account that names nobody. Vehicles are unclaimed rather than re-registered, because a plate identifies a vehicle another person may park tomorrow. Refused while a session is live or disputed, an incident is open, a payment is uncaptured, or a pass remains valid.</w:t>
      </w:r>
    </w:p>
    <w:p>
      <w:pPr>
        <w:pStyle w:val="Heading3"/>
      </w:pPr>
      <w:r>
        <w:t>Disclosure controls</w:t>
      </w:r>
    </w:p>
    <w:p>
      <w:pPr>
        <w:pStyle w:val="ListBullet"/>
        <w:spacing w:after="60"/>
      </w:pPr>
      <w:r>
        <w:rPr>
          <w:b/>
        </w:rPr>
        <w:t xml:space="preserve">Diagnostics — </w:t>
      </w:r>
      <w:r>
        <w:t>registration numbers, mobile numbers, GPS coordinates, credentials and operator bank details are removed from error reports before they leave the process. Session recording is disabled outright, because it captures the screen and on this platform the screen shows registration numbers beside their owners' telephone numbers.</w:t>
      </w:r>
    </w:p>
    <w:p>
      <w:pPr>
        <w:pStyle w:val="ListBullet"/>
        <w:spacing w:after="60"/>
      </w:pPr>
      <w:r>
        <w:rPr>
          <w:b/>
        </w:rPr>
        <w:t xml:space="preserve">Messaging — </w:t>
      </w:r>
      <w:r>
        <w:t>message bodies are never written to logs at information level.</w:t>
      </w:r>
    </w:p>
    <w:p>
      <w:pPr>
        <w:pStyle w:val="ListBullet"/>
        <w:spacing w:after="60"/>
      </w:pPr>
      <w:r>
        <w:rPr>
          <w:b/>
        </w:rPr>
        <w:t xml:space="preserve">Error surfaces — </w:t>
      </w:r>
      <w:r>
        <w:t>errors return a stable machine-readable code and a message safe to show a citizen. Stack traces never cross the network.</w:t>
      </w:r>
    </w:p>
    <w:p>
      <w:r>
        <w:br w:type="page"/>
      </w:r>
    </w:p>
    <w:p>
      <w:pPr>
        <w:pStyle w:val="Heading2"/>
      </w:pPr>
      <w:r>
        <w:t>4.2 Protecting payment information</w:t>
      </w:r>
    </w:p>
    <w:p>
      <w:pPr>
        <w:spacing w:after="200"/>
      </w:pPr>
      <w:r>
        <w:rPr>
          <w:b/>
        </w:rPr>
        <w:t xml:space="preserve">The platform stores no card data. </w:t>
      </w:r>
      <w:r>
        <w:rPr>
          <w:b w:val="0"/>
        </w:rPr>
        <w:t>Card and account details are handled entirely by the PCI-DSS compliant payment gateway; the platform retains only the gateway's reference, the amount, the mode and the status. This removes the largest category of payment risk by architecture rather than by control.</w:t>
      </w:r>
    </w:p>
    <w:p>
      <w:pPr>
        <w:pStyle w:val="Heading3"/>
      </w:pPr>
      <w:r>
        <w:t>Transaction integrity</w:t>
      </w:r>
    </w:p>
    <w:p>
      <w:pPr>
        <w:pStyle w:val="ListBullet"/>
        <w:spacing w:after="60"/>
      </w:pPr>
      <w:r>
        <w:rPr>
          <w:b/>
        </w:rPr>
        <w:t xml:space="preserve">Webhook signature verification — </w:t>
      </w:r>
      <w:r>
        <w:t>gateway callbacks are verified by HMAC-SHA256 computed over the exact bytes received and compared in constant time. The raw request body is preserved specifically for this: a body re-serialised before verification would never match.</w:t>
      </w:r>
    </w:p>
    <w:p>
      <w:pPr>
        <w:pStyle w:val="ListBullet"/>
        <w:spacing w:after="60"/>
      </w:pPr>
      <w:r>
        <w:rPr>
          <w:b/>
        </w:rPr>
        <w:t xml:space="preserve">Independent amount checking — </w:t>
      </w:r>
      <w:r>
        <w:t>a callback whose amount disagrees with the payment record is rejected and logged; a callback for an unknown order is acknowledged and ignored rather than acted upon.</w:t>
      </w:r>
    </w:p>
    <w:p>
      <w:pPr>
        <w:pStyle w:val="ListBullet"/>
        <w:spacing w:after="60"/>
      </w:pPr>
      <w:r>
        <w:rPr>
          <w:b/>
        </w:rPr>
        <w:t xml:space="preserve">Idempotency — </w:t>
      </w:r>
      <w:r>
        <w:t>every money-adjacent write carries an idempotency key scoped to the requesting account, so a retry from an unreliable kerbside connection returns the original result instead of charging a second time. Applied to payment capture, session start and end, settlement generation and payout instruction.</w:t>
      </w:r>
    </w:p>
    <w:p>
      <w:pPr>
        <w:pStyle w:val="ListBullet"/>
        <w:spacing w:after="60"/>
      </w:pPr>
      <w:r>
        <w:rPr>
          <w:b/>
        </w:rPr>
        <w:t xml:space="preserve">Exact arithmetic — </w:t>
      </w:r>
      <w:r>
        <w:t>all amounts are integer paise throughout. No floating-point arithmetic touches money anywhere in the platform.</w:t>
      </w:r>
    </w:p>
    <w:p>
      <w:pPr>
        <w:pStyle w:val="Heading3"/>
      </w:pPr>
      <w:r>
        <w:t>Financial governance</w:t>
      </w:r>
    </w:p>
    <w:p>
      <w:pPr>
        <w:pStyle w:val="ListBullet"/>
        <w:spacing w:after="60"/>
      </w:pPr>
      <w:r>
        <w:rPr>
          <w:b/>
        </w:rPr>
        <w:t xml:space="preserve">Segregation of duty — </w:t>
      </w:r>
      <w:r>
        <w:t>submission, approval and payout instruction are three distinct permissions and can be held by three different officers. No single account can originate and release a payout.</w:t>
      </w:r>
    </w:p>
    <w:p>
      <w:pPr>
        <w:pStyle w:val="ListBullet"/>
        <w:spacing w:after="60"/>
      </w:pPr>
      <w:r>
        <w:rPr>
          <w:b/>
        </w:rPr>
        <w:t xml:space="preserve">Double-entry ledger — </w:t>
      </w:r>
      <w:r>
        <w:t>settlement approval writes double-entry postings; payout writes the contra entries. The ledger is the record of account, not a figure re-derived on each read.</w:t>
      </w:r>
    </w:p>
    <w:p>
      <w:pPr>
        <w:pStyle w:val="ListBullet"/>
        <w:spacing w:after="60"/>
      </w:pPr>
      <w:r>
        <w:rPr>
          <w:b/>
        </w:rPr>
        <w:t xml:space="preserve">Reconciliation enforcement — </w:t>
      </w:r>
      <w:r>
        <w:t>receipts and settlement statements refuse to render if their own figures do not reconcile, naming the two amounts that disagree. A statement that does not balance is never produced.</w:t>
      </w:r>
    </w:p>
    <w:p>
      <w:pPr>
        <w:pStyle w:val="ListBullet"/>
        <w:spacing w:after="60"/>
      </w:pPr>
      <w:r>
        <w:rPr>
          <w:b/>
        </w:rPr>
        <w:t xml:space="preserve">Cash variance detection — </w:t>
      </w:r>
      <w:r>
        <w:t>cash declared by an attendant at shift close is compared against what the system expected, and any discrepancy is flagged automatically for officer verification.</w:t>
      </w:r>
    </w:p>
    <w:p>
      <w:pPr>
        <w:pStyle w:val="ListBullet"/>
        <w:spacing w:after="60"/>
      </w:pPr>
      <w:r>
        <w:rPr>
          <w:b/>
        </w:rPr>
        <w:t xml:space="preserve">Complete audit trail — </w:t>
      </w:r>
      <w:r>
        <w:t>every financial state change records the actor, the record's prior and subsequent state, the network address, the device and a correlating request identifier.</w:t>
      </w:r>
    </w:p>
    <w:p>
      <w:pPr>
        <w:pStyle w:val="Heading2"/>
      </w:pPr>
      <w:r>
        <w:t>4.3 Protecting parking evidence</w:t>
      </w:r>
    </w:p>
    <w:p>
      <w:r>
        <w:rPr>
          <w:b w:val="0"/>
          <w:i w:val="0"/>
        </w:rPr>
        <w:t>Evidence is what settles a disputed charge, and it is only worth anything if it cannot be altered after the fact and cannot be read by someone with no legitimate interest in it.</w:t>
      </w:r>
    </w:p>
    <w:p>
      <w:pPr>
        <w:pStyle w:val="Heading3"/>
      </w:pPr>
      <w:r>
        <w:t>Integrity</w:t>
      </w:r>
    </w:p>
    <w:p>
      <w:pPr>
        <w:pStyle w:val="ListBullet"/>
        <w:spacing w:after="60"/>
      </w:pPr>
      <w:r>
        <w:rPr>
          <w:b/>
        </w:rPr>
        <w:t xml:space="preserve">Immutability — </w:t>
      </w:r>
      <w:r>
        <w:t>entry and exit photographs are flagged immutable at upload. There is no route through the platform by which any account, at any permission level, can delete or replace them.</w:t>
      </w:r>
    </w:p>
    <w:p>
      <w:pPr>
        <w:pStyle w:val="ListBullet"/>
        <w:spacing w:after="60"/>
      </w:pPr>
      <w:r>
        <w:rPr>
          <w:b/>
        </w:rPr>
        <w:t xml:space="preserve">Timestamp and geotag — </w:t>
      </w:r>
      <w:r>
        <w:t>each photograph carries the moment of capture and the coordinates at which it was taken, recorded by the capturing device and checked by the server against the zone's geo-fence.</w:t>
      </w:r>
    </w:p>
    <w:p>
      <w:pPr>
        <w:pStyle w:val="ListBullet"/>
        <w:spacing w:after="60"/>
      </w:pPr>
      <w:r>
        <w:rPr>
          <w:b/>
        </w:rPr>
        <w:t xml:space="preserve">Tamper evidence — </w:t>
      </w:r>
      <w:r>
        <w:t>exported audit trails carry a SHA-256 fingerprint of their contents, printed on the document and written into the append-only audit log at the moment of generation. Altering a line disagrees with the fingerprint; altering the fingerprint disagrees with the trail.</w:t>
      </w:r>
    </w:p>
    <w:p>
      <w:pPr>
        <w:pStyle w:val="Heading3"/>
      </w:pPr>
      <w:r>
        <w:t>Confidentiality</w:t>
      </w:r>
    </w:p>
    <w:p>
      <w:pPr>
        <w:pStyle w:val="ListBullet"/>
        <w:spacing w:after="60"/>
      </w:pPr>
      <w:r>
        <w:rPr>
          <w:b/>
        </w:rPr>
        <w:t xml:space="preserve">No direct serving — </w:t>
      </w:r>
      <w:r>
        <w:t>evidence is never served by the application. Access is by short-lived signed URL issued against object storage, with the lifetime set by configuration.</w:t>
      </w:r>
    </w:p>
    <w:p>
      <w:pPr>
        <w:pStyle w:val="ListBullet"/>
        <w:spacing w:after="60"/>
      </w:pPr>
      <w:r>
        <w:rPr>
          <w:b/>
        </w:rPr>
        <w:t xml:space="preserve">Per-caller authorisation — </w:t>
      </w:r>
      <w:r>
        <w:t>a signed URL is issued only after the requesting account's relationship to the record that owns the file has been established. Entitlement is resolved per purpose — the operator on the session, the attendant who recorded it, the citizen who owns the vehicle, or a municipal officer holding the corresponding read permission and, where applicable, the allocated ward. Field accounts gain no benefit from a broad read grant: they remain confined to their own operator.</w:t>
      </w:r>
    </w:p>
    <w:p>
      <w:pPr>
        <w:pStyle w:val="ListBullet"/>
        <w:spacing w:after="60"/>
      </w:pPr>
      <w:r>
        <w:rPr>
          <w:b/>
        </w:rPr>
        <w:t xml:space="preserve">Batch requests — </w:t>
      </w:r>
      <w:r>
        <w:t>a batch request is authorised in full or refused in full, so it cannot be used to determine which files exist.</w:t>
      </w:r>
    </w:p>
    <w:p>
      <w:pPr>
        <w:pStyle w:val="ListBullet"/>
        <w:spacing w:after="60"/>
      </w:pPr>
      <w:r>
        <w:rPr>
          <w:b/>
        </w:rPr>
        <w:t xml:space="preserve">Lifecycle partitioning — </w:t>
      </w:r>
      <w:r>
        <w:t>object keys are partitioned by purpose and date so that retention can be enforced by storage policy as well as by application.</w:t>
      </w:r>
    </w:p>
    <w:p>
      <w:r>
        <w:br w:type="page"/>
      </w:r>
    </w:p>
    <w:p>
      <w:pPr>
        <w:pStyle w:val="Heading2"/>
      </w:pPr>
      <w:r>
        <w:t>4.4 Identity, authentication and access control</w:t>
      </w:r>
    </w:p>
    <w:p>
      <w:pPr>
        <w:pStyle w:val="Heading3"/>
      </w:pPr>
      <w:r>
        <w:t>Authentication</w:t>
      </w:r>
    </w:p>
    <w:tbl>
      <w:tblPr>
        <w:tblStyle w:val="TableGrid"/>
        <w:tblW w:type="auto" w:w="0"/>
        <w:jc w:val="center"/>
        <w:tblLook w:firstColumn="1" w:firstRow="1" w:lastColumn="0" w:lastRow="0" w:noHBand="0" w:noVBand="1" w:val="04A0"/>
      </w:tblPr>
      <w:tblGrid>
        <w:gridCol w:w="4824"/>
        <w:gridCol w:w="4824"/>
      </w:tblGrid>
      <w:tr>
        <w:tc>
          <w:tcPr>
            <w:tcW w:type="dxa" w:w="2160"/>
            <w:shd w:val="clear" w:fill="1F4FD8"/>
          </w:tcPr>
          <w:p>
            <w:pPr>
              <w:spacing w:after="40" w:before="40"/>
            </w:pPr>
            <w:r/>
            <w:r>
              <w:rPr>
                <w:b/>
                <w:color w:val="FFFFFF"/>
                <w:sz w:val="18"/>
              </w:rPr>
              <w:t>Control</w:t>
            </w:r>
          </w:p>
        </w:tc>
        <w:tc>
          <w:tcPr>
            <w:tcW w:type="dxa" w:w="7200"/>
            <w:shd w:val="clear" w:fill="1F4FD8"/>
          </w:tcPr>
          <w:p>
            <w:pPr>
              <w:spacing w:after="40" w:before="40"/>
            </w:pPr>
            <w:r/>
            <w:r>
              <w:rPr>
                <w:b/>
                <w:color w:val="FFFFFF"/>
                <w:sz w:val="18"/>
              </w:rPr>
              <w:t>Implementation</w:t>
            </w:r>
          </w:p>
        </w:tc>
      </w:tr>
      <w:tr>
        <w:tc>
          <w:tcPr>
            <w:tcW w:type="dxa" w:w="2160"/>
          </w:tcPr>
          <w:p>
            <w:pPr>
              <w:spacing w:after="40" w:before="40"/>
            </w:pPr>
            <w:r/>
            <w:r>
              <w:rPr>
                <w:sz w:val="18"/>
              </w:rPr>
              <w:t>Password storage</w:t>
            </w:r>
          </w:p>
        </w:tc>
        <w:tc>
          <w:tcPr>
            <w:tcW w:type="dxa" w:w="7200"/>
          </w:tcPr>
          <w:p>
            <w:pPr>
              <w:spacing w:after="40" w:before="40"/>
            </w:pPr>
            <w:r/>
            <w:r>
              <w:rPr>
                <w:sz w:val="18"/>
              </w:rPr>
              <w:t>bcrypt at cost factor 12. Never stored in clear, never logged, not recoverable</w:t>
            </w:r>
          </w:p>
        </w:tc>
      </w:tr>
      <w:tr>
        <w:tc>
          <w:tcPr>
            <w:tcW w:type="dxa" w:w="2160"/>
          </w:tcPr>
          <w:p>
            <w:pPr>
              <w:spacing w:after="40" w:before="40"/>
            </w:pPr>
            <w:r/>
            <w:r>
              <w:rPr>
                <w:sz w:val="18"/>
              </w:rPr>
              <w:t>Account enumeration</w:t>
            </w:r>
          </w:p>
        </w:tc>
        <w:tc>
          <w:tcPr>
            <w:tcW w:type="dxa" w:w="7200"/>
          </w:tcPr>
          <w:p>
            <w:pPr>
              <w:spacing w:after="40" w:before="40"/>
            </w:pPr>
            <w:r/>
            <w:r>
              <w:rPr>
                <w:sz w:val="18"/>
              </w:rPr>
              <w:t>A sign-in against an unknown account costs the same time as a wrong password, so response timing cannot enumerate officers</w:t>
            </w:r>
          </w:p>
        </w:tc>
      </w:tr>
      <w:tr>
        <w:tc>
          <w:tcPr>
            <w:tcW w:type="dxa" w:w="2160"/>
          </w:tcPr>
          <w:p>
            <w:pPr>
              <w:spacing w:after="40" w:before="40"/>
            </w:pPr>
            <w:r/>
            <w:r>
              <w:rPr>
                <w:sz w:val="18"/>
              </w:rPr>
              <w:t>Password policy</w:t>
            </w:r>
          </w:p>
        </w:tc>
        <w:tc>
          <w:tcPr>
            <w:tcW w:type="dxa" w:w="7200"/>
          </w:tcPr>
          <w:p>
            <w:pPr>
              <w:spacing w:after="40" w:before="40"/>
            </w:pPr>
            <w:r/>
            <w:r>
              <w:rPr>
                <w:sz w:val="18"/>
              </w:rPr>
              <w:t>Enforced by schema: at least ten characters, mixed case, a digit, and different from the current password</w:t>
            </w:r>
          </w:p>
        </w:tc>
      </w:tr>
      <w:tr>
        <w:tc>
          <w:tcPr>
            <w:tcW w:type="dxa" w:w="2160"/>
          </w:tcPr>
          <w:p>
            <w:pPr>
              <w:spacing w:after="40" w:before="40"/>
            </w:pPr>
            <w:r/>
            <w:r>
              <w:rPr>
                <w:sz w:val="18"/>
              </w:rPr>
              <w:t>Two-factor authentication</w:t>
            </w:r>
          </w:p>
        </w:tc>
        <w:tc>
          <w:tcPr>
            <w:tcW w:type="dxa" w:w="7200"/>
          </w:tcPr>
          <w:p>
            <w:pPr>
              <w:spacing w:after="40" w:before="40"/>
            </w:pPr>
            <w:r/>
            <w:r>
              <w:rPr>
                <w:sz w:val="18"/>
              </w:rPr>
              <w:t>Time-based one-time codes with a five-minute challenge destroyed on use. Recommended as mandatory for every role holding settlement approval, payout, user management or configuration rights</w:t>
            </w:r>
          </w:p>
        </w:tc>
      </w:tr>
      <w:tr>
        <w:tc>
          <w:tcPr>
            <w:tcW w:type="dxa" w:w="2160"/>
          </w:tcPr>
          <w:p>
            <w:pPr>
              <w:spacing w:after="40" w:before="40"/>
            </w:pPr>
            <w:r/>
            <w:r>
              <w:rPr>
                <w:sz w:val="18"/>
              </w:rPr>
              <w:t>Device binding</w:t>
            </w:r>
          </w:p>
        </w:tc>
        <w:tc>
          <w:tcPr>
            <w:tcW w:type="dxa" w:w="7200"/>
          </w:tcPr>
          <w:p>
            <w:pPr>
              <w:spacing w:after="40" w:before="40"/>
            </w:pPr>
            <w:r/>
            <w:r>
              <w:rPr>
                <w:sz w:val="18"/>
              </w:rPr>
              <w:t>Field accounts are bound to a single handset; a token presented from an unregistered device is refused</w:t>
            </w:r>
          </w:p>
        </w:tc>
      </w:tr>
      <w:tr>
        <w:tc>
          <w:tcPr>
            <w:tcW w:type="dxa" w:w="2160"/>
          </w:tcPr>
          <w:p>
            <w:pPr>
              <w:spacing w:after="40" w:before="40"/>
            </w:pPr>
            <w:r/>
            <w:r>
              <w:rPr>
                <w:sz w:val="18"/>
              </w:rPr>
              <w:t>Rate limiting</w:t>
            </w:r>
          </w:p>
        </w:tc>
        <w:tc>
          <w:tcPr>
            <w:tcW w:type="dxa" w:w="7200"/>
          </w:tcPr>
          <w:p>
            <w:pPr>
              <w:spacing w:after="40" w:before="40"/>
            </w:pPr>
            <w:r/>
            <w:r>
              <w:rPr>
                <w:sz w:val="18"/>
              </w:rPr>
              <w:t>Ten authentication attempts per minute; five OTP requests per five minutes; 120 requests per minute otherwise</w:t>
            </w:r>
          </w:p>
        </w:tc>
      </w:tr>
    </w:tbl>
    <w:p>
      <w:pPr>
        <w:spacing w:after="80"/>
      </w:pPr>
    </w:p>
    <w:p>
      <w:pPr>
        <w:pStyle w:val="Heading3"/>
      </w:pPr>
      <w:r>
        <w:t>Session and token integrity</w:t>
      </w:r>
    </w:p>
    <w:p>
      <w:pPr>
        <w:pStyle w:val="ListBullet"/>
        <w:spacing w:after="60"/>
      </w:pPr>
      <w:r>
        <w:rPr>
          <w:b/>
        </w:rPr>
        <w:t xml:space="preserve">Short-lived credentials — </w:t>
      </w:r>
      <w:r>
        <w:t>short-lived access tokens paired with a longer-lived refresh token, narrowing the window in which a captured token is useful.</w:t>
      </w:r>
    </w:p>
    <w:p>
      <w:pPr>
        <w:pStyle w:val="ListBullet"/>
        <w:spacing w:after="60"/>
      </w:pPr>
      <w:r>
        <w:rPr>
          <w:b/>
        </w:rPr>
        <w:t xml:space="preserve">Hashed at rest — </w:t>
      </w:r>
      <w:r>
        <w:t>refresh tokens are stored hashed and grouped into families. The database never holds a usable token.</w:t>
      </w:r>
    </w:p>
    <w:p>
      <w:pPr>
        <w:pStyle w:val="ListBullet"/>
        <w:spacing w:after="60"/>
      </w:pPr>
      <w:r>
        <w:rPr>
          <w:b/>
        </w:rPr>
        <w:t xml:space="preserve">Theft detection — </w:t>
      </w:r>
      <w:r>
        <w:t>refresh is single-use. Presenting the same token twice revokes the entire family and forces re-authentication, converting a silent compromise into a visible one.</w:t>
      </w:r>
    </w:p>
    <w:p>
      <w:pPr>
        <w:pStyle w:val="ListBullet"/>
        <w:spacing w:after="60"/>
      </w:pPr>
      <w:r>
        <w:rPr>
          <w:b/>
        </w:rPr>
        <w:t xml:space="preserve">Revocable sessions — </w:t>
      </w:r>
      <w:r>
        <w:t>every session is a server-side record with its device, address and expiry, revocable individually or in full by an administrator.</w:t>
      </w:r>
    </w:p>
    <w:p>
      <w:pPr>
        <w:pStyle w:val="Heading3"/>
      </w:pPr>
      <w:r>
        <w:t>Authorisation</w:t>
      </w:r>
    </w:p>
    <w:p>
      <w:pPr>
        <w:pStyle w:val="ListBullet"/>
        <w:spacing w:after="60"/>
      </w:pPr>
      <w:r>
        <w:rPr>
          <w:b/>
        </w:rPr>
        <w:t xml:space="preserve">Editable by the authority — </w:t>
      </w:r>
      <w:r>
        <w:t>roles are database records the Corporation edits without a software release, so the platform's guards and the matrix displayed on screen cannot diverge.</w:t>
      </w:r>
    </w:p>
    <w:p>
      <w:pPr>
        <w:pStyle w:val="ListBullet"/>
        <w:spacing w:after="60"/>
      </w:pPr>
      <w:r>
        <w:rPr>
          <w:b/>
        </w:rPr>
        <w:t xml:space="preserve">Two independent checks — </w:t>
      </w:r>
      <w:r>
        <w:t>a route guard answers whether the caller may make the request; the services then independently re-assert whether the caller may see each record, against their allocated wards. Neither is trusted alone.</w:t>
      </w:r>
    </w:p>
    <w:p>
      <w:pPr>
        <w:pStyle w:val="ListBullet"/>
        <w:spacing w:after="60"/>
      </w:pPr>
      <w:r>
        <w:rPr>
          <w:b/>
        </w:rPr>
        <w:t xml:space="preserve">Fail closed — </w:t>
      </w:r>
      <w:r>
        <w:t>an unknown role is refused. A zone-scoped officer with no wards allocated sees nothing rather than everything — the safe reading of 'we have not yet decided what they may see'.</w:t>
      </w:r>
    </w:p>
    <w:p>
      <w:pPr>
        <w:pStyle w:val="ListBullet"/>
        <w:spacing w:after="60"/>
      </w:pPr>
      <w:r>
        <w:rPr>
          <w:b/>
        </w:rPr>
        <w:t xml:space="preserve">Continuously proven — </w:t>
      </w:r>
      <w:r>
        <w:t>1,155 route-and-role decisions are asserted on every build, and a new route without an authorisation decorator fails the build.</w:t>
      </w:r>
    </w:p>
    <w:p>
      <w:pPr>
        <w:pStyle w:val="Heading2"/>
      </w:pPr>
      <w:r>
        <w:t>4.5 Application and platform hardening</w:t>
      </w:r>
    </w:p>
    <w:p>
      <w:pPr>
        <w:pStyle w:val="ListBullet"/>
        <w:spacing w:after="60"/>
      </w:pPr>
      <w:r>
        <w:rPr>
          <w:b/>
        </w:rPr>
        <w:t xml:space="preserve">Input validation — </w:t>
      </w:r>
      <w:r>
        <w:t>every route validates its input against a schema before the handler executes, with types generated from that same schema, so a validated request and its type cannot disagree.</w:t>
      </w:r>
    </w:p>
    <w:p>
      <w:pPr>
        <w:pStyle w:val="ListBullet"/>
        <w:spacing w:after="60"/>
      </w:pPr>
      <w:r>
        <w:rPr>
          <w:b/>
        </w:rPr>
        <w:t xml:space="preserve">Injection defence — </w:t>
      </w:r>
      <w:r>
        <w:t>no SQL is constructed by string concatenation. Parameterised queries throughout remove injection as a class rather than defending against it case by case.</w:t>
      </w:r>
    </w:p>
    <w:p>
      <w:pPr>
        <w:pStyle w:val="ListBullet"/>
        <w:spacing w:after="60"/>
      </w:pPr>
      <w:r>
        <w:rPr>
          <w:b/>
        </w:rPr>
        <w:t xml:space="preserve">Query surface — </w:t>
      </w:r>
      <w:r>
        <w:t>sort and filter parameters are restricted to an allow-list, preventing both information disclosure and denial of service through unindexed scans.</w:t>
      </w:r>
    </w:p>
    <w:p>
      <w:pPr>
        <w:pStyle w:val="ListBullet"/>
        <w:spacing w:after="60"/>
      </w:pPr>
      <w:r>
        <w:rPr>
          <w:b/>
        </w:rPr>
        <w:t xml:space="preserve">Transport — </w:t>
      </w:r>
      <w:r>
        <w:t>security headers are set at the edge, cross-origin access is restricted to an explicit allow-list rather than a wildcard, and request bodies are capped.</w:t>
      </w:r>
    </w:p>
    <w:p>
      <w:pPr>
        <w:pStyle w:val="ListBullet"/>
        <w:spacing w:after="60"/>
      </w:pPr>
      <w:r>
        <w:rPr>
          <w:b/>
        </w:rPr>
        <w:t xml:space="preserve">Configuration — </w:t>
      </w:r>
      <w:r>
        <w:t>configuration is validated at start-up. A missing or malformed secret fails the deployment rather than failing inside a request handler in the middle of the night.</w:t>
      </w:r>
    </w:p>
    <w:p>
      <w:pPr>
        <w:pStyle w:val="ListBullet"/>
        <w:spacing w:after="60"/>
      </w:pPr>
      <w:r>
        <w:rPr>
          <w:b/>
        </w:rPr>
        <w:t xml:space="preserve">Secure development — </w:t>
      </w:r>
      <w:r>
        <w:t>static analysis, dependency scanning and secret scanning execute in the build pipeline, failing the build on a high-severity finding.</w:t>
      </w:r>
    </w:p>
    <w:p>
      <w:pPr>
        <w:pStyle w:val="Heading2"/>
      </w:pPr>
      <w:r>
        <w:t>4.6 Monitoring, detection and incident response</w:t>
      </w:r>
    </w:p>
    <w:p>
      <w:pPr>
        <w:pStyle w:val="ListBullet"/>
        <w:spacing w:after="60"/>
      </w:pPr>
      <w:r>
        <w:rPr>
          <w:b/>
        </w:rPr>
        <w:t xml:space="preserve">Anomaly detection — </w:t>
      </w:r>
      <w:r>
        <w:t>eight anomaly classes evaluated at every sign-in, scored and stored with the event; trusted locations suppress routine noise so the alerts that appear are worth reading.</w:t>
      </w:r>
    </w:p>
    <w:p>
      <w:pPr>
        <w:pStyle w:val="ListBullet"/>
        <w:spacing w:after="60"/>
      </w:pPr>
      <w:r>
        <w:rPr>
          <w:b/>
        </w:rPr>
        <w:t xml:space="preserve">Error reporting — </w:t>
      </w:r>
      <w:r>
        <w:t>errors are reported off-platform with the correlating request identifier propagated, so an error and the audit record that produced it can be traced to one another. Personal data is removed before an event leaves.</w:t>
      </w:r>
    </w:p>
    <w:p>
      <w:pPr>
        <w:pStyle w:val="ListBullet"/>
        <w:spacing w:after="60"/>
      </w:pPr>
      <w:r>
        <w:rPr>
          <w:b/>
        </w:rPr>
        <w:t xml:space="preserve">Log retention — </w:t>
      </w:r>
      <w:r>
        <w:t>180 days of operational logs retained within India, as the CERT-In Directions require.</w:t>
      </w:r>
    </w:p>
    <w:p>
      <w:pPr>
        <w:pStyle w:val="ListBullet"/>
        <w:spacing w:after="60"/>
      </w:pPr>
      <w:r>
        <w:rPr>
          <w:b/>
        </w:rPr>
        <w:t xml:space="preserve">Incident response — </w:t>
      </w:r>
      <w:r>
        <w:t>a documented plan with severity definitions, the parallel CERT-In six-hour reporting clock and the DPDP notification obligation to the Data Protection Board and affected individuals, a decision tree, a who-decides table, and an inventory of exactly what the platform can supply to scope an incident. Rehearsed before go-live.</w:t>
      </w:r>
    </w:p>
    <w:p>
      <w:pPr>
        <w:pStyle w:val="Heading2"/>
      </w:pPr>
      <w:r>
        <w:t>4.7 Regulatory alignment</w:t>
      </w:r>
    </w:p>
    <w:tbl>
      <w:tblPr>
        <w:tblStyle w:val="TableGrid"/>
        <w:tblW w:type="auto" w:w="0"/>
        <w:jc w:val="center"/>
        <w:tblLook w:firstColumn="1" w:firstRow="1" w:lastColumn="0" w:lastRow="0" w:noHBand="0" w:noVBand="1" w:val="04A0"/>
      </w:tblPr>
      <w:tblGrid>
        <w:gridCol w:w="4824"/>
        <w:gridCol w:w="4824"/>
      </w:tblGrid>
      <w:tr>
        <w:tc>
          <w:tcPr>
            <w:tcW w:type="dxa" w:w="3456"/>
            <w:shd w:val="clear" w:fill="1F4FD8"/>
          </w:tcPr>
          <w:p>
            <w:pPr>
              <w:spacing w:after="40" w:before="40"/>
            </w:pPr>
            <w:r/>
            <w:r>
              <w:rPr>
                <w:b/>
                <w:color w:val="FFFFFF"/>
                <w:sz w:val="18"/>
              </w:rPr>
              <w:t>Obligation</w:t>
            </w:r>
          </w:p>
        </w:tc>
        <w:tc>
          <w:tcPr>
            <w:tcW w:type="dxa" w:w="5904"/>
            <w:shd w:val="clear" w:fill="1F4FD8"/>
          </w:tcPr>
          <w:p>
            <w:pPr>
              <w:spacing w:after="40" w:before="40"/>
            </w:pPr>
            <w:r/>
            <w:r>
              <w:rPr>
                <w:b/>
                <w:color w:val="FFFFFF"/>
                <w:sz w:val="18"/>
              </w:rPr>
              <w:t>How it is met</w:t>
            </w:r>
          </w:p>
        </w:tc>
      </w:tr>
      <w:tr>
        <w:tc>
          <w:tcPr>
            <w:tcW w:type="dxa" w:w="3456"/>
          </w:tcPr>
          <w:p>
            <w:pPr>
              <w:spacing w:after="40" w:before="40"/>
            </w:pPr>
            <w:r/>
            <w:r>
              <w:rPr>
                <w:sz w:val="18"/>
              </w:rPr>
              <w:t>Digital Personal Data Protection Act 2023 — purpose limitation</w:t>
            </w:r>
          </w:p>
        </w:tc>
        <w:tc>
          <w:tcPr>
            <w:tcW w:type="dxa" w:w="5904"/>
          </w:tcPr>
          <w:p>
            <w:pPr>
              <w:spacing w:after="40" w:before="40"/>
            </w:pPr>
            <w:r/>
            <w:r>
              <w:rPr>
                <w:sz w:val="18"/>
              </w:rPr>
              <w:t>Every media file records its capture purpose, which governs storage, retention and access</w:t>
            </w:r>
          </w:p>
        </w:tc>
      </w:tr>
      <w:tr>
        <w:tc>
          <w:tcPr>
            <w:tcW w:type="dxa" w:w="3456"/>
          </w:tcPr>
          <w:p>
            <w:pPr>
              <w:spacing w:after="40" w:before="40"/>
            </w:pPr>
            <w:r/>
            <w:r>
              <w:rPr>
                <w:sz w:val="18"/>
              </w:rPr>
              <w:t>DPDP — consent</w:t>
            </w:r>
          </w:p>
        </w:tc>
        <w:tc>
          <w:tcPr>
            <w:tcW w:type="dxa" w:w="5904"/>
          </w:tcPr>
          <w:p>
            <w:pPr>
              <w:spacing w:after="40" w:before="40"/>
            </w:pPr>
            <w:r/>
            <w:r>
              <w:rPr>
                <w:sz w:val="18"/>
              </w:rPr>
              <w:t>Append-only consent ledger with purpose, notice version, channel, address and who recorded it</w:t>
            </w:r>
          </w:p>
        </w:tc>
      </w:tr>
      <w:tr>
        <w:tc>
          <w:tcPr>
            <w:tcW w:type="dxa" w:w="3456"/>
          </w:tcPr>
          <w:p>
            <w:pPr>
              <w:spacing w:after="40" w:before="40"/>
            </w:pPr>
            <w:r/>
            <w:r>
              <w:rPr>
                <w:sz w:val="18"/>
              </w:rPr>
              <w:t>DPDP — notice</w:t>
            </w:r>
          </w:p>
        </w:tc>
        <w:tc>
          <w:tcPr>
            <w:tcW w:type="dxa" w:w="5904"/>
          </w:tcPr>
          <w:p>
            <w:pPr>
              <w:spacing w:after="40" w:before="40"/>
            </w:pPr>
            <w:r/>
            <w:r>
              <w:rPr>
                <w:sz w:val="18"/>
              </w:rPr>
              <w:t>Published privacy notice stating what is held and for how long</w:t>
            </w:r>
          </w:p>
        </w:tc>
      </w:tr>
      <w:tr>
        <w:tc>
          <w:tcPr>
            <w:tcW w:type="dxa" w:w="3456"/>
          </w:tcPr>
          <w:p>
            <w:pPr>
              <w:spacing w:after="40" w:before="40"/>
            </w:pPr>
            <w:r/>
            <w:r>
              <w:rPr>
                <w:sz w:val="18"/>
              </w:rPr>
              <w:t>DPDP — rights of the data principal</w:t>
            </w:r>
          </w:p>
        </w:tc>
        <w:tc>
          <w:tcPr>
            <w:tcW w:type="dxa" w:w="5904"/>
          </w:tcPr>
          <w:p>
            <w:pPr>
              <w:spacing w:after="40" w:before="40"/>
            </w:pPr>
            <w:r/>
            <w:r>
              <w:rPr>
                <w:sz w:val="18"/>
              </w:rPr>
              <w:t>Access, correction and erasure implemented; erasure as anonymisation so financial records survive</w:t>
            </w:r>
          </w:p>
        </w:tc>
      </w:tr>
      <w:tr>
        <w:tc>
          <w:tcPr>
            <w:tcW w:type="dxa" w:w="3456"/>
          </w:tcPr>
          <w:p>
            <w:pPr>
              <w:spacing w:after="40" w:before="40"/>
            </w:pPr>
            <w:r/>
            <w:r>
              <w:rPr>
                <w:sz w:val="18"/>
              </w:rPr>
              <w:t>DPDP — storage limitation</w:t>
            </w:r>
          </w:p>
        </w:tc>
        <w:tc>
          <w:tcPr>
            <w:tcW w:type="dxa" w:w="5904"/>
          </w:tcPr>
          <w:p>
            <w:pPr>
              <w:spacing w:after="40" w:before="40"/>
            </w:pPr>
            <w:r/>
            <w:r>
              <w:rPr>
                <w:sz w:val="18"/>
              </w:rPr>
              <w:t>Eight retention classes, enforced nightly, destruction itself audited</w:t>
            </w:r>
          </w:p>
        </w:tc>
      </w:tr>
      <w:tr>
        <w:tc>
          <w:tcPr>
            <w:tcW w:type="dxa" w:w="3456"/>
          </w:tcPr>
          <w:p>
            <w:pPr>
              <w:spacing w:after="40" w:before="40"/>
            </w:pPr>
            <w:r/>
            <w:r>
              <w:rPr>
                <w:sz w:val="18"/>
              </w:rPr>
              <w:t>DPDP — breach notification</w:t>
            </w:r>
          </w:p>
        </w:tc>
        <w:tc>
          <w:tcPr>
            <w:tcW w:type="dxa" w:w="5904"/>
          </w:tcPr>
          <w:p>
            <w:pPr>
              <w:spacing w:after="40" w:before="40"/>
            </w:pPr>
            <w:r/>
            <w:r>
              <w:rPr>
                <w:sz w:val="18"/>
              </w:rPr>
              <w:t>Runbook covering notification to the Data Protection Board and affected individuals</w:t>
            </w:r>
          </w:p>
        </w:tc>
      </w:tr>
      <w:tr>
        <w:tc>
          <w:tcPr>
            <w:tcW w:type="dxa" w:w="3456"/>
          </w:tcPr>
          <w:p>
            <w:pPr>
              <w:spacing w:after="40" w:before="40"/>
            </w:pPr>
            <w:r/>
            <w:r>
              <w:rPr>
                <w:sz w:val="18"/>
              </w:rPr>
              <w:t>CERT-In Directions 2022 — incident reporting</w:t>
            </w:r>
          </w:p>
        </w:tc>
        <w:tc>
          <w:tcPr>
            <w:tcW w:type="dxa" w:w="5904"/>
          </w:tcPr>
          <w:p>
            <w:pPr>
              <w:spacing w:after="40" w:before="40"/>
            </w:pPr>
            <w:r/>
            <w:r>
              <w:rPr>
                <w:sz w:val="18"/>
              </w:rPr>
              <w:t>Six-hour reporting clock built into the incident response plan</w:t>
            </w:r>
          </w:p>
        </w:tc>
      </w:tr>
      <w:tr>
        <w:tc>
          <w:tcPr>
            <w:tcW w:type="dxa" w:w="3456"/>
          </w:tcPr>
          <w:p>
            <w:pPr>
              <w:spacing w:after="40" w:before="40"/>
            </w:pPr>
            <w:r/>
            <w:r>
              <w:rPr>
                <w:sz w:val="18"/>
              </w:rPr>
              <w:t>CERT-In Directions 2022 — log retention</w:t>
            </w:r>
          </w:p>
        </w:tc>
        <w:tc>
          <w:tcPr>
            <w:tcW w:type="dxa" w:w="5904"/>
          </w:tcPr>
          <w:p>
            <w:pPr>
              <w:spacing w:after="40" w:before="40"/>
            </w:pPr>
            <w:r/>
            <w:r>
              <w:rPr>
                <w:sz w:val="18"/>
              </w:rPr>
              <w:t>180 days of logs retained within India</w:t>
            </w:r>
          </w:p>
        </w:tc>
      </w:tr>
      <w:tr>
        <w:tc>
          <w:tcPr>
            <w:tcW w:type="dxa" w:w="3456"/>
          </w:tcPr>
          <w:p>
            <w:pPr>
              <w:spacing w:after="40" w:before="40"/>
            </w:pPr>
            <w:r/>
            <w:r>
              <w:rPr>
                <w:sz w:val="18"/>
              </w:rPr>
              <w:t>Accountability</w:t>
            </w:r>
          </w:p>
        </w:tc>
        <w:tc>
          <w:tcPr>
            <w:tcW w:type="dxa" w:w="5904"/>
          </w:tcPr>
          <w:p>
            <w:pPr>
              <w:spacing w:after="40" w:before="40"/>
            </w:pPr>
            <w:r/>
            <w:r>
              <w:rPr>
                <w:sz w:val="18"/>
              </w:rPr>
              <w:t>Every access and change attributable to a named actor, device and address</w:t>
            </w:r>
          </w:p>
        </w:tc>
      </w:tr>
    </w:tbl>
    <w:p>
      <w:pPr>
        <w:spacing w:after="80"/>
      </w:pPr>
    </w:p>
    <w:p>
      <w:pPr>
        <w:pStyle w:val="Heading2"/>
      </w:pPr>
      <w:r>
        <w:t>4.8 Independent assurance</w:t>
      </w:r>
    </w:p>
    <w:p>
      <w:r>
        <w:rPr>
          <w:b w:val="0"/>
          <w:i w:val="0"/>
        </w:rPr>
        <w:t>The controls above are verified by inspection and automated test, which is not the same as having been attacked by someone attempting to defeat them. The following independent assurance is recommended before the platform holds live citizen data, and is supported within the delivery scope.</w:t>
      </w:r>
    </w:p>
    <w:p>
      <w:pPr>
        <w:pStyle w:val="ListBullet"/>
        <w:spacing w:after="60"/>
      </w:pPr>
      <w:r>
        <w:t>CERT-In empanelled security audit of the API, the portal and both mobile applications, with support through the assessment and closure of every finding, followed by a re-test.</w:t>
      </w:r>
    </w:p>
    <w:p>
      <w:pPr>
        <w:pStyle w:val="ListBullet"/>
        <w:spacing w:after="60"/>
      </w:pPr>
      <w:r>
        <w:t>Penetration test across all three clients.</w:t>
      </w:r>
    </w:p>
    <w:p>
      <w:pPr>
        <w:pStyle w:val="ListBullet"/>
        <w:spacing w:after="60"/>
      </w:pPr>
      <w:r>
        <w:t>Data protection impact assessment — appropriate for a platform that photographs identifiable vehicles at identifiable locations.</w:t>
      </w:r>
    </w:p>
    <w:p>
      <w:pPr>
        <w:pStyle w:val="ListBullet"/>
        <w:spacing w:after="60"/>
      </w:pPr>
      <w:r>
        <w:t>Restore rehearsal, timed, so the recovery objective is a measured number rather than an assumption.</w:t>
      </w:r>
    </w:p>
    <w:p>
      <w:pPr>
        <w:pStyle w:val="ListBullet"/>
        <w:spacing w:after="60"/>
      </w:pPr>
      <w:r>
        <w:t>Load testing at peak concurrency against the authority's own infrastructure.</w:t>
      </w:r>
    </w:p>
    <w:p>
      <w:r>
        <w:rPr>
          <w:b w:val="0"/>
          <w:i/>
          <w:color w:val="5C6675"/>
          <w:sz w:val="19"/>
        </w:rPr>
        <w:t>The auditor's and penetration testing firm's own fees are commissioned and borne by the Corporation.</w:t>
      </w:r>
    </w:p>
    <w:p>
      <w:r>
        <w:br w:type="page"/>
      </w:r>
    </w:p>
    <w:p>
      <w:pPr>
        <w:pStyle w:val="Heading1"/>
      </w:pPr>
      <w:r>
        <w:t>5. Verified operational characteristics</w:t>
      </w:r>
    </w:p>
    <w:p>
      <w:r>
        <w:rPr>
          <w:b w:val="0"/>
          <w:i w:val="0"/>
        </w:rPr>
        <w:t>Measured against a database carrying thirty days of a full city's operation — 62,356 parking sessions, 60,649 payments and 630 attendant shifts — rather than against an empty one.</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1F4FD8"/>
          </w:tcPr>
          <w:p>
            <w:pPr>
              <w:spacing w:after="40" w:before="40"/>
            </w:pPr>
            <w:r/>
            <w:r>
              <w:rPr>
                <w:b/>
                <w:color w:val="FFFFFF"/>
                <w:sz w:val="18"/>
              </w:rPr>
              <w:t>Measure</w:t>
            </w:r>
          </w:p>
        </w:tc>
        <w:tc>
          <w:tcPr>
            <w:tcW w:type="dxa" w:w="3888"/>
            <w:shd w:val="clear" w:fill="1F4FD8"/>
          </w:tcPr>
          <w:p>
            <w:pPr>
              <w:spacing w:after="40" w:before="40"/>
            </w:pPr>
            <w:r/>
            <w:r>
              <w:rPr>
                <w:b/>
                <w:color w:val="FFFFFF"/>
                <w:sz w:val="18"/>
              </w:rPr>
              <w:t>Method</w:t>
            </w:r>
          </w:p>
        </w:tc>
        <w:tc>
          <w:tcPr>
            <w:tcW w:type="dxa" w:w="3312"/>
            <w:shd w:val="clear" w:fill="1F4FD8"/>
          </w:tcPr>
          <w:p>
            <w:pPr>
              <w:spacing w:after="40" w:before="40"/>
            </w:pPr>
            <w:r/>
            <w:r>
              <w:rPr>
                <w:b/>
                <w:color w:val="FFFFFF"/>
                <w:sz w:val="18"/>
              </w:rPr>
              <w:t>Result</w:t>
            </w:r>
          </w:p>
        </w:tc>
      </w:tr>
      <w:tr>
        <w:tc>
          <w:tcPr>
            <w:tcW w:type="dxa" w:w="2160"/>
          </w:tcPr>
          <w:p>
            <w:pPr>
              <w:spacing w:after="40" w:before="40"/>
            </w:pPr>
            <w:r/>
            <w:r>
              <w:rPr>
                <w:sz w:val="18"/>
              </w:rPr>
              <w:t>Backup</w:t>
            </w:r>
          </w:p>
        </w:tc>
        <w:tc>
          <w:tcPr>
            <w:tcW w:type="dxa" w:w="3888"/>
          </w:tcPr>
          <w:p>
            <w:pPr>
              <w:spacing w:after="40" w:before="40"/>
            </w:pPr>
            <w:r/>
            <w:r>
              <w:rPr>
                <w:sz w:val="18"/>
              </w:rPr>
              <w:t>Compressed dump of the entire database</w:t>
            </w:r>
          </w:p>
        </w:tc>
        <w:tc>
          <w:tcPr>
            <w:tcW w:type="dxa" w:w="3312"/>
          </w:tcPr>
          <w:p>
            <w:pPr>
              <w:spacing w:after="40" w:before="40"/>
            </w:pPr>
            <w:r/>
            <w:r>
              <w:rPr>
                <w:sz w:val="18"/>
              </w:rPr>
              <w:t>0.87 seconds, producing 6.3 MB from 98 MB</w:t>
            </w:r>
          </w:p>
        </w:tc>
      </w:tr>
      <w:tr>
        <w:tc>
          <w:tcPr>
            <w:tcW w:type="dxa" w:w="2160"/>
          </w:tcPr>
          <w:p>
            <w:pPr>
              <w:spacing w:after="40" w:before="40"/>
            </w:pPr>
            <w:r/>
            <w:r>
              <w:rPr>
                <w:sz w:val="18"/>
              </w:rPr>
              <w:t>Restore</w:t>
            </w:r>
          </w:p>
        </w:tc>
        <w:tc>
          <w:tcPr>
            <w:tcW w:type="dxa" w:w="3888"/>
          </w:tcPr>
          <w:p>
            <w:pPr>
              <w:spacing w:after="40" w:before="40"/>
            </w:pPr>
            <w:r/>
            <w:r>
              <w:rPr>
                <w:sz w:val="18"/>
              </w:rPr>
              <w:t>Full restore into an empty database, row counts then compared table by table</w:t>
            </w:r>
          </w:p>
        </w:tc>
        <w:tc>
          <w:tcPr>
            <w:tcW w:type="dxa" w:w="3312"/>
          </w:tcPr>
          <w:p>
            <w:pPr>
              <w:spacing w:after="40" w:before="40"/>
            </w:pPr>
            <w:r/>
            <w:r>
              <w:rPr>
                <w:sz w:val="18"/>
              </w:rPr>
              <w:t>3.12 seconds, every record accounted for</w:t>
            </w:r>
          </w:p>
        </w:tc>
      </w:tr>
      <w:tr>
        <w:tc>
          <w:tcPr>
            <w:tcW w:type="dxa" w:w="2160"/>
          </w:tcPr>
          <w:p>
            <w:pPr>
              <w:spacing w:after="40" w:before="40"/>
            </w:pPr>
            <w:r/>
            <w:r>
              <w:rPr>
                <w:sz w:val="18"/>
              </w:rPr>
              <w:t>Dashboard</w:t>
            </w:r>
          </w:p>
        </w:tc>
        <w:tc>
          <w:tcPr>
            <w:tcW w:type="dxa" w:w="3888"/>
          </w:tcPr>
          <w:p>
            <w:pPr>
              <w:spacing w:after="40" w:before="40"/>
            </w:pPr>
            <w:r/>
            <w:r>
              <w:rPr>
                <w:sz w:val="18"/>
              </w:rPr>
              <w:t>The heaviest read an officer performs at sign-in</w:t>
            </w:r>
          </w:p>
        </w:tc>
        <w:tc>
          <w:tcPr>
            <w:tcW w:type="dxa" w:w="3312"/>
          </w:tcPr>
          <w:p>
            <w:pPr>
              <w:spacing w:after="40" w:before="40"/>
            </w:pPr>
            <w:r/>
            <w:r>
              <w:rPr>
                <w:sz w:val="18"/>
              </w:rPr>
              <w:t>29 milliseconds</w:t>
            </w:r>
          </w:p>
        </w:tc>
      </w:tr>
      <w:tr>
        <w:tc>
          <w:tcPr>
            <w:tcW w:type="dxa" w:w="2160"/>
          </w:tcPr>
          <w:p>
            <w:pPr>
              <w:spacing w:after="40" w:before="40"/>
            </w:pPr>
            <w:r/>
            <w:r>
              <w:rPr>
                <w:sz w:val="18"/>
              </w:rPr>
              <w:t>Revenue aggregation</w:t>
            </w:r>
          </w:p>
        </w:tc>
        <w:tc>
          <w:tcPr>
            <w:tcW w:type="dxa" w:w="3888"/>
          </w:tcPr>
          <w:p>
            <w:pPr>
              <w:spacing w:after="40" w:before="40"/>
            </w:pPr>
            <w:r/>
            <w:r>
              <w:rPr>
                <w:sz w:val="18"/>
              </w:rPr>
              <w:t>Sum and commission split across 60,649 payments</w:t>
            </w:r>
          </w:p>
        </w:tc>
        <w:tc>
          <w:tcPr>
            <w:tcW w:type="dxa" w:w="3312"/>
          </w:tcPr>
          <w:p>
            <w:pPr>
              <w:spacing w:after="40" w:before="40"/>
            </w:pPr>
            <w:r/>
            <w:r>
              <w:rPr>
                <w:sz w:val="18"/>
              </w:rPr>
              <w:t>256 milliseconds</w:t>
            </w:r>
          </w:p>
        </w:tc>
      </w:tr>
      <w:tr>
        <w:tc>
          <w:tcPr>
            <w:tcW w:type="dxa" w:w="2160"/>
          </w:tcPr>
          <w:p>
            <w:pPr>
              <w:spacing w:after="40" w:before="40"/>
            </w:pPr>
            <w:r/>
            <w:r>
              <w:rPr>
                <w:sz w:val="18"/>
              </w:rPr>
              <w:t>Thirty-day trend series</w:t>
            </w:r>
          </w:p>
        </w:tc>
        <w:tc>
          <w:tcPr>
            <w:tcW w:type="dxa" w:w="3888"/>
          </w:tcPr>
          <w:p>
            <w:pPr>
              <w:spacing w:after="40" w:before="40"/>
            </w:pPr>
            <w:r/>
            <w:r>
              <w:rPr>
                <w:sz w:val="18"/>
              </w:rPr>
              <w:t>Daily aggregation across the full period</w:t>
            </w:r>
          </w:p>
        </w:tc>
        <w:tc>
          <w:tcPr>
            <w:tcW w:type="dxa" w:w="3312"/>
          </w:tcPr>
          <w:p>
            <w:pPr>
              <w:spacing w:after="40" w:before="40"/>
            </w:pPr>
            <w:r/>
            <w:r>
              <w:rPr>
                <w:sz w:val="18"/>
              </w:rPr>
              <w:t>208 milliseconds</w:t>
            </w:r>
          </w:p>
        </w:tc>
      </w:tr>
      <w:tr>
        <w:tc>
          <w:tcPr>
            <w:tcW w:type="dxa" w:w="2160"/>
          </w:tcPr>
          <w:p>
            <w:pPr>
              <w:spacing w:after="40" w:before="40"/>
            </w:pPr>
            <w:r/>
            <w:r>
              <w:rPr>
                <w:sz w:val="18"/>
              </w:rPr>
              <w:t>List screens</w:t>
            </w:r>
          </w:p>
        </w:tc>
        <w:tc>
          <w:tcPr>
            <w:tcW w:type="dxa" w:w="3888"/>
          </w:tcPr>
          <w:p>
            <w:pPr>
              <w:spacing w:after="40" w:before="40"/>
            </w:pPr>
            <w:r/>
            <w:r>
              <w:rPr>
                <w:sz w:val="18"/>
              </w:rPr>
              <w:t>Sessions, payments, settlements, audit, zones, shifts</w:t>
            </w:r>
          </w:p>
        </w:tc>
        <w:tc>
          <w:tcPr>
            <w:tcW w:type="dxa" w:w="3312"/>
          </w:tcPr>
          <w:p>
            <w:pPr>
              <w:spacing w:after="40" w:before="40"/>
            </w:pPr>
            <w:r/>
            <w:r>
              <w:rPr>
                <w:sz w:val="18"/>
              </w:rPr>
              <w:t>4 to 31 milliseconds</w:t>
            </w:r>
          </w:p>
        </w:tc>
      </w:tr>
      <w:tr>
        <w:tc>
          <w:tcPr>
            <w:tcW w:type="dxa" w:w="2160"/>
          </w:tcPr>
          <w:p>
            <w:pPr>
              <w:spacing w:after="40" w:before="40"/>
            </w:pPr>
            <w:r/>
            <w:r>
              <w:rPr>
                <w:sz w:val="18"/>
              </w:rPr>
              <w:t>Automated tests</w:t>
            </w:r>
          </w:p>
        </w:tc>
        <w:tc>
          <w:tcPr>
            <w:tcW w:type="dxa" w:w="3888"/>
          </w:tcPr>
          <w:p>
            <w:pPr>
              <w:spacing w:after="40" w:before="40"/>
            </w:pPr>
            <w:r/>
            <w:r>
              <w:rPr>
                <w:sz w:val="18"/>
              </w:rPr>
              <w:t>Backend and frontend suites</w:t>
            </w:r>
          </w:p>
        </w:tc>
        <w:tc>
          <w:tcPr>
            <w:tcW w:type="dxa" w:w="3312"/>
          </w:tcPr>
          <w:p>
            <w:pPr>
              <w:spacing w:after="40" w:before="40"/>
            </w:pPr>
            <w:r/>
            <w:r>
              <w:rPr>
                <w:sz w:val="18"/>
              </w:rPr>
              <w:t>538 tests</w:t>
            </w:r>
          </w:p>
        </w:tc>
      </w:tr>
      <w:tr>
        <w:tc>
          <w:tcPr>
            <w:tcW w:type="dxa" w:w="2160"/>
          </w:tcPr>
          <w:p>
            <w:pPr>
              <w:spacing w:after="40" w:before="40"/>
            </w:pPr>
            <w:r/>
            <w:r>
              <w:rPr>
                <w:sz w:val="18"/>
              </w:rPr>
              <w:t>Authorisation assertions</w:t>
            </w:r>
          </w:p>
        </w:tc>
        <w:tc>
          <w:tcPr>
            <w:tcW w:type="dxa" w:w="3888"/>
          </w:tcPr>
          <w:p>
            <w:pPr>
              <w:spacing w:after="40" w:before="40"/>
            </w:pPr>
            <w:r/>
            <w:r>
              <w:rPr>
                <w:sz w:val="18"/>
              </w:rPr>
              <w:t>Route-and-role decisions checked on every build</w:t>
            </w:r>
          </w:p>
        </w:tc>
        <w:tc>
          <w:tcPr>
            <w:tcW w:type="dxa" w:w="3312"/>
          </w:tcPr>
          <w:p>
            <w:pPr>
              <w:spacing w:after="40" w:before="40"/>
            </w:pPr>
            <w:r/>
            <w:r>
              <w:rPr>
                <w:sz w:val="18"/>
              </w:rPr>
              <w:t>1,155</w:t>
            </w:r>
          </w:p>
        </w:tc>
      </w:tr>
    </w:tbl>
    <w:p>
      <w:pPr>
        <w:spacing w:after="80"/>
      </w:pPr>
    </w:p>
    <w:p>
      <w:r>
        <w:rPr>
          <w:b w:val="0"/>
          <w:i/>
          <w:color w:val="5C6675"/>
          <w:sz w:val="19"/>
        </w:rPr>
        <w:t>These figures establish that nothing in the platform degrades badly at a realistic volume. They are not a substitute for load testing at peak concurrency, which is listed in section 4.8 and should be conducted against the authority's own infrastructure.</w:t>
      </w:r>
    </w:p>
    <w:p>
      <w:pPr>
        <w:pBdr>
          <w:bottom w:val="single" w:sz="6" w:color="D8DEE8"/>
        </w:pBdr>
        <w:spacing w:after="200"/>
      </w:pPr>
    </w:p>
    <w:p>
      <w:r>
        <w:rPr>
          <w:b w:val="0"/>
          <w:i w:val="0"/>
          <w:color w:val="5C6675"/>
          <w:sz w:val="18"/>
        </w:rPr>
        <w:t>Feature counts are taken from the agreed KMCP Scope of Work. Platform metrics and security controls were verified against the running system in September 2026. Controls described as being in force were confirmed in executing code; those listed under independent assurance have not yet been performed.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51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151A22"/>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51A2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FD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