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/>
      </w:pPr>
      <w:r>
        <w:rPr>
          <w:b/>
          <w:i w:val="0"/>
          <w:color w:val="8A6D11"/>
          <w:sz w:val="19"/>
        </w:rPr>
        <w:t>KMCP · PROPOSED SCREENS</w:t>
      </w:r>
    </w:p>
    <w:p>
      <w:pPr>
        <w:spacing w:after="40"/>
      </w:pPr>
      <w:r>
        <w:rPr>
          <w:rFonts w:ascii="Calibri" w:hAnsi="Calibri"/>
          <w:b/>
          <w:color w:val="142B4A"/>
          <w:sz w:val="60"/>
        </w:rPr>
        <w:t>A dashboard, a map,</w:t>
        <w:br/>
        <w:t>and a way to pay</w:t>
      </w:r>
    </w:p>
    <w:p>
      <w:pPr>
        <w:spacing w:after="60" w:before="0"/>
      </w:pPr>
      <w:r>
        <w:rPr>
          <w:b w:val="0"/>
          <w:i w:val="0"/>
          <w:color w:val="5D6B80"/>
          <w:sz w:val="24"/>
        </w:rPr>
        <w:t>Kolkata Municipal Corporation Parking — vendor and citizen applications</w:t>
      </w:r>
    </w:p>
    <w:p>
      <w:pPr>
        <w:spacing w:after="320" w:before="0"/>
      </w:pPr>
      <w:r>
        <w:rPr>
          <w:b w:val="0"/>
          <w:i w:val="0"/>
          <w:color w:val="5D6B80"/>
          <w:sz w:val="20"/>
        </w:rPr>
        <w:t>5 September 2026</w:t>
      </w:r>
    </w:p>
    <w:p>
      <w:pPr>
        <w:spacing w:after="280" w:before="0"/>
      </w:pPr>
      <w:r>
        <w:rPr>
          <w:b w:val="0"/>
          <w:color w:val="1B222E"/>
          <w:sz w:val="22"/>
        </w:rPr>
        <w:t xml:space="preserve">The vendor app gets the numbers an operator actually asks for, and a QR that carries the fare. The citizen app gets built — map, car park detail, wallet, history. Vendor screens reuse the existing </w:t>
      </w:r>
      <w:r>
        <w:rPr>
          <w:b/>
          <w:color w:val="1B222E"/>
          <w:sz w:val="22"/>
        </w:rPr>
        <w:t>theme.ts</w:t>
      </w:r>
      <w:r>
        <w:rPr>
          <w:b w:val="0"/>
          <w:color w:val="1B222E"/>
          <w:sz w:val="22"/>
        </w:rPr>
        <w:t xml:space="preserve"> unchanged; citizen screens propose a light palette, because </w:t>
      </w:r>
      <w:r>
        <w:rPr>
          <w:b/>
          <w:color w:val="1B222E"/>
          <w:sz w:val="22"/>
        </w:rPr>
        <w:t>a map is unreadable on a dark ground and a citizen is not standing in the sun.</w:t>
      </w:r>
    </w:p>
    <w:p>
      <w:pPr>
        <w:spacing w:after="120" w:before="0"/>
      </w:pPr>
      <w:r>
        <w:rPr>
          <w:b/>
          <w:i w:val="0"/>
          <w:color w:val="142B4A"/>
          <w:sz w:val="23"/>
        </w:rPr>
        <w:t>Decisions this document assumes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1872"/>
            <w:shd w:val="clear" w:fill="142B4A"/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DECISION</w:t>
            </w:r>
          </w:p>
        </w:tc>
        <w:tc>
          <w:tcPr>
            <w:tcW w:type="dxa" w:w="2160"/>
            <w:shd w:val="clear" w:fill="142B4A"/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CHOICE</w:t>
            </w:r>
          </w:p>
        </w:tc>
        <w:tc>
          <w:tcPr>
            <w:tcW w:type="dxa" w:w="5616"/>
            <w:shd w:val="clear" w:fill="142B4A"/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CONSEQUENCE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>
              <w:rPr>
                <w:b/>
                <w:color w:val="1B222E"/>
                <w:sz w:val="18"/>
              </w:rPr>
              <w:t>Wallet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color w:val="1B222E"/>
                <w:sz w:val="18"/>
              </w:rPr>
              <w:t>Full ledger</w:t>
            </w:r>
          </w:p>
        </w:tc>
        <w:tc>
          <w:tcPr>
            <w:tcW w:type="dxa" w:w="5616"/>
          </w:tcPr>
          <w:p>
            <w:pPr>
              <w:spacing w:after="40"/>
            </w:pPr>
            <w:r>
              <w:rPr>
                <w:color w:val="1B222E"/>
                <w:sz w:val="18"/>
              </w:rPr>
              <w:t>Balance, top-up, debit and refund. None of this exists today — the only genuinely new subsystem.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>
              <w:rPr>
                <w:b/>
                <w:color w:val="1B222E"/>
                <w:sz w:val="18"/>
              </w:rPr>
              <w:t>QR payments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color w:val="1B222E"/>
                <w:sz w:val="18"/>
              </w:rPr>
              <w:t>Razorpay QR Codes API</w:t>
            </w:r>
          </w:p>
        </w:tc>
        <w:tc>
          <w:tcPr>
            <w:tcW w:type="dxa" w:w="5616"/>
          </w:tcPr>
          <w:p>
            <w:pPr>
              <w:spacing w:after="40"/>
            </w:pPr>
            <w:r>
              <w:rPr>
                <w:color w:val="1B222E"/>
                <w:sz w:val="18"/>
              </w:rPr>
              <w:t>Amount fixed server-side; reconciles itself through the webhook that already runs.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>
              <w:rPr>
                <w:b/>
                <w:color w:val="1B222E"/>
                <w:sz w:val="18"/>
              </w:rPr>
              <w:t>Citizen sign-in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color w:val="1B222E"/>
                <w:sz w:val="18"/>
              </w:rPr>
              <w:t>OTP — already built</w:t>
            </w:r>
          </w:p>
        </w:tc>
        <w:tc>
          <w:tcPr>
            <w:tcW w:type="dxa" w:w="5616"/>
          </w:tcPr>
          <w:p>
            <w:pPr>
              <w:spacing w:after="40"/>
            </w:pPr>
            <w:r>
              <w:rPr>
                <w:color w:val="1B222E"/>
                <w:sz w:val="18"/>
              </w:rPr>
              <w:t>auth/otp/request and auth/otp/verify exist, are documented for citizens, and have never been called.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>
              <w:rPr>
                <w:b/>
                <w:color w:val="1B222E"/>
                <w:sz w:val="18"/>
              </w:rPr>
              <w:t>Starting a session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color w:val="1B222E"/>
                <w:sz w:val="18"/>
              </w:rPr>
              <w:t>Still the attendant</w:t>
            </w:r>
          </w:p>
        </w:tc>
        <w:tc>
          <w:tcPr>
            <w:tcW w:type="dxa" w:w="5616"/>
          </w:tcPr>
          <w:p>
            <w:pPr>
              <w:spacing w:after="40"/>
            </w:pPr>
            <w:r>
              <w:rPr>
                <w:color w:val="1B222E"/>
                <w:sz w:val="18"/>
              </w:rPr>
              <w:t>The citizen app finds their car by registered plate. It does not start sessions.</w:t>
            </w:r>
          </w:p>
        </w:tc>
      </w:tr>
    </w:tbl>
    <w:p>
      <w:pPr>
        <w:spacing w:after="80"/>
      </w:pPr>
    </w:p>
    <w:p>
      <w:pPr>
        <w:spacing w:after="140" w:before="120"/>
      </w:pPr>
      <w:r>
        <w:rPr>
          <w:b w:val="0"/>
          <w:i/>
          <w:color w:val="5D6B80"/>
          <w:sz w:val="19"/>
        </w:rPr>
        <w:t>Every screen in this document was drawn against the live schema. Field and endpoint names quoted here were verified against kmcp-backend at commit 7446f1d.</w:t>
      </w:r>
    </w:p>
    <w:p>
      <w:r>
        <w:br w:type="page"/>
      </w:r>
    </w:p>
    <w:p>
      <w:pPr>
        <w:pStyle w:val="Heading1"/>
      </w:pPr>
      <w:r>
        <w:t>1.  The operator's numbers</w:t>
      </w:r>
    </w:p>
    <w:p>
      <w:pPr>
        <w:spacing w:after="200" w:before="0"/>
      </w:pPr>
      <w:r>
        <w:rPr>
          <w:b/>
          <w:i w:val="0"/>
          <w:color w:val="8A6D11"/>
          <w:sz w:val="18"/>
        </w:rPr>
        <w:t>VENDOR APP  ·  app/(tabs)/shift.tsx → today.tsx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3"/>
      </w:tblGrid>
      <w:tr>
        <w:tc>
          <w:tcPr>
            <w:tcW w:type="dxa" w:w="9633"/>
          </w:tcPr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117336" cy="1162931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00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7336" cy="116293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633"/>
          </w:tcPr>
          <w:p>
            <w:pPr>
              <w:spacing w:after="240"/>
              <w:jc w:val="center"/>
            </w:pPr>
            <w:r>
              <w:rPr>
                <w:i/>
                <w:color w:val="5D6B80"/>
                <w:sz w:val="17"/>
              </w:rPr>
              <w:t>Today — the Shift tab, grown into a dashboard</w:t>
            </w:r>
          </w:p>
        </w:tc>
      </w:tr>
    </w:tbl>
    <w:p>
      <w:pPr>
        <w:spacing w:after="160" w:before="0"/>
      </w:pPr>
      <w:r>
        <w:rPr>
          <w:b w:val="0"/>
          <w:i w:val="0"/>
          <w:color w:val="1B222E"/>
          <w:sz w:val="21"/>
        </w:rPr>
        <w:t>Every figure on this screen already exists on the live API. Parked-now and free slots come from the slot summary, the collected split from the open shift, and the vendor's share from the commission percentage applied to what was collected — the same calculation the settlement engine already performs.</w:t>
      </w:r>
    </w:p>
    <w:p>
      <w:pPr>
        <w:pStyle w:val="Heading2"/>
      </w:pPr>
      <w:r>
        <w:t>Why this is not a fourth tab</w:t>
      </w:r>
    </w:p>
    <w:p>
      <w:pPr>
        <w:spacing w:after="140" w:before="0"/>
      </w:pPr>
      <w:r>
        <w:rPr>
          <w:b w:val="0"/>
          <w:color w:val="1B222E"/>
          <w:sz w:val="21"/>
        </w:rPr>
        <w:t xml:space="preserve">The app's own layout file states the rule: </w:t>
      </w:r>
      <w:r>
        <w:rPr>
          <w:rFonts w:ascii="Calibri" w:hAnsi="Calibri"/>
          <w:b w:val="0"/>
          <w:color w:val="5D6B80"/>
          <w:sz w:val="21"/>
        </w:rPr>
        <w:t>"three tabs and no more — a fourth would be a feature nobody asked for competing for a thumb that is holding a phone in the rain."</w:t>
      </w:r>
      <w:r>
        <w:rPr>
          <w:b w:val="0"/>
          <w:color w:val="1B222E"/>
          <w:sz w:val="21"/>
        </w:rPr>
        <w:t xml:space="preserve"> That reasoning is sound, so the dashboard does not add a tab. The Shift tab already carried sessions, digital total and zone; it becomes </w:t>
      </w:r>
      <w:r>
        <w:rPr>
          <w:b/>
          <w:color w:val="1B222E"/>
          <w:sz w:val="21"/>
        </w:rPr>
        <w:t>Today</w:t>
      </w:r>
      <w:r>
        <w:rPr>
          <w:b w:val="0"/>
          <w:color w:val="1B222E"/>
          <w:sz w:val="21"/>
        </w:rPr>
        <w:t xml:space="preserve"> and absorbs the rest. The Kerb remains the working screen.</w:t>
      </w:r>
    </w:p>
    <w:p>
      <w:pPr>
        <w:pStyle w:val="Heading2"/>
      </w:pPr>
      <w:r>
        <w:t>Reading the screen</w:t>
      </w:r>
    </w:p>
    <w:p>
      <w:pPr>
        <w:spacing w:after="160" w:before="0"/>
      </w:pPr>
      <w:r>
        <w:rPr>
          <w:b w:val="0"/>
          <w:i w:val="0"/>
          <w:color w:val="1B222E"/>
          <w:sz w:val="21"/>
        </w:rPr>
        <w:t>Free slots is the only tile that changes colour, because it is the only number an attendant has to act on; the others exist to be known, not chased. The hourly strip is a single series in a single hue with only the peak labelled — a number above every bar would be noise at this size.</w:t>
      </w:r>
    </w:p>
    <w:p>
      <w:pPr>
        <w:pStyle w:val="ListBullet"/>
        <w:spacing w:after="60"/>
        <w:ind w:left="360"/>
      </w:pPr>
      <w:r>
        <w:rPr>
          <w:color w:val="5D6B80"/>
          <w:sz w:val="20"/>
        </w:rPr>
        <w:t>All four figures are available from the live API today.</w:t>
      </w:r>
    </w:p>
    <w:p>
      <w:pPr>
        <w:pStyle w:val="ListBullet"/>
        <w:spacing w:after="60"/>
        <w:ind w:left="360"/>
      </w:pPr>
      <w:r>
        <w:rPr>
          <w:color w:val="5D6B80"/>
          <w:sz w:val="20"/>
        </w:rPr>
        <w:t>GET /revenue is guarded by payment.read — confirm a vendor's share is scoped to their own vendor and not the whole city.</w:t>
      </w:r>
    </w:p>
    <w:p>
      <w:r>
        <w:br w:type="page"/>
      </w:r>
    </w:p>
    <w:p>
      <w:pPr>
        <w:pStyle w:val="Heading1"/>
      </w:pPr>
      <w:r>
        <w:t>2.  A QR that carries the fare</w:t>
      </w:r>
    </w:p>
    <w:p>
      <w:pPr>
        <w:spacing w:after="200" w:before="0"/>
      </w:pPr>
      <w:r>
        <w:rPr>
          <w:b/>
          <w:i w:val="0"/>
          <w:color w:val="8A6D11"/>
          <w:sz w:val="18"/>
        </w:rPr>
        <w:t>VENDOR APP  ·  app/session/[code].tsx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</w:tcPr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76372" cy="5658207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01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6372" cy="565820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6"/>
          </w:tcPr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76372" cy="5658207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0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6372" cy="565820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816"/>
          </w:tcPr>
          <w:p>
            <w:pPr>
              <w:spacing w:after="240"/>
              <w:jc w:val="center"/>
            </w:pPr>
            <w:r>
              <w:rPr>
                <w:i/>
                <w:color w:val="5D6B80"/>
                <w:sz w:val="17"/>
              </w:rPr>
              <w:t>Awaiting — the amount is locked server-side</w:t>
            </w:r>
          </w:p>
        </w:tc>
        <w:tc>
          <w:tcPr>
            <w:tcW w:type="dxa" w:w="4816"/>
          </w:tcPr>
          <w:p>
            <w:pPr>
              <w:spacing w:after="240"/>
              <w:jc w:val="center"/>
            </w:pPr>
            <w:r>
              <w:rPr>
                <w:i/>
                <w:color w:val="5D6B80"/>
                <w:sz w:val="17"/>
              </w:rPr>
              <w:t>Settled — the gateway confirms, not the phone</w:t>
            </w:r>
          </w:p>
        </w:tc>
      </w:tr>
    </w:tbl>
    <w:p>
      <w:pPr>
        <w:spacing w:after="140" w:before="0"/>
      </w:pPr>
      <w:r>
        <w:rPr>
          <w:b w:val="0"/>
          <w:color w:val="1B222E"/>
          <w:sz w:val="21"/>
        </w:rPr>
        <w:t xml:space="preserve">The requirement is a QR carrying the payment value on </w:t>
      </w:r>
      <w:r>
        <w:rPr>
          <w:b/>
          <w:color w:val="1B222E"/>
          <w:sz w:val="21"/>
        </w:rPr>
        <w:t>every</w:t>
      </w:r>
      <w:r>
        <w:rPr>
          <w:b w:val="0"/>
          <w:color w:val="1B222E"/>
          <w:sz w:val="21"/>
        </w:rPr>
        <w:t xml:space="preserve"> payment. Today the collect endpoint creates a Razorpay </w:t>
      </w:r>
      <w:r>
        <w:rPr>
          <w:b w:val="0"/>
          <w:color w:val="1B222E"/>
          <w:sz w:val="21"/>
        </w:rPr>
        <w:t>order</w:t>
      </w:r>
      <w:r>
        <w:rPr>
          <w:b w:val="0"/>
          <w:color w:val="1B222E"/>
          <w:sz w:val="21"/>
        </w:rPr>
        <w:t xml:space="preserve"> and returns the gateway key and order — which is what a checkout sheet needs, not something a driver can scan.</w:t>
      </w:r>
    </w:p>
    <w:p>
      <w:pPr>
        <w:pStyle w:val="Heading2"/>
      </w:pPr>
      <w:r>
        <w:t>What has to change</w:t>
      </w:r>
    </w:p>
    <w:p>
      <w:pPr>
        <w:spacing w:after="140" w:before="0"/>
      </w:pPr>
      <w:r>
        <w:rPr>
          <w:b/>
          <w:color w:val="1B222E"/>
          <w:sz w:val="21"/>
        </w:rPr>
        <w:t>razorpay.service.ts</w:t>
      </w:r>
      <w:r>
        <w:rPr>
          <w:b w:val="0"/>
          <w:color w:val="1B222E"/>
          <w:sz w:val="21"/>
        </w:rPr>
        <w:t xml:space="preserve"> has exactly one method, createOrder. It needs a second, createQrCode, calling Razorpay's QR Codes API with a </w:t>
      </w:r>
      <w:r>
        <w:rPr>
          <w:b/>
          <w:color w:val="1B222E"/>
          <w:sz w:val="21"/>
        </w:rPr>
        <w:t>fixed amount and single use</w:t>
      </w:r>
      <w:r>
        <w:rPr>
          <w:b w:val="0"/>
          <w:color w:val="1B222E"/>
          <w:sz w:val="21"/>
        </w:rPr>
        <w:t>, returning an image URL the handset renders. The webhook then handles the qr_code.credited event alongside the payment events it already verifies.</w:t>
      </w:r>
    </w:p>
    <w:p>
      <w:pPr>
        <w:pStyle w:val="Heading2"/>
      </w:pPr>
      <w:r>
        <w:t>Why this matters more than it looks</w:t>
      </w:r>
    </w:p>
    <w:p>
      <w:pPr>
        <w:spacing w:after="160" w:before="0"/>
      </w:pPr>
      <w:r>
        <w:rPr>
          <w:b w:val="0"/>
          <w:color w:val="1B222E"/>
          <w:sz w:val="21"/>
        </w:rPr>
        <w:t xml:space="preserve">A fixed-amount QR is the first payment path in this system where </w:t>
      </w:r>
      <w:r>
        <w:rPr>
          <w:b/>
          <w:color w:val="1B222E"/>
          <w:sz w:val="21"/>
        </w:rPr>
        <w:t>the attendant never touches the money.</w:t>
      </w:r>
      <w:r>
        <w:rPr>
          <w:b w:val="0"/>
          <w:color w:val="1B222E"/>
          <w:sz w:val="21"/>
        </w:rPr>
        <w:t xml:space="preserve"> That removes at source the variance it currently takes an entire reconciliation screen to detect.</w:t>
      </w:r>
    </w:p>
    <w:p>
      <w:pPr>
        <w:pStyle w:val="ListBullet"/>
        <w:spacing w:after="60"/>
        <w:ind w:left="360"/>
      </w:pPr>
      <w:r>
        <w:rPr>
          <w:color w:val="5D6B80"/>
          <w:sz w:val="20"/>
        </w:rPr>
        <w:t>New: createQrCode() in the Razorpay service.</w:t>
      </w:r>
    </w:p>
    <w:p>
      <w:pPr>
        <w:pStyle w:val="ListBullet"/>
        <w:spacing w:after="60"/>
        <w:ind w:left="360"/>
      </w:pPr>
      <w:r>
        <w:rPr>
          <w:color w:val="5D6B80"/>
          <w:sz w:val="20"/>
        </w:rPr>
        <w:t>New: qr_code.credited handling in the webhook.</w:t>
      </w:r>
    </w:p>
    <w:p>
      <w:pPr>
        <w:pStyle w:val="ListBullet"/>
        <w:spacing w:after="60"/>
        <w:ind w:left="360"/>
      </w:pPr>
      <w:r>
        <w:rPr>
          <w:color w:val="5D6B80"/>
          <w:sz w:val="20"/>
        </w:rPr>
        <w:t>New: the handset must poll or subscribe until the payment lands.</w:t>
      </w:r>
    </w:p>
    <w:p>
      <w:pPr>
        <w:pStyle w:val="ListBullet"/>
        <w:spacing w:after="60"/>
        <w:ind w:left="360"/>
      </w:pPr>
      <w:r>
        <w:rPr>
          <w:color w:val="5D6B80"/>
          <w:sz w:val="20"/>
        </w:rPr>
        <w:t>Already exists: receipt model, SMS channel, and idempotency keys.</w:t>
      </w:r>
    </w:p>
    <w:p>
      <w:r>
        <w:br w:type="page"/>
      </w:r>
    </w:p>
    <w:p>
      <w:pPr>
        <w:pStyle w:val="Heading1"/>
      </w:pPr>
      <w:r>
        <w:t>3.  Where can I park</w:t>
      </w:r>
    </w:p>
    <w:p>
      <w:pPr>
        <w:spacing w:after="200" w:before="0"/>
      </w:pPr>
      <w:r>
        <w:rPr>
          <w:b/>
          <w:i w:val="0"/>
          <w:color w:val="8A6D11"/>
          <w:sz w:val="18"/>
        </w:rPr>
        <w:t>CITIZEN APP  ·  apps/citizen — new workspace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</w:tcPr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76372" cy="5658207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03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6372" cy="565820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6"/>
          </w:tcPr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76372" cy="5658207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04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6372" cy="565820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816"/>
          </w:tcPr>
          <w:p>
            <w:pPr>
              <w:spacing w:after="240"/>
              <w:jc w:val="center"/>
            </w:pPr>
            <w:r>
              <w:rPr>
                <w:i/>
                <w:color w:val="5D6B80"/>
                <w:sz w:val="17"/>
              </w:rPr>
              <w:t>Sign in — the OTP endpoint already exists</w:t>
            </w:r>
          </w:p>
        </w:tc>
        <w:tc>
          <w:tcPr>
            <w:tcW w:type="dxa" w:w="4816"/>
          </w:tcPr>
          <w:p>
            <w:pPr>
              <w:spacing w:after="240"/>
              <w:jc w:val="center"/>
            </w:pPr>
            <w:r>
              <w:rPr>
                <w:i/>
                <w:color w:val="5D6B80"/>
                <w:sz w:val="17"/>
              </w:rPr>
              <w:t>Map — lot footprints, each carrying its free count</w:t>
            </w:r>
          </w:p>
        </w:tc>
      </w:tr>
    </w:tbl>
    <w:p>
      <w:pPr>
        <w:spacing w:after="140" w:before="0"/>
      </w:pPr>
      <w:r>
        <w:rPr>
          <w:b w:val="0"/>
          <w:color w:val="1B222E"/>
          <w:sz w:val="21"/>
        </w:rPr>
        <w:t xml:space="preserve">The map is the cheapest thing in this document. Zone.boundary is already a GeoJSON polygon with a capacity, which is why the lots are drawn as </w:t>
      </w:r>
      <w:r>
        <w:rPr>
          <w:b/>
          <w:color w:val="1B222E"/>
          <w:sz w:val="21"/>
        </w:rPr>
        <w:t>footprints rather than pins</w:t>
      </w:r>
      <w:r>
        <w:rPr>
          <w:b w:val="0"/>
          <w:color w:val="1B222E"/>
          <w:sz w:val="21"/>
        </w:rPr>
        <w:t xml:space="preserve"> — the outline is real data. The nearby-zones endpoint is already callable anonymously; the vendor app's own client passes anonymous: true to it. A citizen can therefore see the map before signing in.</w:t>
      </w:r>
    </w:p>
    <w:p>
      <w:pPr>
        <w:pStyle w:val="Heading2"/>
      </w:pPr>
      <w:r>
        <w:t>Colour is never the only signal</w:t>
      </w:r>
    </w:p>
    <w:p>
      <w:pPr>
        <w:spacing w:after="160" w:before="0"/>
      </w:pPr>
      <w:r>
        <w:rPr>
          <w:b w:val="0"/>
          <w:i w:val="0"/>
          <w:color w:val="1B222E"/>
          <w:sz w:val="21"/>
        </w:rPr>
        <w:t>Every lot carries its free-bay count inside the footprint. Green, amber and red are status colours reserved for exactly this purpose, and a driver who cannot distinguish them still reads 22, FULL, 31.</w:t>
      </w:r>
    </w:p>
    <w:p>
      <w:pPr>
        <w:pStyle w:val="Heading2"/>
      </w:pPr>
      <w:r>
        <w:t>Sign-in</w:t>
      </w:r>
    </w:p>
    <w:p>
      <w:pPr>
        <w:spacing w:after="160" w:before="0"/>
      </w:pPr>
      <w:r>
        <w:rPr>
          <w:b w:val="0"/>
          <w:color w:val="1B222E"/>
          <w:sz w:val="21"/>
        </w:rPr>
        <w:t xml:space="preserve">auth/otp/request and auth/otp/verify exist and are documented as "send a login OTP to a citizen's mobile". They have never been called. Note that the vendor app's device binding must </w:t>
      </w:r>
      <w:r>
        <w:rPr>
          <w:b/>
          <w:color w:val="1B222E"/>
          <w:sz w:val="21"/>
        </w:rPr>
        <w:t>not</w:t>
      </w:r>
      <w:r>
        <w:rPr>
          <w:b w:val="0"/>
          <w:color w:val="1B222E"/>
          <w:sz w:val="21"/>
        </w:rPr>
        <w:t xml:space="preserve"> apply here — it is the correct rule for a depot handset and the wrong one for the general public.</w:t>
      </w:r>
    </w:p>
    <w:p>
      <w:pPr>
        <w:pStyle w:val="ListBullet"/>
        <w:spacing w:after="60"/>
        <w:ind w:left="360"/>
      </w:pPr>
      <w:r>
        <w:rPr>
          <w:color w:val="5D6B80"/>
          <w:sz w:val="20"/>
        </w:rPr>
        <w:t>Works today: OTP sign-in, and GET /zones/nearby — the only two routes a citizen token can reach.</w:t>
      </w:r>
    </w:p>
    <w:p>
      <w:pPr>
        <w:pStyle w:val="ListBullet"/>
        <w:spacing w:after="60"/>
        <w:ind w:left="360"/>
      </w:pPr>
      <w:r>
        <w:rPr>
          <w:color w:val="5D6B80"/>
          <w:sz w:val="20"/>
        </w:rPr>
        <w:t>The CITIZEN role is seeded with zero permissions, commented "No portal access at all". Every route carrying @RequirePermissions answers 403 to a citizen.</w:t>
      </w:r>
    </w:p>
    <w:p>
      <w:pPr>
        <w:pStyle w:val="ListBullet"/>
        <w:spacing w:after="60"/>
        <w:ind w:left="360"/>
      </w:pPr>
      <w:r>
        <w:rPr>
          <w:color w:val="5D6B80"/>
          <w:sz w:val="20"/>
        </w:rPr>
        <w:t>GET /zones/nearby does not select boundary, so lots render as circles until it does.</w:t>
      </w:r>
    </w:p>
    <w:p>
      <w:pPr>
        <w:pStyle w:val="ListBullet"/>
        <w:spacing w:after="60"/>
        <w:ind w:left="360"/>
      </w:pPr>
      <w:r>
        <w:rPr>
          <w:color w:val="5D6B80"/>
          <w:sz w:val="20"/>
        </w:rPr>
        <w:t>Slot summary, plate lookup and applicable tariff sit behind administrator permissions.</w:t>
      </w:r>
    </w:p>
    <w:p>
      <w:pPr>
        <w:pStyle w:val="ListBullet"/>
        <w:spacing w:after="60"/>
        <w:ind w:left="360"/>
      </w:pPr>
      <w:r>
        <w:rPr>
          <w:color w:val="5D6B80"/>
          <w:sz w:val="20"/>
        </w:rPr>
        <w:t>No citizen vehicle self-registration: POST /me/vehicles does not exist.</w:t>
      </w:r>
    </w:p>
    <w:p>
      <w:r>
        <w:br w:type="page"/>
      </w:r>
    </w:p>
    <w:p>
      <w:pPr>
        <w:pStyle w:val="Heading1"/>
      </w:pPr>
      <w:r>
        <w:t>4.  Inside a car park</w:t>
      </w:r>
    </w:p>
    <w:p>
      <w:pPr>
        <w:spacing w:after="200" w:before="0"/>
      </w:pPr>
      <w:r>
        <w:rPr>
          <w:b/>
          <w:i w:val="0"/>
          <w:color w:val="8A6D11"/>
          <w:sz w:val="18"/>
        </w:rPr>
        <w:t>CITIZEN APP  ·  apps/citizen — new workspace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</w:tcPr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76372" cy="5658207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05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6372" cy="565820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6"/>
          </w:tcPr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76372" cy="5658207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06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6372" cy="565820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816"/>
          </w:tcPr>
          <w:p>
            <w:pPr>
              <w:spacing w:after="240"/>
              <w:jc w:val="center"/>
            </w:pPr>
            <w:r>
              <w:rPr>
                <w:i/>
                <w:color w:val="5D6B80"/>
                <w:sz w:val="17"/>
              </w:rPr>
              <w:t>Car park — free, occupied and booked are three numbers</w:t>
            </w:r>
          </w:p>
        </w:tc>
        <w:tc>
          <w:tcPr>
            <w:tcW w:type="dxa" w:w="4816"/>
          </w:tcPr>
          <w:p>
            <w:pPr>
              <w:spacing w:after="240"/>
              <w:jc w:val="center"/>
            </w:pPr>
            <w:r>
              <w:rPr>
                <w:i/>
                <w:color w:val="5D6B80"/>
                <w:sz w:val="17"/>
              </w:rPr>
              <w:t>Bays — one cell per Slot.code, coloured by status</w:t>
            </w:r>
          </w:p>
        </w:tc>
      </w:tr>
    </w:tbl>
    <w:p>
      <w:pPr>
        <w:spacing w:after="140" w:before="0"/>
      </w:pPr>
      <w:r>
        <w:rPr>
          <w:b w:val="0"/>
          <w:color w:val="1B222E"/>
          <w:sz w:val="21"/>
        </w:rPr>
        <w:t xml:space="preserve">This is the screen the backend was most clearly expecting. slots.service.ts carries the comment </w:t>
      </w:r>
      <w:r>
        <w:rPr>
          <w:rFonts w:ascii="Calibri" w:hAnsi="Calibri"/>
          <w:b w:val="0"/>
          <w:color w:val="5D6B80"/>
          <w:sz w:val="21"/>
        </w:rPr>
        <w:t>"Bay counts by status and type — what the zone detail screen draws."</w:t>
      </w:r>
      <w:r>
        <w:rPr>
          <w:b w:val="0"/>
          <w:color w:val="1B222E"/>
          <w:sz w:val="21"/>
        </w:rPr>
        <w:t xml:space="preserve"> The query was written for a screen nobody had yet drawn.</w:t>
      </w:r>
    </w:p>
    <w:p>
      <w:pPr>
        <w:pStyle w:val="Heading2"/>
      </w:pPr>
      <w:r>
        <w:t>Free and booked are not one number</w:t>
      </w:r>
    </w:p>
    <w:p>
      <w:pPr>
        <w:spacing w:after="140" w:before="0"/>
      </w:pPr>
      <w:r>
        <w:rPr>
          <w:b w:val="0"/>
          <w:color w:val="1B222E"/>
          <w:sz w:val="21"/>
        </w:rPr>
        <w:t xml:space="preserve">SlotStatus has four values — </w:t>
      </w:r>
      <w:r>
        <w:rPr>
          <w:b/>
          <w:color w:val="1B222E"/>
          <w:sz w:val="21"/>
        </w:rPr>
        <w:t>AVAILABLE, OCCUPIED, RESERVED and OUT_OF_SERVICE</w:t>
      </w:r>
      <w:r>
        <w:rPr>
          <w:b w:val="0"/>
          <w:color w:val="1B222E"/>
          <w:sz w:val="21"/>
        </w:rPr>
        <w:t xml:space="preserve"> — so "6 free" and "2 booked" are genuinely different facts rather than one figure split for presentation. A bay out of service is subtracted from capacity rather than counted as full, which is why the figures on this screen total 48.</w:t>
      </w:r>
    </w:p>
    <w:p>
      <w:pPr>
        <w:pStyle w:val="Heading2"/>
      </w:pPr>
      <w:r>
        <w:t>Everything on these screens is a real column</w:t>
      </w:r>
    </w:p>
    <w:p>
      <w:pPr>
        <w:spacing w:after="160" w:before="0"/>
      </w:pPr>
      <w:r>
        <w:rPr>
          <w:b w:val="0"/>
          <w:i w:val="0"/>
          <w:color w:val="1B222E"/>
          <w:sz w:val="21"/>
        </w:rPr>
        <w:t>The type breakdown is Slot.type. The opening hours are Zone.openTime and Zone.closeTime. The bay codes are Slot.code, unique per zone. The star writes a Favourite row — a model that already exists in the schema and has never been used.</w:t>
      </w:r>
    </w:p>
    <w:p>
      <w:pPr>
        <w:pStyle w:val="ListBullet"/>
        <w:spacing w:after="60"/>
        <w:ind w:left="360"/>
      </w:pPr>
      <w:r>
        <w:rPr>
          <w:color w:val="5D6B80"/>
          <w:sz w:val="20"/>
        </w:rPr>
        <w:t>Already exists: GET /slots/summary/:zoneId returns counts by status and by type.</w:t>
      </w:r>
    </w:p>
    <w:p>
      <w:pPr>
        <w:pStyle w:val="ListBullet"/>
        <w:spacing w:after="60"/>
        <w:ind w:left="360"/>
      </w:pPr>
      <w:r>
        <w:rPr>
          <w:color w:val="5D6B80"/>
          <w:sz w:val="20"/>
        </w:rPr>
        <w:t>Already exists: Zone carries hours, capacity, allowed vehicle types and closure reason.</w:t>
      </w:r>
    </w:p>
    <w:p>
      <w:pPr>
        <w:pStyle w:val="ListBullet"/>
        <w:spacing w:after="60"/>
        <w:ind w:left="360"/>
      </w:pPr>
      <w:r>
        <w:rPr>
          <w:color w:val="5D6B80"/>
          <w:sz w:val="20"/>
        </w:rPr>
        <w:t>Guarded by zone.read — a citizen needs a public view of the same counts.</w:t>
      </w:r>
    </w:p>
    <w:p>
      <w:pPr>
        <w:pStyle w:val="ListBullet"/>
        <w:spacing w:after="60"/>
        <w:ind w:left="360"/>
      </w:pPr>
      <w:r>
        <w:rPr>
          <w:color w:val="5D6B80"/>
          <w:sz w:val="20"/>
        </w:rPr>
        <w:t>Bay-level status is live data. Decide whether it polls, or whether the map shows totals only.</w:t>
      </w:r>
    </w:p>
    <w:p>
      <w:r>
        <w:br w:type="page"/>
      </w:r>
    </w:p>
    <w:p>
      <w:pPr>
        <w:pStyle w:val="Heading1"/>
      </w:pPr>
      <w:r>
        <w:t>5.  Paying for the car that is parked</w:t>
      </w:r>
    </w:p>
    <w:p>
      <w:pPr>
        <w:spacing w:after="200" w:before="0"/>
      </w:pPr>
      <w:r>
        <w:rPr>
          <w:b/>
          <w:i w:val="0"/>
          <w:color w:val="8A6D11"/>
          <w:sz w:val="18"/>
        </w:rPr>
        <w:t>CITIZEN APP  ·  apps/citizen — new workspace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</w:tcPr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29384" cy="3667839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07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9384" cy="36678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1"/>
          </w:tcPr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29384" cy="3667839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08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9384" cy="36678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1"/>
          </w:tcPr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29384" cy="3667839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09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9384" cy="36678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11"/>
          </w:tcPr>
          <w:p>
            <w:pPr>
              <w:spacing w:after="240"/>
              <w:jc w:val="center"/>
            </w:pPr>
            <w:r>
              <w:rPr>
                <w:i/>
                <w:color w:val="5D6B80"/>
                <w:sz w:val="17"/>
              </w:rPr>
              <w:t>Pay — the same fare lines the attendant sees</w:t>
            </w:r>
          </w:p>
        </w:tc>
        <w:tc>
          <w:tcPr>
            <w:tcW w:type="dxa" w:w="3211"/>
          </w:tcPr>
          <w:p>
            <w:pPr>
              <w:spacing w:after="240"/>
              <w:jc w:val="center"/>
            </w:pPr>
            <w:r>
              <w:rPr>
                <w:i/>
                <w:color w:val="5D6B80"/>
                <w:sz w:val="17"/>
              </w:rPr>
              <w:t>Wallet — every row is a ledger entry</w:t>
            </w:r>
          </w:p>
        </w:tc>
        <w:tc>
          <w:tcPr>
            <w:tcW w:type="dxa" w:w="3211"/>
          </w:tcPr>
          <w:p>
            <w:pPr>
              <w:spacing w:after="240"/>
              <w:jc w:val="center"/>
            </w:pPr>
            <w:r>
              <w:rPr>
                <w:i/>
                <w:color w:val="5D6B80"/>
                <w:sz w:val="17"/>
              </w:rPr>
              <w:t>History — receipts that already exist server-side</w:t>
            </w:r>
          </w:p>
        </w:tc>
      </w:tr>
    </w:tbl>
    <w:p>
      <w:pPr>
        <w:spacing w:after="140" w:before="0"/>
      </w:pPr>
      <w:r>
        <w:rPr>
          <w:b w:val="0"/>
          <w:color w:val="1B222E"/>
          <w:sz w:val="21"/>
        </w:rPr>
        <w:t xml:space="preserve">These three screens are where the work actually is, and almost none of it is application work. </w:t>
      </w:r>
      <w:r>
        <w:rPr>
          <w:b/>
          <w:color w:val="1B222E"/>
          <w:sz w:val="21"/>
        </w:rPr>
        <w:t>The wallet does not exist in any form.</w:t>
      </w:r>
      <w:r>
        <w:rPr>
          <w:b w:val="0"/>
          <w:color w:val="1B222E"/>
          <w:sz w:val="21"/>
        </w:rPr>
        <w:t xml:space="preserve"> WALLET is a value in the PaymentMode enum and nothing else — no balance field, no ledger table, no top-up, no refund path.</w:t>
      </w:r>
    </w:p>
    <w:p>
      <w:pPr>
        <w:pStyle w:val="Heading2"/>
      </w:pPr>
      <w:r>
        <w:t>The model is already there</w:t>
      </w:r>
    </w:p>
    <w:p>
      <w:pPr>
        <w:spacing w:after="140" w:before="0"/>
      </w:pPr>
      <w:r>
        <w:rPr>
          <w:b w:val="0"/>
          <w:color w:val="1B222E"/>
          <w:sz w:val="21"/>
        </w:rPr>
        <w:t xml:space="preserve">It is worth being precise about what is missing, because it is less than it appears. A citizen </w:t>
      </w:r>
      <w:r>
        <w:rPr>
          <w:b/>
          <w:color w:val="1B222E"/>
          <w:sz w:val="21"/>
        </w:rPr>
        <w:t>is</w:t>
      </w:r>
      <w:r>
        <w:rPr>
          <w:b w:val="0"/>
          <w:color w:val="1B222E"/>
          <w:sz w:val="21"/>
        </w:rPr>
        <w:t xml:space="preserve"> a User holding the CITIZEN role. Vehicle.ownerUserId already links a plate to its owner, Favourite already stores home and office car parks, Notification and Pass already hang off the user, and Payment.paidByUserId already attributes a payment to a citizen. </w:t>
      </w:r>
      <w:r>
        <w:rPr>
          <w:b/>
          <w:color w:val="1B222E"/>
          <w:sz w:val="21"/>
        </w:rPr>
        <w:t>The data model is complete; it has no doors into it.</w:t>
      </w:r>
    </w:p>
    <w:p>
      <w:pPr>
        <w:pStyle w:val="Heading2"/>
      </w:pPr>
      <w:r>
        <w:t>What a wallet costs</w:t>
      </w:r>
    </w:p>
    <w:p>
      <w:pPr>
        <w:spacing w:after="140" w:before="0"/>
      </w:pPr>
      <w:r>
        <w:rPr>
          <w:b w:val="0"/>
          <w:color w:val="1B222E"/>
          <w:sz w:val="21"/>
        </w:rPr>
        <w:t xml:space="preserve">Two new models and one rule that never bends: </w:t>
      </w:r>
      <w:r>
        <w:rPr>
          <w:b/>
          <w:color w:val="1B222E"/>
          <w:sz w:val="21"/>
        </w:rPr>
        <w:t>the balance is derived from the ledger, never stored as a mutable number.</w:t>
      </w:r>
      <w:r>
        <w:rPr>
          <w:b w:val="0"/>
          <w:color w:val="1B222E"/>
          <w:sz w:val="21"/>
        </w:rPr>
        <w:t xml:space="preserve"> A top-up creates a gateway order and credits on webhook; a session debit is a ledger row; a cancellation writes a compensating row rather than editing the original. That is what makes a disputed balance answerable months later — the same reasoning the shift reconciliation already relies on.</w:t>
      </w:r>
    </w:p>
    <w:p>
      <w:pPr>
        <w:pStyle w:val="Heading2"/>
      </w:pPr>
      <w:r>
        <w:t>The plate is the join</w:t>
      </w:r>
    </w:p>
    <w:p>
      <w:pPr>
        <w:spacing w:after="160" w:before="0"/>
      </w:pPr>
      <w:r>
        <w:rPr>
          <w:b w:val="0"/>
          <w:i w:val="0"/>
          <w:color w:val="1B222E"/>
          <w:sz w:val="21"/>
        </w:rPr>
        <w:t>A citizen never starts a session; an attendant does. The application therefore finds "your car" by matching a registered plate against active sessions. The plate lookup already performs exactly this query — it needs a citizen-scoped variant returning only the caller's own vehicles.</w:t>
      </w:r>
    </w:p>
    <w:p>
      <w:pPr>
        <w:pStyle w:val="ListBullet"/>
        <w:spacing w:after="60"/>
        <w:ind w:left="360"/>
      </w:pPr>
      <w:r>
        <w:rPr>
          <w:color w:val="5D6B80"/>
          <w:sz w:val="20"/>
        </w:rPr>
        <w:t>New models: Wallet and WalletEntry — the only genuinely new subsystem.</w:t>
      </w:r>
    </w:p>
    <w:p>
      <w:pPr>
        <w:pStyle w:val="ListBullet"/>
        <w:spacing w:after="60"/>
        <w:ind w:left="360"/>
      </w:pPr>
      <w:r>
        <w:rPr>
          <w:color w:val="5D6B80"/>
          <w:sz w:val="20"/>
        </w:rPr>
        <w:t>New: top-up order and credit-on-webhook, debit on session end, refund as a compensating entry.</w:t>
      </w:r>
    </w:p>
    <w:p>
      <w:pPr>
        <w:pStyle w:val="ListBullet"/>
        <w:spacing w:after="60"/>
        <w:ind w:left="360"/>
      </w:pPr>
      <w:r>
        <w:rPr>
          <w:color w:val="5D6B80"/>
          <w:sz w:val="20"/>
        </w:rPr>
        <w:t>Settlements must learn that wallet-paid sessions are already collected.</w:t>
      </w:r>
    </w:p>
    <w:p>
      <w:pPr>
        <w:pStyle w:val="ListBullet"/>
        <w:spacing w:after="60"/>
        <w:ind w:left="360"/>
      </w:pPr>
      <w:r>
        <w:rPr>
          <w:color w:val="5D6B80"/>
          <w:sz w:val="20"/>
        </w:rPr>
        <w:t>GET /me/sessions, /me/payments and /me/vehicles do not exist — but every table behind them does.</w:t>
      </w:r>
    </w:p>
    <w:p>
      <w:pPr>
        <w:pStyle w:val="ListBullet"/>
        <w:spacing w:after="60"/>
        <w:ind w:left="360"/>
      </w:pPr>
      <w:r>
        <w:rPr>
          <w:color w:val="5D6B80"/>
          <w:sz w:val="20"/>
        </w:rPr>
        <w:t>Already modelled: citizen identity, vehicle ownership, favourites, passes, receipts, idempotency.</w:t>
      </w:r>
    </w:p>
    <w:p>
      <w:r>
        <w:br w:type="page"/>
      </w:r>
    </w:p>
    <w:p>
      <w:pPr>
        <w:pStyle w:val="Heading1"/>
      </w:pPr>
      <w:r>
        <w:t>6.  What each screen needs from the server</w:t>
      </w:r>
    </w:p>
    <w:p>
      <w:pPr>
        <w:spacing w:after="200" w:before="0"/>
      </w:pPr>
      <w:r>
        <w:rPr>
          <w:b w:val="0"/>
          <w:i/>
          <w:color w:val="5D6B80"/>
          <w:sz w:val="19"/>
        </w:rPr>
        <w:t>Verified against kmcp-backend at commit 7446f1d.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1944"/>
            <w:shd w:val="clear" w:fill="142B4A"/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FEATURE</w:t>
            </w:r>
          </w:p>
        </w:tc>
        <w:tc>
          <w:tcPr>
            <w:tcW w:type="dxa" w:w="1224"/>
            <w:shd w:val="clear" w:fill="142B4A"/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STATE</w:t>
            </w:r>
          </w:p>
        </w:tc>
        <w:tc>
          <w:tcPr>
            <w:tcW w:type="dxa" w:w="6480"/>
            <w:shd w:val="clear" w:fill="142B4A"/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THE ENDPOINTS BEHIND IT</w:t>
            </w:r>
          </w:p>
        </w:tc>
      </w:tr>
      <w:tr>
        <w:tc>
          <w:tcPr>
            <w:tcW w:type="dxa" w:w="1944"/>
          </w:tcPr>
          <w:p>
            <w:pPr>
              <w:spacing w:after="40"/>
            </w:pPr>
            <w:r>
              <w:rPr>
                <w:b/>
                <w:color w:val="1B222E"/>
                <w:sz w:val="18"/>
              </w:rPr>
              <w:t>Active parkings</w:t>
            </w:r>
          </w:p>
        </w:tc>
        <w:tc>
          <w:tcPr>
            <w:tcW w:type="dxa" w:w="1224"/>
          </w:tcPr>
          <w:p>
            <w:pPr>
              <w:spacing w:after="40"/>
            </w:pPr>
            <w:r>
              <w:rPr>
                <w:b/>
                <w:color w:val="146C37"/>
                <w:sz w:val="18"/>
              </w:rPr>
              <w:t>Ready</w:t>
            </w:r>
          </w:p>
        </w:tc>
        <w:tc>
          <w:tcPr>
            <w:tcW w:type="dxa" w:w="6480"/>
          </w:tcPr>
          <w:p>
            <w:pPr>
              <w:spacing w:after="40"/>
            </w:pPr>
            <w:r>
              <w:rPr>
                <w:color w:val="1B222E"/>
                <w:sz w:val="18"/>
              </w:rPr>
              <w:t>GET /sessions?status=ACTIVE — already called by the Kerb screen.</w:t>
            </w:r>
          </w:p>
        </w:tc>
      </w:tr>
      <w:tr>
        <w:tc>
          <w:tcPr>
            <w:tcW w:type="dxa" w:w="1944"/>
          </w:tcPr>
          <w:p>
            <w:pPr>
              <w:spacing w:after="40"/>
            </w:pPr>
            <w:r>
              <w:rPr>
                <w:b/>
                <w:color w:val="1B222E"/>
                <w:sz w:val="18"/>
              </w:rPr>
              <w:t>Free / booked bays</w:t>
            </w:r>
          </w:p>
        </w:tc>
        <w:tc>
          <w:tcPr>
            <w:tcW w:type="dxa" w:w="1224"/>
          </w:tcPr>
          <w:p>
            <w:pPr>
              <w:spacing w:after="40"/>
            </w:pPr>
            <w:r>
              <w:rPr>
                <w:b/>
                <w:color w:val="9A4A08"/>
                <w:sz w:val="18"/>
              </w:rPr>
              <w:t>Expose it</w:t>
            </w:r>
          </w:p>
        </w:tc>
        <w:tc>
          <w:tcPr>
            <w:tcW w:type="dxa" w:w="6480"/>
          </w:tcPr>
          <w:p>
            <w:pPr>
              <w:spacing w:after="40"/>
            </w:pPr>
            <w:r>
              <w:rPr>
                <w:color w:val="1B222E"/>
                <w:sz w:val="18"/>
              </w:rPr>
              <w:t>GET /slots/summary/:zoneId returns counts by status and type; its own comment calls it "what the zone detail screen draws". SlotStatus separates AVAILABLE, OCCUPIED, RESERVED and OUT_OF_SERVICE. Needs a public variant for the citizen map.</w:t>
            </w:r>
          </w:p>
        </w:tc>
      </w:tr>
      <w:tr>
        <w:tc>
          <w:tcPr>
            <w:tcW w:type="dxa" w:w="1944"/>
          </w:tcPr>
          <w:p>
            <w:pPr>
              <w:spacing w:after="40"/>
            </w:pPr>
            <w:r>
              <w:rPr>
                <w:b/>
                <w:color w:val="1B222E"/>
                <w:sz w:val="18"/>
              </w:rPr>
              <w:t>Total collected</w:t>
            </w:r>
          </w:p>
        </w:tc>
        <w:tc>
          <w:tcPr>
            <w:tcW w:type="dxa" w:w="1224"/>
          </w:tcPr>
          <w:p>
            <w:pPr>
              <w:spacing w:after="40"/>
            </w:pPr>
            <w:r>
              <w:rPr>
                <w:b/>
                <w:color w:val="146C37"/>
                <w:sz w:val="18"/>
              </w:rPr>
              <w:t>Ready</w:t>
            </w:r>
          </w:p>
        </w:tc>
        <w:tc>
          <w:tcPr>
            <w:tcW w:type="dxa" w:w="6480"/>
          </w:tcPr>
          <w:p>
            <w:pPr>
              <w:spacing w:after="40"/>
            </w:pPr>
            <w:r>
              <w:rPr>
                <w:color w:val="1B222E"/>
                <w:sz w:val="18"/>
              </w:rPr>
              <w:t>GET /payments/summary, plus cashExpected and digitalTotal on the open shift.</w:t>
            </w:r>
          </w:p>
        </w:tc>
      </w:tr>
      <w:tr>
        <w:tc>
          <w:tcPr>
            <w:tcW w:type="dxa" w:w="1944"/>
          </w:tcPr>
          <w:p>
            <w:pPr>
              <w:spacing w:after="40"/>
            </w:pPr>
            <w:r>
              <w:rPr>
                <w:b/>
                <w:color w:val="1B222E"/>
                <w:sz w:val="18"/>
              </w:rPr>
              <w:t>Vendor share</w:t>
            </w:r>
          </w:p>
        </w:tc>
        <w:tc>
          <w:tcPr>
            <w:tcW w:type="dxa" w:w="1224"/>
          </w:tcPr>
          <w:p>
            <w:pPr>
              <w:spacing w:after="40"/>
            </w:pPr>
            <w:r>
              <w:rPr>
                <w:b/>
                <w:color w:val="9A4A08"/>
                <w:sz w:val="18"/>
              </w:rPr>
              <w:t>Scope it</w:t>
            </w:r>
          </w:p>
        </w:tc>
        <w:tc>
          <w:tcPr>
            <w:tcW w:type="dxa" w:w="6480"/>
          </w:tcPr>
          <w:p>
            <w:pPr>
              <w:spacing w:after="40"/>
            </w:pPr>
            <w:r>
              <w:rPr>
                <w:color w:val="1B222E"/>
                <w:sz w:val="18"/>
              </w:rPr>
              <w:t>GET /revenue and /settlements/summary. The schema holds commissionPct, vendorShare and commissionAmount — confirm a vendor sees only their own.</w:t>
            </w:r>
          </w:p>
        </w:tc>
      </w:tr>
      <w:tr>
        <w:tc>
          <w:tcPr>
            <w:tcW w:type="dxa" w:w="1944"/>
          </w:tcPr>
          <w:p>
            <w:pPr>
              <w:spacing w:after="40"/>
            </w:pPr>
            <w:r>
              <w:rPr>
                <w:b/>
                <w:color w:val="1B222E"/>
                <w:sz w:val="18"/>
              </w:rPr>
              <w:t>QR per payment</w:t>
            </w:r>
          </w:p>
        </w:tc>
        <w:tc>
          <w:tcPr>
            <w:tcW w:type="dxa" w:w="1224"/>
          </w:tcPr>
          <w:p>
            <w:pPr>
              <w:spacing w:after="40"/>
            </w:pPr>
            <w:r>
              <w:rPr>
                <w:b/>
                <w:color w:val="A31818"/>
                <w:sz w:val="18"/>
              </w:rPr>
              <w:t>Build</w:t>
            </w:r>
          </w:p>
        </w:tc>
        <w:tc>
          <w:tcPr>
            <w:tcW w:type="dxa" w:w="6480"/>
          </w:tcPr>
          <w:p>
            <w:pPr>
              <w:spacing w:after="40"/>
            </w:pPr>
            <w:r>
              <w:rPr>
                <w:color w:val="1B222E"/>
                <w:sz w:val="18"/>
              </w:rPr>
              <w:t>razorpay.service.ts needs createQrCode(); the webhook needs qr_code.credited. Only createOrder exists today.</w:t>
            </w:r>
          </w:p>
        </w:tc>
      </w:tr>
      <w:tr>
        <w:tc>
          <w:tcPr>
            <w:tcW w:type="dxa" w:w="1944"/>
          </w:tcPr>
          <w:p>
            <w:pPr>
              <w:spacing w:after="40"/>
            </w:pPr>
            <w:r>
              <w:rPr>
                <w:b/>
                <w:color w:val="1B222E"/>
                <w:sz w:val="18"/>
              </w:rPr>
              <w:t>Citizen sign-in</w:t>
            </w:r>
          </w:p>
        </w:tc>
        <w:tc>
          <w:tcPr>
            <w:tcW w:type="dxa" w:w="1224"/>
          </w:tcPr>
          <w:p>
            <w:pPr>
              <w:spacing w:after="40"/>
            </w:pPr>
            <w:r>
              <w:rPr>
                <w:b/>
                <w:color w:val="146C37"/>
                <w:sz w:val="18"/>
              </w:rPr>
              <w:t>Ready</w:t>
            </w:r>
          </w:p>
        </w:tc>
        <w:tc>
          <w:tcPr>
            <w:tcW w:type="dxa" w:w="6480"/>
          </w:tcPr>
          <w:p>
            <w:pPr>
              <w:spacing w:after="40"/>
            </w:pPr>
            <w:r>
              <w:rPr>
                <w:color w:val="1B222E"/>
                <w:sz w:val="18"/>
              </w:rPr>
              <w:t>POST /auth/otp/request and /auth/otp/verify — built, documented for citizens, never used.</w:t>
            </w:r>
          </w:p>
        </w:tc>
      </w:tr>
      <w:tr>
        <w:tc>
          <w:tcPr>
            <w:tcW w:type="dxa" w:w="1944"/>
          </w:tcPr>
          <w:p>
            <w:pPr>
              <w:spacing w:after="40"/>
            </w:pPr>
            <w:r>
              <w:rPr>
                <w:b/>
                <w:color w:val="1B222E"/>
                <w:sz w:val="18"/>
              </w:rPr>
              <w:t>Map of car parks</w:t>
            </w:r>
          </w:p>
        </w:tc>
        <w:tc>
          <w:tcPr>
            <w:tcW w:type="dxa" w:w="1224"/>
          </w:tcPr>
          <w:p>
            <w:pPr>
              <w:spacing w:after="40"/>
            </w:pPr>
            <w:r>
              <w:rPr>
                <w:b/>
                <w:color w:val="9A4A08"/>
                <w:sz w:val="18"/>
              </w:rPr>
              <w:t>Expose it</w:t>
            </w:r>
          </w:p>
        </w:tc>
        <w:tc>
          <w:tcPr>
            <w:tcW w:type="dxa" w:w="6480"/>
          </w:tcPr>
          <w:p>
            <w:pPr>
              <w:spacing w:after="40"/>
            </w:pPr>
            <w:r>
              <w:rPr>
                <w:color w:val="1B222E"/>
                <w:sz w:val="18"/>
              </w:rPr>
              <w:t>GET /zones/nearby is public and works — the only public data route on the API. But it selects centerLat/Lng and capacity, not boundary, so lots cannot be drawn as footprints until it does. /zones/:id and /zones/heatmap sit behind zone.read.</w:t>
            </w:r>
          </w:p>
        </w:tc>
      </w:tr>
      <w:tr>
        <w:tc>
          <w:tcPr>
            <w:tcW w:type="dxa" w:w="1944"/>
          </w:tcPr>
          <w:p>
            <w:pPr>
              <w:spacing w:after="40"/>
            </w:pPr>
            <w:r>
              <w:rPr>
                <w:b/>
                <w:color w:val="1B222E"/>
                <w:sz w:val="18"/>
              </w:rPr>
              <w:t>Citizen permissions</w:t>
            </w:r>
          </w:p>
        </w:tc>
        <w:tc>
          <w:tcPr>
            <w:tcW w:type="dxa" w:w="1224"/>
          </w:tcPr>
          <w:p>
            <w:pPr>
              <w:spacing w:after="40"/>
            </w:pPr>
            <w:r>
              <w:rPr>
                <w:b/>
                <w:color w:val="A31818"/>
                <w:sz w:val="18"/>
              </w:rPr>
              <w:t>Build</w:t>
            </w:r>
          </w:p>
        </w:tc>
        <w:tc>
          <w:tcPr>
            <w:tcW w:type="dxa" w:w="6480"/>
          </w:tcPr>
          <w:p>
            <w:pPr>
              <w:spacing w:after="40"/>
            </w:pPr>
            <w:r>
              <w:rPr>
                <w:color w:val="1B222E"/>
                <w:sz w:val="18"/>
              </w:rPr>
              <w:t>The CITIZEN role is seeded with no permissions at all. Do not resolve this by granting it zone.read or session.read — those cover the authority's own zone and session listings. It needs a small set of narrow public or citizen-scoped routes instead.</w:t>
            </w:r>
          </w:p>
        </w:tc>
      </w:tr>
      <w:tr>
        <w:tc>
          <w:tcPr>
            <w:tcW w:type="dxa" w:w="1944"/>
          </w:tcPr>
          <w:p>
            <w:pPr>
              <w:spacing w:after="40"/>
            </w:pPr>
            <w:r>
              <w:rPr>
                <w:b/>
                <w:color w:val="1B222E"/>
                <w:sz w:val="18"/>
              </w:rPr>
              <w:t>My vehicles</w:t>
            </w:r>
          </w:p>
        </w:tc>
        <w:tc>
          <w:tcPr>
            <w:tcW w:type="dxa" w:w="1224"/>
          </w:tcPr>
          <w:p>
            <w:pPr>
              <w:spacing w:after="40"/>
            </w:pPr>
            <w:r>
              <w:rPr>
                <w:b/>
                <w:color w:val="9A4A08"/>
                <w:sz w:val="18"/>
              </w:rPr>
              <w:t>Expose it</w:t>
            </w:r>
          </w:p>
        </w:tc>
        <w:tc>
          <w:tcPr>
            <w:tcW w:type="dxa" w:w="6480"/>
          </w:tcPr>
          <w:p>
            <w:pPr>
              <w:spacing w:after="40"/>
            </w:pPr>
            <w:r>
              <w:rPr>
                <w:color w:val="1B222E"/>
                <w:sz w:val="18"/>
              </w:rPr>
              <w:t>Vehicle.ownerUserId and User.vehicles already exist and are indexed. Missing only the citizen-scoped endpoints — citizens.controller.ts is an administrator's view.</w:t>
            </w:r>
          </w:p>
        </w:tc>
      </w:tr>
      <w:tr>
        <w:tc>
          <w:tcPr>
            <w:tcW w:type="dxa" w:w="1944"/>
          </w:tcPr>
          <w:p>
            <w:pPr>
              <w:spacing w:after="40"/>
            </w:pPr>
            <w:r>
              <w:rPr>
                <w:b/>
                <w:color w:val="1B222E"/>
                <w:sz w:val="18"/>
              </w:rPr>
              <w:t>My parking &amp; history</w:t>
            </w:r>
          </w:p>
        </w:tc>
        <w:tc>
          <w:tcPr>
            <w:tcW w:type="dxa" w:w="1224"/>
          </w:tcPr>
          <w:p>
            <w:pPr>
              <w:spacing w:after="40"/>
            </w:pPr>
            <w:r>
              <w:rPr>
                <w:b/>
                <w:color w:val="9A4A08"/>
                <w:sz w:val="18"/>
              </w:rPr>
              <w:t>Expose it</w:t>
            </w:r>
          </w:p>
        </w:tc>
        <w:tc>
          <w:tcPr>
            <w:tcW w:type="dxa" w:w="6480"/>
          </w:tcPr>
          <w:p>
            <w:pPr>
              <w:spacing w:after="40"/>
            </w:pPr>
            <w:r>
              <w:rPr>
                <w:color w:val="1B222E"/>
                <w:sz w:val="18"/>
              </w:rPr>
              <w:t>No citizen-scoped reads, but the data is present: Payment.paidByUserId, sessions by vehicle, and Pass indexed on userId and status.</w:t>
            </w:r>
          </w:p>
        </w:tc>
      </w:tr>
      <w:tr>
        <w:tc>
          <w:tcPr>
            <w:tcW w:type="dxa" w:w="1944"/>
          </w:tcPr>
          <w:p>
            <w:pPr>
              <w:spacing w:after="40"/>
            </w:pPr>
            <w:r>
              <w:rPr>
                <w:b/>
                <w:color w:val="1B222E"/>
                <w:sz w:val="18"/>
              </w:rPr>
              <w:t>Saved car parks</w:t>
            </w:r>
          </w:p>
        </w:tc>
        <w:tc>
          <w:tcPr>
            <w:tcW w:type="dxa" w:w="1224"/>
          </w:tcPr>
          <w:p>
            <w:pPr>
              <w:spacing w:after="40"/>
            </w:pPr>
            <w:r>
              <w:rPr>
                <w:b/>
                <w:color w:val="146C37"/>
                <w:sz w:val="18"/>
              </w:rPr>
              <w:t>Ready</w:t>
            </w:r>
          </w:p>
        </w:tc>
        <w:tc>
          <w:tcPr>
            <w:tcW w:type="dxa" w:w="6480"/>
          </w:tcPr>
          <w:p>
            <w:pPr>
              <w:spacing w:after="40"/>
            </w:pPr>
            <w:r>
              <w:rPr>
                <w:color w:val="1B222E"/>
                <w:sz w:val="18"/>
              </w:rPr>
              <w:t>Favourite { userId, zoneId, label } — HOME, OFFICE or custom. Modelled and unused.</w:t>
            </w:r>
          </w:p>
        </w:tc>
      </w:tr>
      <w:tr>
        <w:tc>
          <w:tcPr>
            <w:tcW w:type="dxa" w:w="1944"/>
          </w:tcPr>
          <w:p>
            <w:pPr>
              <w:spacing w:after="40"/>
            </w:pPr>
            <w:r>
              <w:rPr>
                <w:b/>
                <w:color w:val="1B222E"/>
                <w:sz w:val="18"/>
              </w:rPr>
              <w:t>Passes</w:t>
            </w:r>
          </w:p>
        </w:tc>
        <w:tc>
          <w:tcPr>
            <w:tcW w:type="dxa" w:w="1224"/>
          </w:tcPr>
          <w:p>
            <w:pPr>
              <w:spacing w:after="40"/>
            </w:pPr>
            <w:r>
              <w:rPr>
                <w:b/>
                <w:color w:val="9A4A08"/>
                <w:sz w:val="18"/>
              </w:rPr>
              <w:t>Expose it</w:t>
            </w:r>
          </w:p>
        </w:tc>
        <w:tc>
          <w:tcPr>
            <w:tcW w:type="dxa" w:w="6480"/>
          </w:tcPr>
          <w:p>
            <w:pPr>
              <w:spacing w:after="40"/>
            </w:pPr>
            <w:r>
              <w:rPr>
                <w:color w:val="1B222E"/>
                <w:sz w:val="18"/>
              </w:rPr>
              <w:t>Pass already carries qrCode, validity dates and PENDING_PAYMENT. pass-plans is administrator CRUD — there is no purchase endpoint.</w:t>
            </w:r>
          </w:p>
        </w:tc>
      </w:tr>
      <w:tr>
        <w:tc>
          <w:tcPr>
            <w:tcW w:type="dxa" w:w="1944"/>
          </w:tcPr>
          <w:p>
            <w:pPr>
              <w:spacing w:after="40"/>
            </w:pPr>
            <w:r>
              <w:rPr>
                <w:b/>
                <w:color w:val="1B222E"/>
                <w:sz w:val="18"/>
              </w:rPr>
              <w:t>Wallet</w:t>
            </w:r>
          </w:p>
        </w:tc>
        <w:tc>
          <w:tcPr>
            <w:tcW w:type="dxa" w:w="1224"/>
          </w:tcPr>
          <w:p>
            <w:pPr>
              <w:spacing w:after="40"/>
            </w:pPr>
            <w:r>
              <w:rPr>
                <w:b/>
                <w:color w:val="A31818"/>
                <w:sz w:val="18"/>
              </w:rPr>
              <w:t>Build</w:t>
            </w:r>
          </w:p>
        </w:tc>
        <w:tc>
          <w:tcPr>
            <w:tcW w:type="dxa" w:w="6480"/>
          </w:tcPr>
          <w:p>
            <w:pPr>
              <w:spacing w:after="40"/>
            </w:pPr>
            <w:r>
              <w:rPr>
                <w:color w:val="1B222E"/>
                <w:sz w:val="18"/>
              </w:rPr>
              <w:t>Nothing exists. Wallet and WalletEntry models, top-up order, credit on webhook, debit on session end, refund as a compensating entry, and a settlement rule for wallet-paid sessions.</w:t>
            </w:r>
          </w:p>
        </w:tc>
      </w:tr>
    </w:tbl>
    <w:p>
      <w:pPr>
        <w:spacing w:after="80"/>
      </w:pPr>
    </w:p>
    <w:p>
      <w:pPr>
        <w:pStyle w:val="Heading1"/>
      </w:pPr>
      <w:r>
        <w:t>Suggested build order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2304"/>
            <w:shd w:val="clear" w:fill="142B4A"/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STEP</w:t>
            </w:r>
          </w:p>
        </w:tc>
        <w:tc>
          <w:tcPr>
            <w:tcW w:type="dxa" w:w="1296"/>
            <w:shd w:val="clear" w:fill="142B4A"/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EFFORT</w:t>
            </w:r>
          </w:p>
        </w:tc>
        <w:tc>
          <w:tcPr>
            <w:tcW w:type="dxa" w:w="6048"/>
            <w:shd w:val="clear" w:fill="142B4A"/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SCOPE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>
              <w:rPr>
                <w:b/>
                <w:color w:val="1B222E"/>
                <w:sz w:val="18"/>
              </w:rPr>
              <w:t>1 · Vendor dashboard</w:t>
            </w:r>
          </w:p>
        </w:tc>
        <w:tc>
          <w:tcPr>
            <w:tcW w:type="dxa" w:w="1296"/>
          </w:tcPr>
          <w:p>
            <w:pPr>
              <w:spacing w:after="40"/>
            </w:pPr>
            <w:r>
              <w:rPr>
                <w:color w:val="1B222E"/>
                <w:sz w:val="18"/>
              </w:rPr>
              <w:t>~1 week</w:t>
            </w:r>
          </w:p>
        </w:tc>
        <w:tc>
          <w:tcPr>
            <w:tcW w:type="dxa" w:w="6048"/>
          </w:tcPr>
          <w:p>
            <w:pPr>
              <w:spacing w:after="40"/>
            </w:pPr>
            <w:r>
              <w:rPr>
                <w:color w:val="1B222E"/>
                <w:sz w:val="18"/>
              </w:rPr>
              <w:t>Pure application work against a backend that already answers. Ships without touching the server.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>
              <w:rPr>
                <w:b/>
                <w:color w:val="1B222E"/>
                <w:sz w:val="18"/>
              </w:rPr>
              <w:t>2 · QR payments</w:t>
            </w:r>
          </w:p>
        </w:tc>
        <w:tc>
          <w:tcPr>
            <w:tcW w:type="dxa" w:w="1296"/>
          </w:tcPr>
          <w:p>
            <w:pPr>
              <w:spacing w:after="40"/>
            </w:pPr>
            <w:r>
              <w:rPr>
                <w:color w:val="1B222E"/>
                <w:sz w:val="18"/>
              </w:rPr>
              <w:t>~1 week</w:t>
            </w:r>
          </w:p>
        </w:tc>
        <w:tc>
          <w:tcPr>
            <w:tcW w:type="dxa" w:w="6048"/>
          </w:tcPr>
          <w:p>
            <w:pPr>
              <w:spacing w:after="40"/>
            </w:pPr>
            <w:r>
              <w:rPr>
                <w:color w:val="1B222E"/>
                <w:sz w:val="18"/>
              </w:rPr>
              <w:t>Small, high value, and the first path where cash never reaches an attendant's pocket.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>
              <w:rPr>
                <w:b/>
                <w:color w:val="1B222E"/>
                <w:sz w:val="18"/>
              </w:rPr>
              <w:t>3 · Citizen doors</w:t>
            </w:r>
          </w:p>
        </w:tc>
        <w:tc>
          <w:tcPr>
            <w:tcW w:type="dxa" w:w="1296"/>
          </w:tcPr>
          <w:p>
            <w:pPr>
              <w:spacing w:after="40"/>
            </w:pPr>
            <w:r>
              <w:rPr>
                <w:color w:val="1B222E"/>
                <w:sz w:val="18"/>
              </w:rPr>
              <w:t>~1 week</w:t>
            </w:r>
          </w:p>
        </w:tc>
        <w:tc>
          <w:tcPr>
            <w:tcW w:type="dxa" w:w="6048"/>
          </w:tcPr>
          <w:p>
            <w:pPr>
              <w:spacing w:after="40"/>
            </w:pPr>
            <w:r>
              <w:rPr>
                <w:color w:val="1B222E"/>
                <w:sz w:val="18"/>
              </w:rPr>
              <w:t>Half of this is opening doors rather than building rooms — public views over queries that already run. The rest is the /me/* reads. Unblocks the whole application except the wallet.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>
              <w:rPr>
                <w:b/>
                <w:color w:val="1B222E"/>
                <w:sz w:val="18"/>
              </w:rPr>
              <w:t>4 · Citizen app</w:t>
            </w:r>
          </w:p>
        </w:tc>
        <w:tc>
          <w:tcPr>
            <w:tcW w:type="dxa" w:w="1296"/>
          </w:tcPr>
          <w:p>
            <w:pPr>
              <w:spacing w:after="40"/>
            </w:pPr>
            <w:r>
              <w:rPr>
                <w:color w:val="1B222E"/>
                <w:sz w:val="18"/>
              </w:rPr>
              <w:t>~3 weeks</w:t>
            </w:r>
          </w:p>
        </w:tc>
        <w:tc>
          <w:tcPr>
            <w:tcW w:type="dxa" w:w="6048"/>
          </w:tcPr>
          <w:p>
            <w:pPr>
              <w:spacing w:after="40"/>
            </w:pPr>
            <w:r>
              <w:rPr>
                <w:color w:val="1B222E"/>
                <w:sz w:val="18"/>
              </w:rPr>
              <w:t>Map, car park detail, parking and history, on an API that now returns what they need.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>
              <w:rPr>
                <w:b/>
                <w:color w:val="1B222E"/>
                <w:sz w:val="18"/>
              </w:rPr>
              <w:t>Separate · The wallet</w:t>
            </w:r>
          </w:p>
        </w:tc>
        <w:tc>
          <w:tcPr>
            <w:tcW w:type="dxa" w:w="1296"/>
          </w:tcPr>
          <w:p>
            <w:pPr>
              <w:spacing w:after="40"/>
            </w:pPr>
            <w:r>
              <w:rPr>
                <w:color w:val="1B222E"/>
                <w:sz w:val="18"/>
              </w:rPr>
              <w:t>~2 weeks</w:t>
            </w:r>
          </w:p>
        </w:tc>
        <w:tc>
          <w:tcPr>
            <w:tcW w:type="dxa" w:w="6048"/>
          </w:tcPr>
          <w:p>
            <w:pPr>
              <w:spacing w:after="40"/>
            </w:pPr>
            <w:r>
              <w:rPr>
                <w:color w:val="1B222E"/>
                <w:sz w:val="18"/>
              </w:rPr>
              <w:t>The only genuinely new subsystem and the only one carrying a compliance question. Sequence it independently — everything else ships without it.</w:t>
            </w:r>
          </w:p>
        </w:tc>
      </w:tr>
    </w:tbl>
    <w:p>
      <w:pPr>
        <w:spacing w:after="80"/>
      </w:pPr>
    </w:p>
    <w:p>
      <w:pPr>
        <w:pStyle w:val="Heading1"/>
      </w:pPr>
      <w:r>
        <w:t>Two things worth deciding before any of this is written</w:t>
      </w:r>
    </w:p>
    <w:p>
      <w:pPr>
        <w:spacing w:after="140" w:before="0"/>
      </w:pPr>
      <w:r>
        <w:rPr>
          <w:b/>
          <w:color w:val="1B222E"/>
          <w:sz w:val="21"/>
        </w:rPr>
        <w:t>The wallet is a prepaid instrument.</w:t>
      </w:r>
      <w:r>
        <w:rPr>
          <w:b w:val="0"/>
          <w:color w:val="1B222E"/>
          <w:sz w:val="21"/>
        </w:rPr>
        <w:t xml:space="preserve"> Holding citizens' money — even small amounts, even without cash-out — places KMC in a regulated position under the Reserve Bank of India's prepaid payment instrument rules. That is a decision for whoever owns the contract, not something to discover after the ledger has been built. The alternative that avoids it entirely is pay-per-session by UPI, which the QR work in step two delivers in any case. Because the wallet is the only part of the citizen backend that is genuinely new, </w:t>
      </w:r>
      <w:r>
        <w:rPr>
          <w:b/>
          <w:color w:val="1B222E"/>
          <w:sz w:val="21"/>
        </w:rPr>
        <w:t>deferring it moves the citizen application forward by roughly two weeks.</w:t>
      </w:r>
    </w:p>
    <w:p>
      <w:pPr>
        <w:spacing w:after="140" w:before="0"/>
      </w:pPr>
      <w:r>
        <w:rPr>
          <w:b/>
          <w:color w:val="1B222E"/>
          <w:sz w:val="21"/>
        </w:rPr>
        <w:t>The citizen app changes what the vendor app is for.</w:t>
      </w:r>
      <w:r>
        <w:rPr>
          <w:b w:val="0"/>
          <w:color w:val="1B222E"/>
          <w:sz w:val="21"/>
        </w:rPr>
        <w:t xml:space="preserve"> Once a driver can pay from their own phone, the attendant stops being a cashier and becomes someone who verifies and photographs. That is a better job and a smaller cash-handling risk — but the shift reconciliation screen, currently the most carefully constructed part of the vendor application, becomes considerably less central. That is worth knowing before it receives further investment.</w:t>
      </w:r>
    </w:p>
    <w:sectPr w:rsidR="00FC693F" w:rsidRPr="0006063C" w:rsidSect="00034616">
      <w:footerReference w:type="default" r:id="rId19"/>
      <w:pgSz w:w="11909" w:h="16834"/>
      <w:pgMar w:top="1224" w:right="1138" w:bottom="1224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D6B80"/>
        <w:sz w:val="16"/>
      </w:rPr>
      <w:t xml:space="preserve">KMCP Phase Two — proposed screens   ·   </w:t>
    </w:r>
    <w:r>
      <w:rPr>
        <w:color w:val="5D6B80"/>
        <w:sz w:val="16"/>
      </w:rPr>
      <w:fldChar w:fldCharType="begin"/>
    </w:r>
    <w:r>
      <w:rPr>
        <w:color w:val="5D6B80"/>
        <w:sz w:val="16"/>
      </w:rPr>
      <w:instrText xml:space="preserve"> PAGE </w:instrText>
    </w:r>
    <w:r>
      <w:rPr>
        <w:color w:val="5D6B80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4" w:lineRule="auto"/>
    </w:pPr>
    <w:rPr>
      <w:rFonts w:ascii="Calibri" w:hAnsi="Calibri" w:eastAsia="Calibri"/>
      <w:color w:val="1B22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142B4A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142B4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42B4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