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-678180</wp:posOffset>
                </wp:positionH>
                <wp:positionV relativeFrom="paragraph">
                  <wp:posOffset>-209550</wp:posOffset>
                </wp:positionV>
                <wp:extent cx="350520" cy="10304780"/>
                <wp:effectExtent l="1905" t="0" r="0" b="0"/>
                <wp:wrapNone/>
                <wp:docPr id="1" name="Group 2"/>
                <a:graphic xmlns:a="http://schemas.openxmlformats.org/drawingml/2006/main">
                  <a:graphicData uri="http://schemas.microsoft.com/office/word/2010/wordprocessingGroup">
                    <wpg:wgp>
                      <wpg:cNvGrpSpPr/>
                      <wpg:grpSpPr>
                        <a:xfrm>
                          <a:off x="0" y="0"/>
                          <a:ext cx="349920" cy="10304280"/>
                        </a:xfrm>
                      </wpg:grpSpPr>
                      <wps:wsp>
                        <wps:cNvSpPr/>
                        <wps:spPr>
                          <a:xfrm>
                            <a:off x="0" y="0"/>
                            <a:ext cx="113040" cy="10304280"/>
                          </a:xfrm>
                          <a:prstGeom prst="rect">
                            <a:avLst/>
                          </a:prstGeom>
                          <a:solidFill>
                            <a:srgbClr val="007ac9"/>
                          </a:solidFill>
                          <a:ln>
                            <a:noFill/>
                          </a:ln>
                        </wps:spPr>
                        <wps:style>
                          <a:lnRef idx="0"/>
                          <a:fillRef idx="0"/>
                          <a:effectRef idx="0"/>
                          <a:fontRef idx="minor"/>
                        </wps:style>
                        <wps:bodyPr/>
                      </wps:wsp>
                      <wps:wsp>
                        <wps:cNvSpPr/>
                        <wps:spPr>
                          <a:xfrm>
                            <a:off x="120600" y="0"/>
                            <a:ext cx="108000" cy="10304280"/>
                          </a:xfrm>
                          <a:prstGeom prst="rect">
                            <a:avLst/>
                          </a:prstGeom>
                          <a:solidFill>
                            <a:srgbClr val="738cbc"/>
                          </a:solidFill>
                          <a:ln>
                            <a:noFill/>
                          </a:ln>
                        </wps:spPr>
                        <wps:style>
                          <a:lnRef idx="0"/>
                          <a:fillRef idx="0"/>
                          <a:effectRef idx="0"/>
                          <a:fontRef idx="minor"/>
                        </wps:style>
                        <wps:bodyPr/>
                      </wps:wsp>
                      <wps:wsp>
                        <wps:cNvSpPr/>
                        <wps:spPr>
                          <a:xfrm>
                            <a:off x="236880" y="0"/>
                            <a:ext cx="113040" cy="1030428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4pt;margin-top:-16.5pt;width:27.55pt;height:811.35pt" coordorigin="-1068,-330" coordsize="551,16227">
                <v:rect id="shape_0" fillcolor="#007ac9" stroked="f" style="position:absolute;left:-1068;top:-330;width:177;height:16226">
                  <w10:wrap type="none"/>
                  <v:fill o:detectmouseclick="t" type="solid" color2="#ff8536"/>
                  <v:stroke color="#3465a4" joinstyle="round" endcap="flat"/>
                </v:rect>
                <v:rect id="shape_0" fillcolor="#738cbc" stroked="f" style="position:absolute;left:-878;top:-330;width:169;height:16226">
                  <w10:wrap type="none"/>
                  <v:fill o:detectmouseclick="t" type="solid" color2="#8c7343"/>
                  <v:stroke color="#3465a4" joinstyle="round" endcap="flat"/>
                </v:rect>
                <v:rect id="shape_0" fillcolor="#7cd568" stroked="f" style="position:absolute;left:-695;top:-330;width:177;height:16226">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4620" cy="922020"/>
                <wp:effectExtent l="1905" t="1905" r="4445" b="0"/>
                <wp:wrapNone/>
                <wp:docPr id="3" name="Group 6"/>
                <a:graphic xmlns:a="http://schemas.openxmlformats.org/drawingml/2006/main">
                  <a:graphicData uri="http://schemas.microsoft.com/office/word/2010/wordprocessingGroup">
                    <wpg:wgp>
                      <wpg:cNvGrpSpPr/>
                      <wpg:grpSpPr>
                        <a:xfrm>
                          <a:off x="0" y="0"/>
                          <a:ext cx="133920" cy="921240"/>
                        </a:xfrm>
                      </wpg:grpSpPr>
                      <wps:wsp>
                        <wps:cNvSpPr/>
                        <wps:spPr>
                          <a:xfrm>
                            <a:off x="0" y="464760"/>
                            <a:ext cx="133920" cy="117000"/>
                          </a:xfrm>
                          <a:prstGeom prst="rect">
                            <a:avLst/>
                          </a:prstGeom>
                          <a:solidFill>
                            <a:srgbClr val="accd15"/>
                          </a:solidFill>
                          <a:ln>
                            <a:noFill/>
                          </a:ln>
                        </wps:spPr>
                        <wps:style>
                          <a:lnRef idx="0"/>
                          <a:fillRef idx="0"/>
                          <a:effectRef idx="0"/>
                          <a:fontRef idx="minor"/>
                        </wps:style>
                        <wps:bodyPr/>
                      </wps:wsp>
                      <wps:wsp>
                        <wps:cNvSpPr/>
                        <wps:spPr>
                          <a:xfrm>
                            <a:off x="0" y="804600"/>
                            <a:ext cx="133920" cy="117000"/>
                          </a:xfrm>
                          <a:prstGeom prst="rect">
                            <a:avLst/>
                          </a:prstGeom>
                          <a:solidFill>
                            <a:srgbClr val="3a1a18"/>
                          </a:solidFill>
                          <a:ln>
                            <a:noFill/>
                          </a:ln>
                        </wps:spPr>
                        <wps:style>
                          <a:lnRef idx="0"/>
                          <a:fillRef idx="0"/>
                          <a:effectRef idx="0"/>
                          <a:fontRef idx="minor"/>
                        </wps:style>
                        <wps:bodyPr/>
                      </wps:wsp>
                      <wps:wsp>
                        <wps:cNvSpPr/>
                        <wps:spPr>
                          <a:xfrm>
                            <a:off x="0" y="0"/>
                            <a:ext cx="133920" cy="117000"/>
                          </a:xfrm>
                          <a:prstGeom prst="rect">
                            <a:avLst/>
                          </a:prstGeom>
                          <a:solidFill>
                            <a:srgbClr val="007ac9"/>
                          </a:solidFill>
                          <a:ln>
                            <a:noFill/>
                          </a:ln>
                        </wps:spPr>
                        <wps:style>
                          <a:lnRef idx="0"/>
                          <a:fillRef idx="0"/>
                          <a:effectRef idx="0"/>
                          <a:fontRef idx="minor"/>
                        </wps:style>
                        <wps:bodyPr/>
                      </wps:wsp>
                      <wps:wsp>
                        <wps:cNvSpPr/>
                        <wps:spPr>
                          <a:xfrm>
                            <a:off x="0" y="145440"/>
                            <a:ext cx="133920" cy="123840"/>
                          </a:xfrm>
                          <a:prstGeom prst="rect">
                            <a:avLst/>
                          </a:prstGeom>
                          <a:solidFill>
                            <a:srgbClr val="738cbc"/>
                          </a:solidFill>
                          <a:ln>
                            <a:noFill/>
                          </a:ln>
                        </wps:spPr>
                        <wps:style>
                          <a:lnRef idx="0"/>
                          <a:fillRef idx="0"/>
                          <a:effectRef idx="0"/>
                          <a:fontRef idx="minor"/>
                        </wps:style>
                        <wps:bodyPr/>
                      </wps:wsp>
                      <wps:wsp>
                        <wps:cNvSpPr/>
                        <wps:spPr>
                          <a:xfrm>
                            <a:off x="0" y="610200"/>
                            <a:ext cx="133920" cy="123840"/>
                          </a:xfrm>
                          <a:prstGeom prst="rect">
                            <a:avLst/>
                          </a:prstGeom>
                          <a:solidFill>
                            <a:srgbClr val="7cd568"/>
                          </a:solidFill>
                          <a:ln>
                            <a:noFill/>
                          </a:ln>
                        </wps:spPr>
                        <wps:style>
                          <a:lnRef idx="0"/>
                          <a:fillRef idx="0"/>
                          <a:effectRef idx="0"/>
                          <a:fontRef idx="minor"/>
                        </wps:style>
                        <wps:bodyPr/>
                      </wps:wsp>
                      <wps:wsp>
                        <wps:cNvSpPr/>
                        <wps:spPr>
                          <a:xfrm>
                            <a:off x="0" y="297720"/>
                            <a:ext cx="133920" cy="11700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55pt;height:72.55pt" coordorigin="8925,344" coordsize="211,1451">
                <v:rect id="shape_0" fillcolor="#accd15" stroked="f" style="position:absolute;left:8925;top:1076;width:210;height:183">
                  <w10:wrap type="none"/>
                  <v:fill o:detectmouseclick="t" type="solid" color2="#5332ea"/>
                  <v:stroke color="#3465a4" joinstyle="round" endcap="flat"/>
                </v:rect>
                <v:rect id="shape_0" fillcolor="#3a1a18" stroked="f" style="position:absolute;left:8925;top:1611;width:210;height:183">
                  <w10:wrap type="none"/>
                  <v:fill o:detectmouseclick="t" type="solid" color2="#c5e5e7"/>
                  <v:stroke color="#3465a4" joinstyle="round" endcap="flat"/>
                </v:rect>
                <v:rect id="shape_0" fillcolor="#007ac9" stroked="f" style="position:absolute;left:8925;top:344;width:210;height:183">
                  <w10:wrap type="none"/>
                  <v:fill o:detectmouseclick="t" type="solid" color2="#ff8536"/>
                  <v:stroke color="#3465a4" joinstyle="round" endcap="flat"/>
                </v:rect>
                <v:rect id="shape_0" fillcolor="#738cbc" stroked="f" style="position:absolute;left:8925;top:573;width:210;height:194">
                  <w10:wrap type="none"/>
                  <v:fill o:detectmouseclick="t" type="solid" color2="#8c7343"/>
                  <v:stroke color="#3465a4" joinstyle="round" endcap="flat"/>
                </v:rect>
                <v:rect id="shape_0" fillcolor="#7cd568" stroked="f" style="position:absolute;left:8925;top:1305;width:210;height:194">
                  <w10:wrap type="none"/>
                  <v:fill o:detectmouseclick="t" type="solid" color2="#832a97"/>
                  <v:stroke color="#3465a4" joinstyle="round" endcap="flat"/>
                </v:rect>
                <v:rect id="shape_0" fillcolor="#0099b1" stroked="f" style="position:absolute;left:8925;top:813;width:210;height:183">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467_294765894">
        <w:r>
          <w:rPr>
            <w:webHidden/>
            <w:rStyle w:val="IndexLink"/>
            <w:vanish w:val="false"/>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vanish w:val="false"/>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vanish w:val="false"/>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vanish w:val="false"/>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vanish w:val="false"/>
          </w:rPr>
          <w:t>1.1.1 CA</w:t>
          <w:tab/>
          <w:t>6</w:t>
        </w:r>
      </w:hyperlink>
    </w:p>
    <w:p>
      <w:pPr>
        <w:pStyle w:val="Contents3"/>
        <w:tabs>
          <w:tab w:val="clear" w:pos="1474"/>
          <w:tab w:val="clear" w:pos="8789"/>
          <w:tab w:val="right" w:pos="9921" w:leader="dot"/>
        </w:tabs>
        <w:rPr/>
      </w:pPr>
      <w:hyperlink w:anchor="__RefHeading___Toc664_633604879">
        <w:r>
          <w:rPr>
            <w:webHidden/>
            <w:rStyle w:val="IndexLink"/>
            <w:vanish w:val="false"/>
          </w:rPr>
          <w:t>1.1.1 WoT</w:t>
          <w:tab/>
          <w:t>8</w:t>
        </w:r>
      </w:hyperlink>
    </w:p>
    <w:p>
      <w:pPr>
        <w:pStyle w:val="Contents3"/>
        <w:tabs>
          <w:tab w:val="clear" w:pos="1474"/>
          <w:tab w:val="clear" w:pos="8789"/>
          <w:tab w:val="right" w:pos="9921" w:leader="dot"/>
        </w:tabs>
        <w:rPr/>
      </w:pPr>
      <w:hyperlink w:anchor="__RefHeading___Toc666_633604879">
        <w:r>
          <w:rPr>
            <w:webHidden/>
            <w:rStyle w:val="IndexLink"/>
            <w:vanish w:val="false"/>
          </w:rPr>
          <w:t>1.1.2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vanish w:val="false"/>
          </w:rPr>
          <w:t>3 Testaus</w:t>
          <w:tab/>
          <w:t>9</w:t>
        </w:r>
      </w:hyperlink>
    </w:p>
    <w:p>
      <w:pPr>
        <w:pStyle w:val="Contents2"/>
        <w:tabs>
          <w:tab w:val="clear" w:pos="794"/>
          <w:tab w:val="clear" w:pos="8789"/>
          <w:tab w:val="right" w:pos="9921" w:leader="dot"/>
        </w:tabs>
        <w:rPr/>
      </w:pPr>
      <w:hyperlink w:anchor="__RefHeading___Toc2487_294765894">
        <w:r>
          <w:rPr>
            <w:webHidden/>
            <w:rStyle w:val="IndexLink"/>
            <w:vanish w:val="false"/>
          </w:rPr>
          <w:t>3.1 OCSP</w:t>
          <w:tab/>
          <w:t>9</w:t>
        </w:r>
      </w:hyperlink>
    </w:p>
    <w:p>
      <w:pPr>
        <w:pStyle w:val="Contents3"/>
        <w:tabs>
          <w:tab w:val="clear" w:pos="1474"/>
          <w:tab w:val="clear" w:pos="8789"/>
          <w:tab w:val="right" w:pos="9921" w:leader="dot"/>
        </w:tabs>
        <w:rPr/>
      </w:pPr>
      <w:hyperlink w:anchor="__RefHeading___Toc2489_294765894">
        <w:r>
          <w:rPr>
            <w:webHidden/>
            <w:rStyle w:val="IndexLink"/>
            <w:vanish w:val="false"/>
          </w:rPr>
          <w:t>3.1.1 Muutos</w:t>
          <w:tab/>
          <w:t>9</w:t>
        </w:r>
      </w:hyperlink>
    </w:p>
    <w:p>
      <w:pPr>
        <w:pStyle w:val="Contents3"/>
        <w:tabs>
          <w:tab w:val="clear" w:pos="1474"/>
          <w:tab w:val="clear" w:pos="8789"/>
          <w:tab w:val="right" w:pos="9921" w:leader="dot"/>
        </w:tabs>
        <w:rPr/>
      </w:pPr>
      <w:hyperlink w:anchor="__RefHeading___Toc2491_294765894">
        <w:r>
          <w:rPr>
            <w:webHidden/>
            <w:rStyle w:val="IndexLink"/>
            <w:vanish w:val="false"/>
          </w:rPr>
          <w:t>3.1.2 Blokkaus</w:t>
          <w:tab/>
          <w:t>9</w:t>
        </w:r>
      </w:hyperlink>
    </w:p>
    <w:p>
      <w:pPr>
        <w:pStyle w:val="Contents2"/>
        <w:tabs>
          <w:tab w:val="clear" w:pos="794"/>
          <w:tab w:val="clear" w:pos="8789"/>
          <w:tab w:val="right" w:pos="9921" w:leader="dot"/>
        </w:tabs>
        <w:rPr/>
      </w:pPr>
      <w:hyperlink w:anchor="__RefHeading___Toc2493_294765894">
        <w:r>
          <w:rPr>
            <w:webHidden/>
            <w:rStyle w:val="IndexLink"/>
            <w:vanish w:val="false"/>
          </w:rPr>
          <w:t>3.2 Root cert asennus</w:t>
          <w:tab/>
          <w:t>10</w:t>
        </w:r>
      </w:hyperlink>
    </w:p>
    <w:p>
      <w:pPr>
        <w:pStyle w:val="Contents2"/>
        <w:tabs>
          <w:tab w:val="clear" w:pos="794"/>
          <w:tab w:val="clear" w:pos="8789"/>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clear" w:pos="794"/>
          <w:tab w:val="clear" w:pos="8789"/>
          <w:tab w:val="right" w:pos="9921" w:leader="dot"/>
        </w:tabs>
        <w:rPr/>
      </w:pPr>
      <w:hyperlink w:anchor="__RefHeading___Toc2497_294765894">
        <w:r>
          <w:rPr>
            <w:webHidden/>
            <w:rStyle w:val="IndexLink"/>
            <w:vanish w:val="false"/>
          </w:rPr>
          <w:t>3.4 SSLStrip</w:t>
          <w:tab/>
          <w:t>10</w:t>
        </w:r>
      </w:hyperlink>
    </w:p>
    <w:p>
      <w:pPr>
        <w:pStyle w:val="Contents2"/>
        <w:tabs>
          <w:tab w:val="clear" w:pos="794"/>
          <w:tab w:val="clear" w:pos="8789"/>
          <w:tab w:val="right" w:pos="9921" w:leader="dot"/>
        </w:tabs>
        <w:rPr/>
      </w:pPr>
      <w:hyperlink w:anchor="__RefHeading___Toc2499_294765894">
        <w:r>
          <w:rPr>
            <w:webHidden/>
            <w:rStyle w:val="IndexLink"/>
            <w:vanish w:val="false"/>
          </w:rPr>
          <w:t>3.5 Ettercap / bettercap</w:t>
          <w:tab/>
          <w:t>10</w:t>
        </w:r>
      </w:hyperlink>
    </w:p>
    <w:p>
      <w:pPr>
        <w:pStyle w:val="Contents2"/>
        <w:tabs>
          <w:tab w:val="clear" w:pos="794"/>
          <w:tab w:val="clear" w:pos="8789"/>
          <w:tab w:val="right" w:pos="9921" w:leader="dot"/>
        </w:tabs>
        <w:rPr/>
      </w:pPr>
      <w:hyperlink w:anchor="__RefHeading___Toc2501_294765894">
        <w:r>
          <w:rPr>
            <w:webHidden/>
            <w:rStyle w:val="IndexLink"/>
            <w:vanish w:val="false"/>
          </w:rPr>
          <w:t>3.6 Tulosten yhteenveto</w:t>
          <w:tab/>
          <w:t>11</w:t>
        </w:r>
      </w:hyperlink>
    </w:p>
    <w:p>
      <w:pPr>
        <w:pStyle w:val="Contents1"/>
        <w:tabs>
          <w:tab w:val="clear" w:pos="284"/>
          <w:tab w:val="clear" w:pos="8789"/>
          <w:tab w:val="right" w:pos="9921" w:leader="dot"/>
        </w:tabs>
        <w:rPr/>
      </w:pPr>
      <w:hyperlink w:anchor="__RefHeading___Toc2503_294765894">
        <w:r>
          <w:rPr>
            <w:webHidden/>
            <w:rStyle w:val="IndexLink"/>
            <w:vanish w:val="false"/>
          </w:rPr>
          <w:t>4 Ohjeistus</w:t>
          <w:tab/>
          <w:t>12</w:t>
        </w:r>
      </w:hyperlink>
    </w:p>
    <w:p>
      <w:pPr>
        <w:pStyle w:val="Contents2"/>
        <w:tabs>
          <w:tab w:val="clear" w:pos="794"/>
          <w:tab w:val="clear" w:pos="8789"/>
          <w:tab w:val="right" w:pos="9921" w:leader="dot"/>
        </w:tabs>
        <w:rPr/>
      </w:pPr>
      <w:hyperlink w:anchor="__RefHeading___Toc2505_294765894">
        <w:r>
          <w:rPr>
            <w:webHidden/>
            <w:rStyle w:val="IndexLink"/>
            <w:vanish w:val="false"/>
          </w:rPr>
          <w:t>4.1 Kenelle miksi</w:t>
          <w:tab/>
          <w:t>12</w:t>
        </w:r>
      </w:hyperlink>
    </w:p>
    <w:p>
      <w:pPr>
        <w:pStyle w:val="Contents2"/>
        <w:tabs>
          <w:tab w:val="clear" w:pos="794"/>
          <w:tab w:val="clear" w:pos="8789"/>
          <w:tab w:val="right" w:pos="9921" w:leader="dot"/>
        </w:tabs>
        <w:rPr/>
      </w:pPr>
      <w:hyperlink w:anchor="__RefHeading___Toc2507_294765894">
        <w:r>
          <w:rPr>
            <w:webHidden/>
            <w:rStyle w:val="IndexLink"/>
            <w:vanish w:val="false"/>
          </w:rPr>
          <w:t>4.2 Koonti / tarina kehityksestä</w:t>
          <w:tab/>
          <w:t>12</w:t>
        </w:r>
      </w:hyperlink>
    </w:p>
    <w:p>
      <w:pPr>
        <w:pStyle w:val="Contents1"/>
        <w:tabs>
          <w:tab w:val="clear" w:pos="284"/>
          <w:tab w:val="clear" w:pos="8789"/>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clear" w:pos="284"/>
          <w:tab w:val="clear" w:pos="8789"/>
          <w:tab w:val="right" w:pos="9921" w:leader="dot"/>
        </w:tabs>
        <w:rPr/>
      </w:pPr>
      <w:hyperlink w:anchor="__RefHeading___Toc2511_294765894">
        <w:r>
          <w:rPr>
            <w:webHidden/>
            <w:rStyle w:val="IndexLink"/>
            <w:vanish w:val="false"/>
          </w:rPr>
          <w:t>6 Yhteenveto</w:t>
          <w:tab/>
          <w:t>14</w:t>
        </w:r>
      </w:hyperlink>
    </w:p>
    <w:p>
      <w:pPr>
        <w:pStyle w:val="Contents1"/>
        <w:tabs>
          <w:tab w:val="clear" w:pos="284"/>
          <w:tab w:val="clear" w:pos="8789"/>
          <w:tab w:val="right" w:pos="9921" w:leader="dot"/>
        </w:tabs>
        <w:rPr/>
      </w:pPr>
      <w:hyperlink w:anchor="__RefHeading___Toc2513_294765894">
        <w:r>
          <w:rPr>
            <w:webHidden/>
            <w:rStyle w:val="IndexLink"/>
            <w:vanish w:val="false"/>
          </w:rPr>
          <w:t>Lähteet</w:t>
          <w:tab/>
          <w:t>15</w:t>
        </w:r>
      </w:hyperlink>
    </w:p>
    <w:p>
      <w:pPr>
        <w:pStyle w:val="Contents1"/>
        <w:tabs>
          <w:tab w:val="clear" w:pos="284"/>
          <w:tab w:val="clear" w:pos="8789"/>
          <w:tab w:val="right" w:pos="9921" w:leader="dot"/>
        </w:tabs>
        <w:rPr/>
      </w:pPr>
      <w:hyperlink w:anchor="__RefHeading___Toc2515_294765894">
        <w:r>
          <w:rPr>
            <w:webHidden/>
            <w:rStyle w:val="IndexLink"/>
            <w:vanish w:val="false"/>
          </w:rPr>
          <w:t>Liitteet</w:t>
          <w:tab/>
          <w:t>16</w:t>
        </w:r>
      </w:hyperlink>
    </w:p>
    <w:p>
      <w:pPr>
        <w:pStyle w:val="Contents2"/>
        <w:tabs>
          <w:tab w:val="clear" w:pos="794"/>
          <w:tab w:val="clear" w:pos="8789"/>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clear" w:pos="794"/>
          <w:tab w:val="clear" w:pos="8789"/>
          <w:tab w:val="right" w:pos="9921" w:leader="dot"/>
        </w:tabs>
        <w:rPr/>
      </w:pPr>
      <w:hyperlink w:anchor="__RefHeading___Toc2519_294765894">
        <w:r>
          <w:rPr>
            <w:webHidden/>
            <w:rStyle w:val="IndexLink"/>
            <w:vanish w:val="false"/>
          </w:rPr>
          <w:t>Liite 2. Kartoituskysymykset vastauksineen</w:t>
          <w:tab/>
          <w:t>17</w:t>
        </w:r>
      </w:hyperlink>
    </w:p>
    <w:p>
      <w:pPr>
        <w:pStyle w:val="Heading1"/>
        <w:numPr>
          <w:ilvl w:val="0"/>
          <w:numId w:val="5"/>
        </w:numPr>
        <w:ind w:left="431" w:hanging="431"/>
        <w:rPr/>
      </w:pPr>
      <w:bookmarkStart w:id="0" w:name="__RefHeading___Toc2467_294765894"/>
      <w:bookmarkStart w:id="1" w:name="_Toc531958377"/>
      <w:bookmarkEnd w:id="0"/>
      <w:r>
        <w:rPr/>
        <w:t>Projektin työsuunnitelma</w:t>
      </w:r>
      <w:r>
        <w:rPr/>
        <w:fldChar w:fldCharType="end"/>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avainhallinta järjestelmän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peruskäyttäjille suunnatun ohjeistuksen verkkovarmenteiden käytöstä, toisen ryhmän tarkoitus oli pyrkiä testaamaan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ratkaisuun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66145015"/>
      <w:bookmarkStart w:id="10" w:name="_Toc175036409"/>
      <w:bookmarkStart w:id="11" w:name="_Toc166145022"/>
      <w:bookmarkStart w:id="12" w:name="_Toc175036416"/>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varmenteesta, PGP salatuista avaimista 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WoT käytön tutkiminen verkkovarmenteissa muodostui haastavaksi. Tämä johtui pääasiassa siitä, että WoT:n julkinen käyttö on hyvin rajallista.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Koska tutkittujen hallintajärjestelmien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tai salauksesta kertovan lukko ikonin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SSL/TLS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myös heikolla salauksella (SHA1, MD5). Tähän on suurimmat selaimet (Chrome, Firefox, Safari, Edge) jo tähän päivään mennessä reagoineet ja ne eivät enää suoraan hyväksy kyseisiä varmenteita ja antavat tästä virheilmoituksen. Tätä ominaisuutta ei ole poistettu .x509 itsestään.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 Online Certificate Status Protocol) protokolaa käyttäen. CRL on lista ennenaikaisesti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pPr>
      <w:r>
        <w:rPr>
          <w:b w:val="false"/>
          <w:bCs w:val="false"/>
        </w:rPr>
        <w:t xml:space="preserve">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 </w:t>
      </w:r>
      <w:r>
        <w:rPr>
          <w:b w:val="false"/>
          <w:bCs w:val="false"/>
        </w:rPr>
        <w:t xml:space="preserve">Käyttäjällä ei myöskään ole usein tietoa varmenteen myöntäjän luotettavuudesta. </w:t>
      </w:r>
    </w:p>
    <w:p>
      <w:pPr>
        <w:pStyle w:val="Normal"/>
        <w:rPr>
          <w:b w:val="false"/>
          <w:b w:val="false"/>
          <w:bCs w:val="false"/>
        </w:rPr>
      </w:pPr>
      <w:r>
        <w:rPr>
          <w:b w:val="false"/>
          <w:bCs w:val="false"/>
        </w:rPr>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väliin tunkeutunut hyökkääjä kaapaa sen läpi menevän liikenteen. Liikenne hyökkääjän sekä palvelimen välillä tapahtuu suojattua HTTPS yhteyttä käyttäen, mutta käyttäjän ja hyökkääjän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rPr>
      </w:pPr>
      <w:r>
        <w:rPr>
          <w:b w:val="false"/>
          <w:bCs w:val="false"/>
        </w:rPr>
        <w:t xml:space="preserve">Huomioin arvoista on että välimieshyökkäyksessä jossa hyökkääjä käyttää itse allekirjoitettua varmennetta, jää usein tästä kiinni jo kohdekone käyttää verkkosivuja jotka käyttävät Cetificate pinning:a sivun suojana. </w:t>
      </w:r>
    </w:p>
    <w:p>
      <w:pPr>
        <w:pStyle w:val="Normal"/>
        <w:rPr/>
      </w:pPr>
      <w:r>
        <w:rPr>
          <w:b w:val="false"/>
          <w:bCs w:val="false"/>
        </w:rPr>
        <w:t>Cetificate pinning:</w:t>
      </w:r>
      <w:r>
        <w:rPr>
          <w:b w:val="false"/>
          <w:bCs w:val="false"/>
        </w:rPr>
        <w:t>a</w:t>
      </w:r>
      <w:r>
        <w:rPr>
          <w:b w:val="false"/>
          <w:bCs w:val="false"/>
        </w:rPr>
        <w:t xml:space="preserve"> </w:t>
      </w:r>
      <w:r>
        <w:rPr>
          <w:b w:val="false"/>
          <w:bCs w:val="false"/>
        </w:rPr>
        <w:t xml:space="preserve">tunnetun sivuston varmenne </w:t>
      </w:r>
      <w:r>
        <w:rPr>
          <w:b w:val="false"/>
          <w:bCs w:val="false"/>
        </w:rPr>
        <w:t xml:space="preserve">ja näin ollen myös sen julkinen avain on tallennettuna valmiiksi, esimerkiksi selaimeen. </w:t>
      </w:r>
      <w:r>
        <w:rPr>
          <w:b w:val="false"/>
          <w:bCs w:val="false"/>
        </w:rPr>
        <w:t>Kun käyttäjä käy sivull</w:t>
      </w:r>
      <w:r>
        <w:rPr>
          <w:b w:val="false"/>
          <w:bCs w:val="false"/>
        </w:rPr>
        <w:t>a</w:t>
      </w:r>
      <w:r>
        <w:rPr>
          <w:b w:val="false"/>
          <w:bCs w:val="false"/>
        </w:rPr>
        <w:t xml:space="preserve">, vertailee käyttäjän selain säilössä olevaa  </w:t>
      </w:r>
      <w:r>
        <w:rPr>
          <w:b w:val="false"/>
          <w:bCs w:val="false"/>
        </w:rPr>
        <w:t xml:space="preserve">varmennetta ja </w:t>
      </w:r>
      <w:r>
        <w:rPr>
          <w:b w:val="false"/>
          <w:bCs w:val="false"/>
        </w:rPr>
        <w:t xml:space="preserve">avainta palvelun uudelleen lähettämään </w:t>
      </w:r>
      <w:r>
        <w:rPr>
          <w:b w:val="false"/>
          <w:bCs w:val="false"/>
        </w:rPr>
        <w:t>varmenteeseen</w:t>
      </w:r>
      <w:r>
        <w:rPr>
          <w:b w:val="false"/>
          <w:bCs w:val="false"/>
        </w:rPr>
        <w:t xml:space="preserve">. Jos avaimet ei täsmää, on syytä epäillä välimieshyökkäystä. </w:t>
      </w:r>
      <w:r>
        <w:rPr>
          <w:b w:val="false"/>
          <w:bCs w:val="false"/>
        </w:rPr>
        <w:t>Tämä suojaa palvelua myös tilaneessa, jossa varmenteen myöntäjän luotettavuus on kyseenalaistettu.</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luotettuja avaimia. Tässä kyseissä hallintatavassa piilee myös syy miksi WoT ei ole yleisesti käytössä verkkoselaimissa. Luottamus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salatut avaimet.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CA soveltuu loistavasti silloin kun käyttäjä ei tunne toista käyttäjää,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661450221"/>
      <w:bookmarkStart w:id="26" w:name="_Toc175036416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pPr>
      <w:r>
        <w:rPr/>
        <w:t>Testauksen lähtökohtana oli eri hyökkäysmetodit joita voisi kohdistaa erityisesti PK yrityksiä kohtaan.  tämä perustui oletukseen siitä, että heillä tietoturva tai verkonvalvonta ei ole yleisesti samalla tasolla kuin suuremmissa yrityksissä. Tavoitteina oli liiketoiminnan häiritseminen tai yrityksen yksityisten tietojen vakoilu.</w:t>
      </w:r>
    </w:p>
    <w:p>
      <w:pPr>
        <w:pStyle w:val="Normal"/>
        <w:rPr/>
      </w:pPr>
      <w:r>
        <w:rPr/>
      </w:r>
    </w:p>
    <w:p>
      <w:pPr>
        <w:pStyle w:val="Normal"/>
        <w:rPr/>
      </w:pPr>
      <w:r>
        <w:rPr/>
        <w:t>Ellei toisin mainita, kaikki testaukset suoritettiin KaLi Linux käyttöjärjestelmällä, koulun eristetyssä laboratorio verkossa. Testauksen kohdekoneet olivat testausryhmän hallinnassa, testauksen aikana.</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ei testattu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OCSP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hyökkääjäkoneen ja kohdekoneen liikenne tapahtuu salaamattomana. Hyökkääjä naamioi liikenteen näyttämään käyttäjälle salatulta. Hyökkääjän ja palvelimen välinen liikenne tapahtuu HTTPS yhteyttä käyttäen salattuna, jolloin palvelin ei huomaa liikenteessä mitään outoa.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huomaavat hyökkäysyrityksen väärennetyllä varmenteella ja antavat selaimessa virheilmoituksen.</w:t>
      </w:r>
    </w:p>
    <w:p>
      <w:pPr>
        <w:pStyle w:val="Normal"/>
        <w:rPr/>
      </w:pPr>
      <w:r>
        <w:rPr/>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käytettyjä hyökkäyksiä vastaan on mahdollisesti kehitetty jo korjaus. </w:t>
      </w:r>
    </w:p>
    <w:p>
      <w:pPr>
        <w:pStyle w:val="Normal"/>
        <w:rPr/>
      </w:pPr>
      <w:r>
        <w:rPr/>
      </w:r>
    </w:p>
    <w:p>
      <w:pPr>
        <w:pStyle w:val="Normal"/>
        <w:rPr/>
      </w:pPr>
      <w:r>
        <w:rPr/>
        <w:t>Projektin aikana ei löytynyt sopivaa hyökkäysvektoria WoT testaukseen,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lang w:eastAsia="fi-FI"/>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w:t>
      </w:r>
    </w:p>
    <w:p>
      <w:pPr>
        <w:pStyle w:val="Default"/>
        <w:rPr>
          <w:lang w:eastAsia="fi-FI"/>
        </w:rPr>
      </w:pPr>
      <w:r>
        <w:rPr>
          <w:lang w:eastAsia="fi-FI"/>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lang w:eastAsia="fi-FI"/>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pPr>
      <w:r>
        <w:rPr>
          <w:lang w:eastAsia="fi-FI"/>
        </w:rPr>
        <w:t>Ohjeistuksen aloitimme luomalla alustavan kehyksen projektin alkuvaiheiden keskustelujen perusteella. Tähän sisältyi intro julkisen avaimen infrastruktuurista, PKI, WoT ja miten ne vertautuvat toisiinsa. Teimme selkeän työjaon: Saku tutki PKI:ta ja Eino WoT:ia. Teimme nämä osuudet ensin valmiiksi, ja sen jälkeen yhteisesti intron ja outron yhteisten keskusteluiden perusteella.</w:t>
      </w:r>
    </w:p>
    <w:p>
      <w:pPr>
        <w:pStyle w:val="Default"/>
        <w:rPr>
          <w:lang w:eastAsia="fi-FI"/>
        </w:rPr>
      </w:pPr>
      <w:r>
        <w:rPr>
          <w:lang w:eastAsia="fi-FI"/>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lang w:eastAsia="fi-FI"/>
        </w:rPr>
      </w:r>
    </w:p>
    <w:p>
      <w:pPr>
        <w:pStyle w:val="Default"/>
        <w:rPr/>
      </w:pPr>
      <w:r>
        <w:rPr>
          <w:lang w:eastAsia="fi-FI"/>
        </w:rPr>
        <w:t xml:space="preserve">Vaihe: Rautalankamalli ohjeistuksen rungosta. </w:t>
      </w:r>
    </w:p>
    <w:p>
      <w:pPr>
        <w:pStyle w:val="Default"/>
        <w:rPr/>
      </w:pPr>
      <w:r>
        <w:rPr>
          <w:lang w:eastAsia="fi-FI"/>
        </w:rPr>
        <w:t>Keskustelimme koko ryhmän kanssa siitä, mistä ohjeistus voisi koostua. Valmiita malleja tämänkaltaiselle dokumentille ei juurikaan löytynyt, joten päälinjojen luominen jäi puhtaasti ryhmämme vastuulle.</w:t>
      </w:r>
    </w:p>
    <w:p>
      <w:pPr>
        <w:pStyle w:val="Default"/>
        <w:rPr>
          <w:lang w:eastAsia="fi-FI"/>
        </w:rPr>
      </w:pPr>
      <w:r>
        <w:rPr>
          <w:lang w:eastAsia="fi-FI"/>
        </w:rPr>
      </w:r>
    </w:p>
    <w:p>
      <w:pPr>
        <w:pStyle w:val="Default"/>
        <w:rPr/>
      </w:pPr>
      <w:r>
        <w:rPr>
          <w:lang w:eastAsia="fi-FI"/>
        </w:rPr>
        <w:t>Haaste: Ei vertailukohtia</w:t>
      </w:r>
    </w:p>
    <w:p>
      <w:pPr>
        <w:pStyle w:val="Default"/>
        <w:rPr>
          <w:lang w:eastAsia="fi-FI"/>
        </w:rPr>
      </w:pPr>
      <w:r>
        <w:rPr>
          <w:lang w:eastAsia="fi-FI"/>
        </w:rPr>
      </w:r>
    </w:p>
    <w:p>
      <w:pPr>
        <w:pStyle w:val="Default"/>
        <w:rPr/>
      </w:pPr>
      <w:r>
        <w:rPr>
          <w:lang w:eastAsia="fi-FI"/>
        </w:rPr>
        <w:t xml:space="preserve">Vaihe: Rautalankamallin täyttäminen.  </w:t>
      </w:r>
    </w:p>
    <w:p>
      <w:pPr>
        <w:pStyle w:val="Default"/>
        <w:rPr/>
      </w:pPr>
      <w:r>
        <w:rPr>
          <w:lang w:eastAsia="fi-FI"/>
        </w:rPr>
        <w:t>Luotuamme ohjeistuksen pääpisteet, työskentelymme helpottui huomattavasti, koska tiedonhaulle syntyi konkreettinen tavoite. Google Scholar oli hyvä lähde materiaalin etsintään, koska normaalit hakutulokset toivat huomattavan paljon tuloksia, joilla oli kaupallisia sidoksia, varsinkin CA-mallien osalta.</w:t>
      </w:r>
    </w:p>
    <w:p>
      <w:pPr>
        <w:pStyle w:val="Default"/>
        <w:rPr/>
      </w:pPr>
      <w:r>
        <w:rPr>
          <w:lang w:eastAsia="fi-FI"/>
        </w:rPr>
        <w:t>Ohjeistuksen kirjoittaminen jäi Einon ja Sakun vastuulle, ja he jakoivat tämän aiheen vielä kahteen osaa, joten tutkimus- ja kirjoitustyö tapahtui pää-asiallisesti yksilötyönä.</w:t>
      </w:r>
    </w:p>
    <w:p>
      <w:pPr>
        <w:pStyle w:val="Default"/>
        <w:rPr>
          <w:lang w:eastAsia="fi-FI"/>
        </w:rPr>
      </w:pPr>
      <w:r>
        <w:rPr>
          <w:lang w:eastAsia="fi-FI"/>
        </w:rPr>
      </w:r>
    </w:p>
    <w:p>
      <w:pPr>
        <w:pStyle w:val="Default"/>
        <w:rPr/>
      </w:pPr>
      <w:r>
        <w:rPr>
          <w:lang w:eastAsia="fi-FI"/>
        </w:rPr>
        <w:t>Haaste: Ohjeistuksen osalta relevantin materiaalin valitseminen. Lähteiden luotettavuus. Hankalan aihekokonaisuuden avaaminen helposti ymmärrettävään muotoon. Eri aiheiden sovittaminen yhtenäiseksi ohjeistukseksi.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Varsinaisen version luonti  </w:t>
      </w:r>
    </w:p>
    <w:p>
      <w:pPr>
        <w:pStyle w:val="Default"/>
        <w:rPr/>
      </w:pPr>
      <w:r>
        <w:rPr>
          <w:lang w:eastAsia="fi-FI"/>
        </w:rPr>
        <w:t>Saatuamme ohjeistukseen tarpeeksi sisältöä, lähdimme muotoilemaan siitä yhtenäisempää versiota, joka sisälsi tietosisällön lisäksi myös projektiin liittyviä osa-alueita. Sisällön luettaminen muun projektiryhmän kanssa johti mm. toteamukseen siitä, että ohjeistuksen aiheita (WoT vs. CA-mallit) ei kannata vertailla.</w:t>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r>
        <w:br w:type="page"/>
      </w:r>
    </w:p>
    <w:p>
      <w:pPr>
        <w:pStyle w:val="Heading1"/>
        <w:numPr>
          <w:ilvl w:val="0"/>
          <w:numId w:val="5"/>
        </w:numPr>
        <w:spacing w:before="0" w:after="320"/>
        <w:ind w:left="431" w:hanging="431"/>
        <w:rPr/>
      </w:pPr>
      <w:bookmarkStart w:id="46" w:name="__RefHeading___Toc2509_294765894"/>
      <w:bookmarkStart w:id="47" w:name="_Toc531958394"/>
      <w:bookmarkEnd w:id="46"/>
      <w:r>
        <w:rPr/>
        <w:t>Suositukset varmenteiden käyttöön</w:t>
      </w:r>
      <w:bookmarkEnd w:id="47"/>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8" w:name="__RefHeading___Toc2511_294765894"/>
      <w:bookmarkStart w:id="49" w:name="_Toc531958395"/>
      <w:bookmarkEnd w:id="48"/>
      <w:r>
        <w:rPr/>
        <w:t>Yhteenveto</w:t>
      </w:r>
      <w:bookmarkEnd w:id="49"/>
      <w:r>
        <w:br w:type="page"/>
      </w:r>
    </w:p>
    <w:p>
      <w:pPr>
        <w:pStyle w:val="Heading1"/>
        <w:numPr>
          <w:ilvl w:val="0"/>
          <w:numId w:val="0"/>
        </w:numPr>
        <w:ind w:left="431" w:hanging="431"/>
        <w:rPr/>
      </w:pPr>
      <w:bookmarkStart w:id="50" w:name="__RefHeading___Toc2513_294765894"/>
      <w:bookmarkStart w:id="51" w:name="_Toc357686360"/>
      <w:bookmarkStart w:id="52" w:name="_Toc531958396"/>
      <w:bookmarkEnd w:id="50"/>
      <w:r>
        <w:rPr/>
        <w:t>Lähteet</w:t>
      </w:r>
      <w:bookmarkEnd w:id="51"/>
      <w:bookmarkEnd w:id="52"/>
      <w:r>
        <w:br w:type="page"/>
      </w:r>
    </w:p>
    <w:p>
      <w:pPr>
        <w:pStyle w:val="Heading1"/>
        <w:numPr>
          <w:ilvl w:val="0"/>
          <w:numId w:val="0"/>
        </w:numPr>
        <w:ind w:left="431" w:hanging="431"/>
        <w:rPr/>
      </w:pPr>
      <w:bookmarkStart w:id="53" w:name="__RefHeading___Toc2515_294765894"/>
      <w:bookmarkStart w:id="54" w:name="_Toc357686361"/>
      <w:bookmarkStart w:id="55" w:name="_Toc531958397"/>
      <w:bookmarkEnd w:id="53"/>
      <w:r>
        <w:rPr/>
        <w:t>Liitteet</w:t>
      </w:r>
      <w:bookmarkEnd w:id="54"/>
      <w:bookmarkEnd w:id="55"/>
    </w:p>
    <w:p>
      <w:pPr>
        <w:pStyle w:val="Heading2"/>
        <w:numPr>
          <w:ilvl w:val="0"/>
          <w:numId w:val="0"/>
        </w:numPr>
        <w:ind w:left="567" w:hanging="567"/>
        <w:rPr>
          <w:sz w:val="24"/>
        </w:rPr>
      </w:pPr>
      <w:bookmarkStart w:id="56" w:name="__RefHeading___Toc2517_294765894"/>
      <w:bookmarkStart w:id="57" w:name="_Toc357686362"/>
      <w:bookmarkStart w:id="58" w:name="_Toc531958398"/>
      <w:bookmarkEnd w:id="56"/>
      <w:r>
        <w:rPr>
          <w:sz w:val="24"/>
        </w:rPr>
        <w:t>Liite 1: Tuotekortti: Tietoturvan peruskartoitus</w:t>
      </w:r>
      <w:bookmarkEnd w:id="57"/>
      <w:bookmarkEnd w:id="58"/>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9" w:name="__RefHeading___Toc2519_294765894"/>
      <w:bookmarkStart w:id="60" w:name="_Toc531958399"/>
      <w:bookmarkStart w:id="61" w:name="_Toc357686363"/>
      <w:bookmarkEnd w:id="59"/>
      <w:r>
        <w:rPr>
          <w:sz w:val="24"/>
        </w:rPr>
        <w:t xml:space="preserve">Liite 2. </w:t>
      </w:r>
      <w:bookmarkEnd w:id="61"/>
      <w:r>
        <w:rPr>
          <w:sz w:val="24"/>
        </w:rPr>
        <w:t>Kartoituskysymykset vastauksineen</w:t>
      </w:r>
      <w:bookmarkEnd w:id="60"/>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950" y="0"/>
              <wp:lineTo x="-950" y="18896"/>
              <wp:lineTo x="20453" y="18896"/>
              <wp:lineTo x="20453" y="0"/>
              <wp:lineTo x="-950"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591</TotalTime>
  <Application>LibreOffice/6.1.3.2$Linux_X86_64 LibreOffice_project/10$Build-2</Application>
  <Pages>20</Pages>
  <Words>2683</Words>
  <Characters>20816</Characters>
  <CharactersWithSpaces>23331</CharactersWithSpaces>
  <Paragraphs>224</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2018-12-12T17:11:49Z</dcterms:modified>
  <cp:revision>73</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