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A143" w14:textId="16519D2A" w:rsidR="00E95504" w:rsidRDefault="00E95504" w:rsidP="00E95504">
      <w:pPr>
        <w:jc w:val="center"/>
        <w:rPr>
          <w:rFonts w:ascii="Calibri" w:hAnsi="Calibri"/>
          <w:b/>
          <w:color w:val="0000FF"/>
          <w:sz w:val="20"/>
        </w:rPr>
      </w:pPr>
      <w:r>
        <w:rPr>
          <w:rFonts w:ascii="Calibri" w:hAnsi="Calibri"/>
          <w:b/>
          <w:color w:val="0000FF"/>
          <w:sz w:val="20"/>
        </w:rPr>
        <w:t>KLAR ANALYTICS</w:t>
      </w:r>
    </w:p>
    <w:p w14:paraId="2BAC9563" w14:textId="16EBB5FB" w:rsidR="00E95504" w:rsidRDefault="00E95504" w:rsidP="00E95504">
      <w:pPr>
        <w:jc w:val="center"/>
        <w:rPr>
          <w:rFonts w:ascii="Calibri" w:hAnsi="Calibri"/>
          <w:color w:val="C0C0C0"/>
          <w:sz w:val="16"/>
        </w:rPr>
      </w:pPr>
      <w:r>
        <w:rPr>
          <w:rFonts w:ascii="Calibri" w:hAnsi="Calibri"/>
          <w:color w:val="C0C0C0"/>
          <w:sz w:val="16"/>
        </w:rPr>
        <w:t>Diagnóstico Empresarial con Inteligencia Artificial</w:t>
      </w:r>
    </w:p>
    <w:p w14:paraId="075D7FC3" w14:textId="77777777" w:rsidR="00E95504" w:rsidRDefault="00E95504" w:rsidP="00E95504">
      <w:pPr>
        <w:jc w:val="center"/>
        <w:rPr>
          <w:rFonts w:ascii="Calibri" w:hAnsi="Calibri"/>
          <w:color w:val="C0C0C0"/>
          <w:sz w:val="16"/>
        </w:rPr>
      </w:pPr>
    </w:p>
    <w:p w14:paraId="43B25AA6" w14:textId="2C4C651A" w:rsidR="00E95504" w:rsidRDefault="00E95504" w:rsidP="00E95504">
      <w:pPr>
        <w:jc w:val="center"/>
        <w:rPr>
          <w:rFonts w:ascii="Calibri" w:hAnsi="Calibri"/>
          <w:color w:val="0000FF"/>
          <w:sz w:val="16"/>
        </w:rPr>
      </w:pPr>
      <w:r>
        <w:rPr>
          <w:rFonts w:ascii="Calibri" w:hAnsi="Calibri"/>
          <w:color w:val="0000FF"/>
          <w:sz w:val="16"/>
        </w:rPr>
        <w:t>----------------------------------------------------------------------------------------------------</w:t>
      </w:r>
    </w:p>
    <w:p w14:paraId="746CE533" w14:textId="77777777" w:rsidR="00E95504" w:rsidRDefault="00E95504" w:rsidP="00E95504">
      <w:pPr>
        <w:jc w:val="center"/>
        <w:rPr>
          <w:rFonts w:ascii="Calibri" w:hAnsi="Calibri"/>
          <w:color w:val="0000FF"/>
          <w:sz w:val="16"/>
        </w:rPr>
      </w:pPr>
    </w:p>
    <w:p w14:paraId="2A4C675F" w14:textId="50266DCB" w:rsidR="00E95504" w:rsidRDefault="00E95504" w:rsidP="00E95504">
      <w:pPr>
        <w:rPr>
          <w:rFonts w:ascii="Calibri" w:hAnsi="Calibri"/>
          <w:b/>
          <w:color w:val="0000FF"/>
          <w:sz w:val="52"/>
        </w:rPr>
      </w:pPr>
      <w:r>
        <w:rPr>
          <w:rFonts w:ascii="Calibri" w:hAnsi="Calibri"/>
          <w:b/>
          <w:color w:val="0000FF"/>
          <w:sz w:val="52"/>
        </w:rPr>
        <w:t>Informe de Diagnóstico Empresarial</w:t>
      </w:r>
    </w:p>
    <w:p w14:paraId="07EB9914" w14:textId="745C4D6F" w:rsidR="00E95504" w:rsidRDefault="00E95504" w:rsidP="00E95504">
      <w:pPr>
        <w:rPr>
          <w:rFonts w:ascii="Calibri" w:hAnsi="Calibri"/>
          <w:color w:val="C0C0C0"/>
          <w:sz w:val="28"/>
        </w:rPr>
      </w:pPr>
      <w:r>
        <w:rPr>
          <w:rFonts w:ascii="Calibri" w:hAnsi="Calibri"/>
          <w:color w:val="C0C0C0"/>
          <w:sz w:val="28"/>
        </w:rPr>
        <w:t>Evaluación Integral — Julio 2026</w:t>
      </w:r>
    </w:p>
    <w:p w14:paraId="4CE996E5" w14:textId="77777777" w:rsidR="00E95504" w:rsidRDefault="00E95504" w:rsidP="00E95504">
      <w:pPr>
        <w:rPr>
          <w:rFonts w:ascii="Calibri" w:hAnsi="Calibri"/>
          <w:color w:val="C0C0C0"/>
          <w:sz w:val="28"/>
        </w:rPr>
      </w:pPr>
    </w:p>
    <w:p w14:paraId="3B9516A4" w14:textId="61926532" w:rsidR="00E95504" w:rsidRDefault="00E95504" w:rsidP="00E95504">
      <w:pPr>
        <w:rPr>
          <w:rFonts w:ascii="Calibri" w:hAnsi="Calibri"/>
          <w:color w:val="000080"/>
          <w:sz w:val="16"/>
        </w:rPr>
      </w:pPr>
      <w:r>
        <w:rPr>
          <w:rFonts w:ascii="Calibri" w:hAnsi="Calibri"/>
          <w:color w:val="000080"/>
          <w:sz w:val="16"/>
        </w:rPr>
        <w:t>----------------------------------------------------------------------------------------------------</w:t>
      </w:r>
    </w:p>
    <w:p w14:paraId="06198DF7" w14:textId="77777777" w:rsidR="00E95504" w:rsidRDefault="00E95504" w:rsidP="00E95504">
      <w:pPr>
        <w:rPr>
          <w:rFonts w:ascii="Calibri" w:hAnsi="Calibri"/>
          <w:color w:val="000080"/>
          <w:sz w:val="16"/>
        </w:rPr>
      </w:pPr>
    </w:p>
    <w:p w14:paraId="36D03A6D" w14:textId="554328E0" w:rsidR="00E95504" w:rsidRDefault="00E95504" w:rsidP="00E95504">
      <w:pPr>
        <w:rPr>
          <w:rFonts w:ascii="Calibri" w:hAnsi="Calibri"/>
          <w:color w:val="C0C0C0"/>
          <w:sz w:val="22"/>
        </w:rPr>
      </w:pPr>
      <w:r>
        <w:rPr>
          <w:rFonts w:ascii="Calibri" w:hAnsi="Calibri"/>
          <w:b/>
          <w:color w:val="0000FF"/>
          <w:sz w:val="22"/>
        </w:rPr>
        <w:t xml:space="preserve">EMPRESA:  </w:t>
      </w:r>
      <w:r>
        <w:rPr>
          <w:rFonts w:ascii="Calibri" w:hAnsi="Calibri"/>
          <w:color w:val="C0C0C0"/>
          <w:sz w:val="22"/>
        </w:rPr>
        <w:t>Industrias del Norte S.A.</w:t>
      </w:r>
    </w:p>
    <w:p w14:paraId="3CDCD93D" w14:textId="7322AF9E" w:rsidR="00E95504" w:rsidRDefault="00E95504" w:rsidP="00E95504">
      <w:pPr>
        <w:rPr>
          <w:rFonts w:ascii="Calibri" w:hAnsi="Calibri"/>
          <w:color w:val="C0C0C0"/>
          <w:sz w:val="22"/>
        </w:rPr>
      </w:pPr>
      <w:r>
        <w:rPr>
          <w:rFonts w:ascii="Calibri" w:hAnsi="Calibri"/>
          <w:b/>
          <w:color w:val="0000FF"/>
          <w:sz w:val="22"/>
        </w:rPr>
        <w:t xml:space="preserve">SECTOR:     </w:t>
      </w:r>
      <w:r>
        <w:rPr>
          <w:rFonts w:ascii="Calibri" w:hAnsi="Calibri"/>
          <w:color w:val="C0C0C0"/>
          <w:sz w:val="22"/>
        </w:rPr>
        <w:t>Manufactura industrial — PyME (50 empleados)</w:t>
      </w:r>
    </w:p>
    <w:p w14:paraId="788548DE" w14:textId="145E0180" w:rsidR="00E95504" w:rsidRDefault="00E95504" w:rsidP="00E95504">
      <w:pPr>
        <w:rPr>
          <w:rFonts w:ascii="Calibri" w:hAnsi="Calibri"/>
          <w:color w:val="C0C0C0"/>
          <w:sz w:val="22"/>
        </w:rPr>
      </w:pPr>
      <w:r>
        <w:rPr>
          <w:rFonts w:ascii="Calibri" w:hAnsi="Calibri"/>
          <w:b/>
          <w:color w:val="0000FF"/>
          <w:sz w:val="22"/>
        </w:rPr>
        <w:t xml:space="preserve">FECHA:       </w:t>
      </w:r>
      <w:r>
        <w:rPr>
          <w:rFonts w:ascii="Calibri" w:hAnsi="Calibri"/>
          <w:color w:val="C0C0C0"/>
          <w:sz w:val="22"/>
        </w:rPr>
        <w:t>15–22 de julio de 2026</w:t>
      </w:r>
    </w:p>
    <w:p w14:paraId="5493702C" w14:textId="77777777" w:rsidR="00E95504" w:rsidRDefault="00E95504" w:rsidP="00E95504">
      <w:pPr>
        <w:rPr>
          <w:rFonts w:ascii="Calibri" w:hAnsi="Calibri"/>
          <w:color w:val="C0C0C0"/>
          <w:sz w:val="22"/>
        </w:rPr>
      </w:pPr>
    </w:p>
    <w:p w14:paraId="27AE93B8" w14:textId="77777777" w:rsidR="00E95504" w:rsidRDefault="00E95504" w:rsidP="00E95504">
      <w:pPr>
        <w:rPr>
          <w:rFonts w:ascii="Calibri" w:hAnsi="Calibri"/>
          <w:color w:val="C0C0C0"/>
          <w:sz w:val="22"/>
        </w:rPr>
      </w:pPr>
    </w:p>
    <w:p w14:paraId="2ED8C4DF" w14:textId="4D05642C" w:rsidR="00E95504" w:rsidRDefault="00E95504" w:rsidP="00E95504">
      <w:pPr>
        <w:rPr>
          <w:rFonts w:ascii="Calibri" w:hAnsi="Calibri"/>
          <w:b/>
          <w:color w:val="0000FF"/>
          <w:sz w:val="36"/>
        </w:rPr>
      </w:pPr>
      <w:r>
        <w:rPr>
          <w:rFonts w:ascii="Calibri" w:hAnsi="Calibri"/>
          <w:b/>
          <w:color w:val="0000FF"/>
          <w:sz w:val="36"/>
        </w:rPr>
        <w:t>1. Resumen Ejecutivo</w:t>
      </w:r>
    </w:p>
    <w:p w14:paraId="62153837" w14:textId="77777777" w:rsidR="00E95504" w:rsidRDefault="00E95504" w:rsidP="00E95504">
      <w:pPr>
        <w:rPr>
          <w:rFonts w:ascii="Calibri" w:hAnsi="Calibri"/>
          <w:b/>
          <w:color w:val="0000FF"/>
          <w:sz w:val="36"/>
        </w:rPr>
      </w:pPr>
    </w:p>
    <w:p w14:paraId="08437CD6" w14:textId="726FCAE7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Industrias del Norte S.A. es una PyME manufacturera con 50 empleados y una facturación anual de . La empresa viene creciendo a un ritmo sostenido del 12% anual, pero en los últimos dos ejercicios el margen neto se ha reducido del 9% al 4,5%, generando una tensión financiera creciente.</w:t>
      </w:r>
    </w:p>
    <w:p w14:paraId="2215F554" w14:textId="77777777" w:rsidR="00E95504" w:rsidRDefault="00E95504" w:rsidP="00E95504">
      <w:pPr>
        <w:rPr>
          <w:rFonts w:ascii="Calibri" w:hAnsi="Calibri"/>
          <w:sz w:val="22"/>
        </w:rPr>
      </w:pPr>
    </w:p>
    <w:p w14:paraId="79ACD48D" w14:textId="55CD6AB0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Este diagnóstico identificó tres problemas centrales que explican el 78% de la caída en rentabilidad, y recomienda acciones concretas para cada uno. El diagnóstico se realizó en 7 días hábiles utilizando metodologías de clase mundial potenciadas por inteligencia artificial.</w:t>
      </w:r>
    </w:p>
    <w:p w14:paraId="6A80E3E3" w14:textId="77777777" w:rsidR="00E95504" w:rsidRDefault="00E95504" w:rsidP="00E95504">
      <w:pPr>
        <w:rPr>
          <w:rFonts w:ascii="Calibri" w:hAnsi="Calibri"/>
          <w:sz w:val="22"/>
        </w:rPr>
      </w:pPr>
    </w:p>
    <w:p w14:paraId="18F5684C" w14:textId="19AEE77B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Conclusiones principales:</w:t>
      </w:r>
    </w:p>
    <w:p w14:paraId="390D46E7" w14:textId="57F882FC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 xml:space="preserve">1. Estructura de costos distorsionada. </w:t>
      </w:r>
      <w:r>
        <w:rPr>
          <w:rFonts w:ascii="Calibri" w:hAnsi="Calibri"/>
          <w:sz w:val="22"/>
        </w:rPr>
        <w:t>El costo de materias primas pasó del 41% al 47% de los ingresos. La causa no es inflación general sino falta de revisión de proveedores.</w:t>
      </w:r>
    </w:p>
    <w:p w14:paraId="0AAAC2B2" w14:textId="028D0A7E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 xml:space="preserve">2. Capital de trabajo inmovilizado. </w:t>
      </w:r>
      <w:r>
        <w:rPr>
          <w:rFonts w:ascii="Calibri" w:hAnsi="Calibri"/>
          <w:sz w:val="22"/>
        </w:rPr>
        <w:t>La rotación de inventarios cayó de 12 a 7 veces al año, inmovilizando ,2M en capital ocioso.</w:t>
      </w:r>
    </w:p>
    <w:p w14:paraId="3BF1EDC1" w14:textId="2B1DD89C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 xml:space="preserve">3. Financiamiento ineficiente. </w:t>
      </w:r>
      <w:r>
        <w:rPr>
          <w:rFonts w:ascii="Calibri" w:hAnsi="Calibri"/>
          <w:sz w:val="22"/>
        </w:rPr>
        <w:t>El 65% del financiamiento proviene de proveedores a una tasa implícita del 17% anual, cuando el banco ofrece una línea al 11%.</w:t>
      </w:r>
    </w:p>
    <w:p w14:paraId="600EBCD1" w14:textId="77777777" w:rsidR="00E95504" w:rsidRDefault="00E95504" w:rsidP="00E95504">
      <w:pPr>
        <w:rPr>
          <w:rFonts w:ascii="Calibri" w:hAnsi="Calibri"/>
          <w:sz w:val="22"/>
        </w:rPr>
      </w:pPr>
    </w:p>
    <w:p w14:paraId="1A1A9EB0" w14:textId="77777777" w:rsidR="00E95504" w:rsidRDefault="00E95504" w:rsidP="00E95504">
      <w:pPr>
        <w:rPr>
          <w:rFonts w:ascii="Calibri" w:hAnsi="Calibri"/>
          <w:sz w:val="22"/>
        </w:rPr>
      </w:pPr>
    </w:p>
    <w:p w14:paraId="4CDAA71C" w14:textId="7B49C159" w:rsidR="00E95504" w:rsidRDefault="00E95504" w:rsidP="00E95504">
      <w:pPr>
        <w:rPr>
          <w:rFonts w:ascii="Calibri" w:hAnsi="Calibri"/>
          <w:color w:val="000080"/>
          <w:sz w:val="16"/>
        </w:rPr>
      </w:pPr>
      <w:r>
        <w:rPr>
          <w:rFonts w:ascii="Calibri" w:hAnsi="Calibri"/>
          <w:color w:val="000080"/>
          <w:sz w:val="16"/>
        </w:rPr>
        <w:t>----------------------------------------------------------------------------------------------------</w:t>
      </w:r>
    </w:p>
    <w:p w14:paraId="1B048A25" w14:textId="77777777" w:rsidR="00E95504" w:rsidRDefault="00E95504" w:rsidP="00E95504">
      <w:pPr>
        <w:rPr>
          <w:rFonts w:ascii="Calibri" w:hAnsi="Calibri"/>
          <w:color w:val="000080"/>
          <w:sz w:val="16"/>
        </w:rPr>
      </w:pPr>
    </w:p>
    <w:p w14:paraId="2CB90612" w14:textId="512AA7DF" w:rsidR="00E95504" w:rsidRDefault="00E95504" w:rsidP="00E95504">
      <w:pPr>
        <w:rPr>
          <w:rFonts w:ascii="Calibri" w:hAnsi="Calibri"/>
          <w:b/>
          <w:color w:val="0000FF"/>
          <w:sz w:val="36"/>
        </w:rPr>
      </w:pPr>
      <w:r>
        <w:rPr>
          <w:rFonts w:ascii="Calibri" w:hAnsi="Calibri"/>
          <w:b/>
          <w:color w:val="0000FF"/>
          <w:sz w:val="36"/>
        </w:rPr>
        <w:t>2. Hallazgos Clave</w:t>
      </w:r>
    </w:p>
    <w:p w14:paraId="2969550B" w14:textId="77777777" w:rsidR="00E95504" w:rsidRDefault="00E95504" w:rsidP="00E95504">
      <w:pPr>
        <w:rPr>
          <w:rFonts w:ascii="Calibri" w:hAnsi="Calibri"/>
          <w:b/>
          <w:color w:val="0000FF"/>
          <w:sz w:val="36"/>
        </w:rPr>
      </w:pPr>
    </w:p>
    <w:p w14:paraId="44A9727D" w14:textId="339A02B2" w:rsidR="00E95504" w:rsidRDefault="00E95504" w:rsidP="00E95504">
      <w:pPr>
        <w:rPr>
          <w:rFonts w:ascii="Calibri" w:hAnsi="Calibri"/>
          <w:b/>
          <w:color w:val="0000FF"/>
          <w:sz w:val="26"/>
        </w:rPr>
      </w:pPr>
      <w:r>
        <w:rPr>
          <w:rFonts w:ascii="Calibri" w:hAnsi="Calibri"/>
          <w:b/>
          <w:color w:val="0000FF"/>
          <w:sz w:val="26"/>
        </w:rPr>
        <w:t>Hallazgo 1: Incremento no controlado en costos de materias primas</w:t>
      </w:r>
    </w:p>
    <w:p w14:paraId="0C973D19" w14:textId="77777777" w:rsidR="00E95504" w:rsidRDefault="00E95504" w:rsidP="00E95504">
      <w:pPr>
        <w:rPr>
          <w:rFonts w:ascii="Calibri" w:hAnsi="Calibri"/>
          <w:b/>
          <w:color w:val="0000FF"/>
          <w:sz w:val="26"/>
        </w:rPr>
      </w:pPr>
    </w:p>
    <w:p w14:paraId="6FA724EB" w14:textId="0F3B7C9B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 xml:space="preserve">Evidencia: </w:t>
      </w:r>
      <w:r>
        <w:rPr>
          <w:rFonts w:ascii="Calibri" w:hAnsi="Calibri"/>
          <w:sz w:val="22"/>
        </w:rPr>
        <w:t>El costo de materias primas pasó de representar el 41% de los ingresos (2024) al 47% (2026). Solo 2 de los 12 proveedores principales aumentaron sus precios por encima de la inflación del sector. El resto se mantuvo estable o incluso redujo precios.</w:t>
      </w:r>
    </w:p>
    <w:p w14:paraId="2F36763F" w14:textId="77777777" w:rsidR="00E95504" w:rsidRDefault="00E95504" w:rsidP="00E95504">
      <w:pPr>
        <w:rPr>
          <w:rFonts w:ascii="Calibri" w:hAnsi="Calibri"/>
          <w:sz w:val="22"/>
        </w:rPr>
      </w:pPr>
    </w:p>
    <w:p w14:paraId="10A2CA51" w14:textId="18E2FC78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 xml:space="preserve">Implicancia: </w:t>
      </w:r>
      <w:r>
        <w:rPr>
          <w:rFonts w:ascii="Calibri" w:hAnsi="Calibri"/>
          <w:sz w:val="22"/>
        </w:rPr>
        <w:t>Si se hubiera mantenido la estructura de costos de 2024, el margen bruto actual sería 5,2 puntos porcentuales más alto, equivalente a ,4M adicionales de utilidad bruta anual.</w:t>
      </w:r>
    </w:p>
    <w:p w14:paraId="29C2C18D" w14:textId="77777777" w:rsidR="00E95504" w:rsidRDefault="00E95504" w:rsidP="00E95504">
      <w:pPr>
        <w:rPr>
          <w:rFonts w:ascii="Calibri" w:hAnsi="Calibri"/>
          <w:sz w:val="22"/>
        </w:rPr>
      </w:pPr>
    </w:p>
    <w:p w14:paraId="118EC0D1" w14:textId="71E038BD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b/>
          <w:color w:val="0000FF"/>
          <w:sz w:val="22"/>
        </w:rPr>
        <w:t xml:space="preserve">Recomendación: </w:t>
      </w:r>
      <w:r>
        <w:rPr>
          <w:rFonts w:ascii="Calibri" w:hAnsi="Calibri"/>
          <w:sz w:val="22"/>
        </w:rPr>
        <w:t>Realizar una revisión integral de la política de compras. Se identificaron 4 proveedores alternativos con precios 8–12% más bajos. Prioridad alta. Horizonte: 30–60 días.</w:t>
      </w:r>
    </w:p>
    <w:p w14:paraId="555EF66E" w14:textId="77777777" w:rsidR="00E95504" w:rsidRDefault="00E95504" w:rsidP="00E95504">
      <w:pPr>
        <w:rPr>
          <w:rFonts w:ascii="Calibri" w:hAnsi="Calibri"/>
          <w:sz w:val="22"/>
        </w:rPr>
      </w:pPr>
    </w:p>
    <w:p w14:paraId="7B98FCE9" w14:textId="77777777" w:rsidR="00E95504" w:rsidRDefault="00E95504" w:rsidP="00E95504">
      <w:pPr>
        <w:rPr>
          <w:rFonts w:ascii="Calibri" w:hAnsi="Calibri"/>
          <w:sz w:val="22"/>
        </w:rPr>
      </w:pPr>
    </w:p>
    <w:p w14:paraId="181F644E" w14:textId="0757C53A" w:rsidR="00E95504" w:rsidRDefault="00E95504" w:rsidP="00E95504">
      <w:pPr>
        <w:rPr>
          <w:rFonts w:ascii="Calibri" w:hAnsi="Calibri"/>
          <w:b/>
          <w:color w:val="0000FF"/>
          <w:sz w:val="26"/>
        </w:rPr>
      </w:pPr>
      <w:r>
        <w:rPr>
          <w:rFonts w:ascii="Calibri" w:hAnsi="Calibri"/>
          <w:b/>
          <w:color w:val="0000FF"/>
          <w:sz w:val="26"/>
        </w:rPr>
        <w:t>Hallazgo 2: Baja rotación de inventarios</w:t>
      </w:r>
    </w:p>
    <w:p w14:paraId="2BD4799E" w14:textId="77777777" w:rsidR="00E95504" w:rsidRDefault="00E95504" w:rsidP="00E95504">
      <w:pPr>
        <w:rPr>
          <w:rFonts w:ascii="Calibri" w:hAnsi="Calibri"/>
          <w:b/>
          <w:color w:val="0000FF"/>
          <w:sz w:val="26"/>
        </w:rPr>
      </w:pPr>
    </w:p>
    <w:p w14:paraId="6E5CA68F" w14:textId="774F5747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 xml:space="preserve">Evidencia: </w:t>
      </w:r>
      <w:r>
        <w:rPr>
          <w:rFonts w:ascii="Calibri" w:hAnsi="Calibri"/>
          <w:sz w:val="22"/>
        </w:rPr>
        <w:t>La rotación de inventarios pasó de 12 veces al año (2024) a 7 veces (2026). El 35% del inventario actual tiene más de 180 días de antigüedad, y 3 líneas de producto representan el 70% del stock inmovilizado.</w:t>
      </w:r>
    </w:p>
    <w:p w14:paraId="1DDAD5E3" w14:textId="77777777" w:rsidR="00E95504" w:rsidRDefault="00E95504" w:rsidP="00E95504">
      <w:pPr>
        <w:rPr>
          <w:rFonts w:ascii="Calibri" w:hAnsi="Calibri"/>
          <w:sz w:val="22"/>
        </w:rPr>
      </w:pPr>
    </w:p>
    <w:p w14:paraId="57B2ECB6" w14:textId="74E819BE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 xml:space="preserve">Implicancia: </w:t>
      </w:r>
      <w:r>
        <w:rPr>
          <w:rFonts w:ascii="Calibri" w:hAnsi="Calibri"/>
          <w:sz w:val="22"/>
        </w:rPr>
        <w:t>Hay ,2M inmovilizados en inventario de baja rotación. El costo financiero de mantener este stock es de aproximadamente .000 por año.</w:t>
      </w:r>
    </w:p>
    <w:p w14:paraId="6B1DEC37" w14:textId="77777777" w:rsidR="00E95504" w:rsidRDefault="00E95504" w:rsidP="00E95504">
      <w:pPr>
        <w:rPr>
          <w:rFonts w:ascii="Calibri" w:hAnsi="Calibri"/>
          <w:sz w:val="22"/>
        </w:rPr>
      </w:pPr>
    </w:p>
    <w:p w14:paraId="5A9ABE35" w14:textId="2DE6BBFA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b/>
          <w:color w:val="0000FF"/>
          <w:sz w:val="22"/>
        </w:rPr>
        <w:t xml:space="preserve">Recomendación: </w:t>
      </w:r>
      <w:r>
        <w:rPr>
          <w:rFonts w:ascii="Calibri" w:hAnsi="Calibri"/>
          <w:sz w:val="22"/>
        </w:rPr>
        <w:t>Implementar un sistema de revisión de inventarios ABC con alertas automáticas. Liquidar el 60% del stock con más de 180 días. Prioridad alta. Horizonte: 60–90 días.</w:t>
      </w:r>
    </w:p>
    <w:p w14:paraId="57073BCC" w14:textId="77777777" w:rsidR="00E95504" w:rsidRDefault="00E95504" w:rsidP="00E95504">
      <w:pPr>
        <w:rPr>
          <w:rFonts w:ascii="Calibri" w:hAnsi="Calibri"/>
          <w:sz w:val="22"/>
        </w:rPr>
      </w:pPr>
    </w:p>
    <w:p w14:paraId="1BD630CC" w14:textId="77777777" w:rsidR="00E95504" w:rsidRDefault="00E95504" w:rsidP="00E95504">
      <w:pPr>
        <w:rPr>
          <w:rFonts w:ascii="Calibri" w:hAnsi="Calibri"/>
          <w:sz w:val="22"/>
        </w:rPr>
      </w:pPr>
    </w:p>
    <w:p w14:paraId="34BA75E3" w14:textId="704951F7" w:rsidR="00E95504" w:rsidRDefault="00E95504" w:rsidP="00E95504">
      <w:pPr>
        <w:rPr>
          <w:rFonts w:ascii="Calibri" w:hAnsi="Calibri"/>
          <w:b/>
          <w:color w:val="0000FF"/>
          <w:sz w:val="26"/>
        </w:rPr>
      </w:pPr>
      <w:r>
        <w:rPr>
          <w:rFonts w:ascii="Calibri" w:hAnsi="Calibri"/>
          <w:b/>
          <w:color w:val="0000FF"/>
          <w:sz w:val="26"/>
        </w:rPr>
        <w:t>Hallazgo 3: Dependencia de financiamiento caro</w:t>
      </w:r>
    </w:p>
    <w:p w14:paraId="227BCEF4" w14:textId="77777777" w:rsidR="00E95504" w:rsidRDefault="00E95504" w:rsidP="00E95504">
      <w:pPr>
        <w:rPr>
          <w:rFonts w:ascii="Calibri" w:hAnsi="Calibri"/>
          <w:b/>
          <w:color w:val="0000FF"/>
          <w:sz w:val="26"/>
        </w:rPr>
      </w:pPr>
    </w:p>
    <w:p w14:paraId="794857D5" w14:textId="30C84618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 xml:space="preserve">Evidencia: </w:t>
      </w:r>
      <w:r>
        <w:rPr>
          <w:rFonts w:ascii="Calibri" w:hAnsi="Calibri"/>
          <w:sz w:val="22"/>
        </w:rPr>
        <w:t>El 65% del financiamiento de corto plazo proviene de proveedores a una tasa implícita del 17% anual. El banco ofrece una línea al 11% anual, actualmente utilizada solo al 20% de su capacidad.</w:t>
      </w:r>
    </w:p>
    <w:p w14:paraId="43B84256" w14:textId="77777777" w:rsidR="00E95504" w:rsidRDefault="00E95504" w:rsidP="00E95504">
      <w:pPr>
        <w:rPr>
          <w:rFonts w:ascii="Calibri" w:hAnsi="Calibri"/>
          <w:sz w:val="22"/>
        </w:rPr>
      </w:pPr>
    </w:p>
    <w:p w14:paraId="3944C223" w14:textId="15F4605C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 xml:space="preserve">Implicancia: </w:t>
      </w:r>
      <w:r>
        <w:rPr>
          <w:rFonts w:ascii="Calibri" w:hAnsi="Calibri"/>
          <w:sz w:val="22"/>
        </w:rPr>
        <w:t>La diferencia de 6 puntos porcentuales representa un sobrecosto financiero estimado de .000 anuales.</w:t>
      </w:r>
    </w:p>
    <w:p w14:paraId="2ADE8AC1" w14:textId="77777777" w:rsidR="00E95504" w:rsidRDefault="00E95504" w:rsidP="00E95504">
      <w:pPr>
        <w:rPr>
          <w:rFonts w:ascii="Calibri" w:hAnsi="Calibri"/>
          <w:sz w:val="22"/>
        </w:rPr>
      </w:pPr>
    </w:p>
    <w:p w14:paraId="131F1C85" w14:textId="2E27095C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b/>
          <w:color w:val="0000FF"/>
          <w:sz w:val="22"/>
        </w:rPr>
        <w:t xml:space="preserve">Recomendación: </w:t>
      </w:r>
      <w:r>
        <w:rPr>
          <w:rFonts w:ascii="Calibri" w:hAnsi="Calibri"/>
          <w:sz w:val="22"/>
        </w:rPr>
        <w:t>Aumentar el uso de la línea bancaria al 70% de su capacidad y reducir la dependencia de proveedores al 35%. Prioridad alta. Horizonte: 15–30 días.</w:t>
      </w:r>
    </w:p>
    <w:p w14:paraId="284D7D0C" w14:textId="77777777" w:rsidR="00E95504" w:rsidRDefault="00E95504" w:rsidP="00E95504">
      <w:pPr>
        <w:rPr>
          <w:rFonts w:ascii="Calibri" w:hAnsi="Calibri"/>
          <w:sz w:val="22"/>
        </w:rPr>
      </w:pPr>
    </w:p>
    <w:p w14:paraId="357EF37D" w14:textId="77777777" w:rsidR="00E95504" w:rsidRDefault="00E95504" w:rsidP="00E95504">
      <w:pPr>
        <w:rPr>
          <w:rFonts w:ascii="Calibri" w:hAnsi="Calibri"/>
          <w:sz w:val="22"/>
        </w:rPr>
      </w:pPr>
    </w:p>
    <w:p w14:paraId="2D6AED4B" w14:textId="7A1E22AB" w:rsidR="00E95504" w:rsidRDefault="00E95504" w:rsidP="00E95504">
      <w:pPr>
        <w:rPr>
          <w:rFonts w:ascii="Calibri" w:hAnsi="Calibri"/>
          <w:color w:val="000080"/>
          <w:sz w:val="16"/>
        </w:rPr>
      </w:pPr>
      <w:r>
        <w:rPr>
          <w:rFonts w:ascii="Calibri" w:hAnsi="Calibri"/>
          <w:color w:val="000080"/>
          <w:sz w:val="16"/>
        </w:rPr>
        <w:t>----------------------------------------------------------------------------------------------------</w:t>
      </w:r>
    </w:p>
    <w:p w14:paraId="343681CB" w14:textId="77777777" w:rsidR="00E95504" w:rsidRDefault="00E95504" w:rsidP="00E95504">
      <w:pPr>
        <w:rPr>
          <w:rFonts w:ascii="Calibri" w:hAnsi="Calibri"/>
          <w:color w:val="000080"/>
          <w:sz w:val="16"/>
        </w:rPr>
      </w:pPr>
    </w:p>
    <w:p w14:paraId="61E51D5E" w14:textId="2DA49337" w:rsidR="00E95504" w:rsidRDefault="00E95504" w:rsidP="00E95504">
      <w:pPr>
        <w:rPr>
          <w:rFonts w:ascii="Calibri" w:hAnsi="Calibri"/>
          <w:b/>
          <w:color w:val="0000FF"/>
          <w:sz w:val="36"/>
        </w:rPr>
      </w:pPr>
      <w:r>
        <w:rPr>
          <w:rFonts w:ascii="Calibri" w:hAnsi="Calibri"/>
          <w:b/>
          <w:color w:val="0000FF"/>
          <w:sz w:val="36"/>
        </w:rPr>
        <w:t>3. Riesgos Identificados</w:t>
      </w:r>
    </w:p>
    <w:p w14:paraId="13521A41" w14:textId="77777777" w:rsidR="00E95504" w:rsidRDefault="00E95504" w:rsidP="00E95504">
      <w:pPr>
        <w:rPr>
          <w:rFonts w:ascii="Calibri" w:hAnsi="Calibri"/>
          <w:b/>
          <w:color w:val="0000FF"/>
          <w:sz w:val="36"/>
        </w:rPr>
      </w:pPr>
    </w:p>
    <w:p w14:paraId="764F5365" w14:textId="5C3F3C7B" w:rsidR="00E95504" w:rsidRDefault="00E95504" w:rsidP="00E95504">
      <w:pPr>
        <w:rPr>
          <w:rFonts w:ascii="Calibri" w:hAnsi="Calibri"/>
          <w:b/>
          <w:color w:val="0000FF"/>
          <w:sz w:val="22"/>
        </w:rPr>
      </w:pPr>
      <w:r>
        <w:rPr>
          <w:rFonts w:ascii="Calibri" w:hAnsi="Calibri"/>
          <w:b/>
          <w:color w:val="0000FF"/>
          <w:sz w:val="22"/>
        </w:rPr>
        <w:t>Riesgo 1 — Concentración de ingresos</w:t>
      </w:r>
    </w:p>
    <w:p w14:paraId="7CB2983E" w14:textId="6A8780C7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Los 3 principales clientes representan el 62% de la facturación. Uno redujo sus compras un 18% en el último trimestre. Probabilidad: alta. Horizonte: 6 meses.</w:t>
      </w:r>
    </w:p>
    <w:p w14:paraId="7F1A4DB5" w14:textId="77777777" w:rsidR="00E95504" w:rsidRDefault="00E95504" w:rsidP="00E95504">
      <w:pPr>
        <w:rPr>
          <w:rFonts w:ascii="Calibri" w:hAnsi="Calibri"/>
          <w:sz w:val="22"/>
        </w:rPr>
      </w:pPr>
    </w:p>
    <w:p w14:paraId="15B34E34" w14:textId="1ACBE17B" w:rsidR="00E95504" w:rsidRDefault="00E95504" w:rsidP="00E95504">
      <w:pPr>
        <w:rPr>
          <w:rFonts w:ascii="Calibri" w:hAnsi="Calibri"/>
          <w:b/>
          <w:color w:val="0000FF"/>
          <w:sz w:val="22"/>
        </w:rPr>
      </w:pPr>
      <w:r>
        <w:rPr>
          <w:rFonts w:ascii="Calibri" w:hAnsi="Calibri"/>
          <w:b/>
          <w:color w:val="0000FF"/>
          <w:sz w:val="22"/>
        </w:rPr>
        <w:t>Riesgo 2 — Margen neto decreciente</w:t>
      </w:r>
    </w:p>
    <w:p w14:paraId="05EC138C" w14:textId="4CB6A4EB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Si la tendencia actual se mantiene, en 12–18 meses el margen podría volverse negativo. Probabilidad: media. Horizonte: 12–18 meses.</w:t>
      </w:r>
    </w:p>
    <w:p w14:paraId="0FD054A9" w14:textId="77777777" w:rsidR="00E95504" w:rsidRDefault="00E95504" w:rsidP="00E95504">
      <w:pPr>
        <w:rPr>
          <w:rFonts w:ascii="Calibri" w:hAnsi="Calibri"/>
          <w:sz w:val="22"/>
        </w:rPr>
      </w:pPr>
    </w:p>
    <w:p w14:paraId="7FE8D0A8" w14:textId="77777777" w:rsidR="00E95504" w:rsidRDefault="00E95504" w:rsidP="00E95504">
      <w:pPr>
        <w:rPr>
          <w:rFonts w:ascii="Calibri" w:hAnsi="Calibri"/>
          <w:sz w:val="22"/>
        </w:rPr>
      </w:pPr>
    </w:p>
    <w:p w14:paraId="21879DEC" w14:textId="6AC23734" w:rsidR="00E95504" w:rsidRDefault="00E95504" w:rsidP="00E95504">
      <w:pPr>
        <w:rPr>
          <w:rFonts w:ascii="Calibri" w:hAnsi="Calibri"/>
          <w:color w:val="000080"/>
          <w:sz w:val="16"/>
        </w:rPr>
      </w:pPr>
      <w:r>
        <w:rPr>
          <w:rFonts w:ascii="Calibri" w:hAnsi="Calibri"/>
          <w:color w:val="000080"/>
          <w:sz w:val="16"/>
        </w:rPr>
        <w:t>----------------------------------------------------------------------------------------------------</w:t>
      </w:r>
    </w:p>
    <w:p w14:paraId="465112F5" w14:textId="77777777" w:rsidR="00E95504" w:rsidRDefault="00E95504" w:rsidP="00E95504">
      <w:pPr>
        <w:rPr>
          <w:rFonts w:ascii="Calibri" w:hAnsi="Calibri"/>
          <w:color w:val="000080"/>
          <w:sz w:val="16"/>
        </w:rPr>
      </w:pPr>
    </w:p>
    <w:p w14:paraId="583D0295" w14:textId="379905CA" w:rsidR="00E95504" w:rsidRDefault="00E95504" w:rsidP="00E95504">
      <w:pPr>
        <w:rPr>
          <w:rFonts w:ascii="Calibri" w:hAnsi="Calibri"/>
          <w:b/>
          <w:color w:val="0000FF"/>
          <w:sz w:val="36"/>
        </w:rPr>
      </w:pPr>
      <w:r>
        <w:rPr>
          <w:rFonts w:ascii="Calibri" w:hAnsi="Calibri"/>
          <w:b/>
          <w:color w:val="0000FF"/>
          <w:sz w:val="36"/>
        </w:rPr>
        <w:t>4. Recomendaciones Priorizadas</w:t>
      </w:r>
    </w:p>
    <w:p w14:paraId="3BA56714" w14:textId="77777777" w:rsidR="00E95504" w:rsidRDefault="00E95504" w:rsidP="00E95504">
      <w:pPr>
        <w:rPr>
          <w:rFonts w:ascii="Calibri" w:hAnsi="Calibri"/>
          <w:b/>
          <w:color w:val="0000FF"/>
          <w:sz w:val="36"/>
        </w:rPr>
      </w:pPr>
    </w:p>
    <w:p w14:paraId="128D4D08" w14:textId="51D0DA5C" w:rsidR="00E95504" w:rsidRDefault="00E95504" w:rsidP="00E95504">
      <w:pPr>
        <w:rPr>
          <w:rFonts w:ascii="Calibri" w:hAnsi="Calibri"/>
          <w:b/>
          <w:color w:val="0000FF"/>
        </w:rPr>
      </w:pPr>
      <w:r>
        <w:rPr>
          <w:rFonts w:ascii="Calibri" w:hAnsi="Calibri"/>
          <w:b/>
          <w:color w:val="0000FF"/>
        </w:rPr>
        <w:t>1. ALTA — Revisión de estructura de compras</w:t>
      </w:r>
    </w:p>
    <w:p w14:paraId="7F6F9424" w14:textId="76932AED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Evaluar 4 proveedores alternativos identificados. Impacto: ahorro de ,8M–,4M anuales. Esfuerzo: bajo. Horizonte: 30–60 días.</w:t>
      </w:r>
    </w:p>
    <w:p w14:paraId="43A217F2" w14:textId="77777777" w:rsidR="00E95504" w:rsidRDefault="00E95504" w:rsidP="00E95504">
      <w:pPr>
        <w:rPr>
          <w:rFonts w:ascii="Calibri" w:hAnsi="Calibri"/>
          <w:sz w:val="22"/>
        </w:rPr>
      </w:pPr>
    </w:p>
    <w:p w14:paraId="347A36B1" w14:textId="4F90F42C" w:rsidR="00E95504" w:rsidRDefault="00E95504" w:rsidP="00E95504">
      <w:pPr>
        <w:rPr>
          <w:rFonts w:ascii="Calibri" w:hAnsi="Calibri"/>
          <w:b/>
          <w:color w:val="0000FF"/>
        </w:rPr>
      </w:pPr>
      <w:r>
        <w:rPr>
          <w:rFonts w:ascii="Calibri" w:hAnsi="Calibri"/>
          <w:b/>
          <w:color w:val="0000FF"/>
        </w:rPr>
        <w:t>2. ALTA — Reestructuración de financiamiento</w:t>
      </w:r>
    </w:p>
    <w:p w14:paraId="6093A7AE" w14:textId="1B94A756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Sustituir el 60% de financiamiento de proveedores por línea bancaria. Impacto: ahorro de .000 anuales. Esfuerzo: bajo. Horizonte: 15–30 días.</w:t>
      </w:r>
    </w:p>
    <w:p w14:paraId="4490E9C7" w14:textId="77777777" w:rsidR="00E95504" w:rsidRDefault="00E95504" w:rsidP="00E95504">
      <w:pPr>
        <w:rPr>
          <w:rFonts w:ascii="Calibri" w:hAnsi="Calibri"/>
          <w:sz w:val="22"/>
        </w:rPr>
      </w:pPr>
    </w:p>
    <w:p w14:paraId="761D4B95" w14:textId="5CE995F4" w:rsidR="00E95504" w:rsidRDefault="00E95504" w:rsidP="00E95504">
      <w:pPr>
        <w:rPr>
          <w:rFonts w:ascii="Calibri" w:hAnsi="Calibri"/>
          <w:b/>
          <w:color w:val="0000FF"/>
        </w:rPr>
      </w:pPr>
      <w:r>
        <w:rPr>
          <w:rFonts w:ascii="Calibri" w:hAnsi="Calibri"/>
          <w:b/>
          <w:color w:val="0000FF"/>
        </w:rPr>
        <w:t>3. MEDIA — Gestión de inventarios</w:t>
      </w:r>
    </w:p>
    <w:p w14:paraId="64103586" w14:textId="5CE24F23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Implementar sistema ABC y liquidar stock de baja rotación. Impacto: recuperación de ,2M en capital de trabajo. Horizonte: 60–90 días.</w:t>
      </w:r>
    </w:p>
    <w:p w14:paraId="15CE9B2A" w14:textId="77777777" w:rsidR="00E95504" w:rsidRDefault="00E95504" w:rsidP="00E95504">
      <w:pPr>
        <w:rPr>
          <w:rFonts w:ascii="Calibri" w:hAnsi="Calibri"/>
          <w:sz w:val="22"/>
        </w:rPr>
      </w:pPr>
    </w:p>
    <w:p w14:paraId="0E6182DF" w14:textId="4DE6538B" w:rsidR="00E95504" w:rsidRDefault="00E95504" w:rsidP="00E95504">
      <w:pPr>
        <w:rPr>
          <w:rFonts w:ascii="Calibri" w:hAnsi="Calibri"/>
          <w:b/>
          <w:color w:val="0000FF"/>
        </w:rPr>
      </w:pPr>
      <w:r>
        <w:rPr>
          <w:rFonts w:ascii="Calibri" w:hAnsi="Calibri"/>
          <w:b/>
          <w:color w:val="0000FF"/>
        </w:rPr>
        <w:t>4. MEDIA — Diversificación de cartera</w:t>
      </w:r>
    </w:p>
    <w:p w14:paraId="1720033D" w14:textId="4228F0A9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Incorporar 3 nuevos clientes objetivo para reducir concentración bajo 50%. Horizonte: 6–9 meses.</w:t>
      </w:r>
    </w:p>
    <w:p w14:paraId="5C306CE7" w14:textId="77777777" w:rsidR="00E95504" w:rsidRDefault="00E95504" w:rsidP="00E95504">
      <w:pPr>
        <w:rPr>
          <w:rFonts w:ascii="Calibri" w:hAnsi="Calibri"/>
          <w:sz w:val="22"/>
        </w:rPr>
      </w:pPr>
    </w:p>
    <w:p w14:paraId="3C996DBC" w14:textId="6513A461" w:rsidR="00E95504" w:rsidRDefault="00E95504" w:rsidP="00E95504">
      <w:pPr>
        <w:rPr>
          <w:rFonts w:ascii="Calibri" w:hAnsi="Calibri"/>
          <w:color w:val="000080"/>
          <w:sz w:val="16"/>
        </w:rPr>
      </w:pPr>
      <w:r>
        <w:rPr>
          <w:rFonts w:ascii="Calibri" w:hAnsi="Calibri"/>
          <w:color w:val="000080"/>
          <w:sz w:val="16"/>
        </w:rPr>
        <w:t>----------------------------------------------------------------------------------------------------</w:t>
      </w:r>
    </w:p>
    <w:p w14:paraId="40174AB3" w14:textId="77777777" w:rsidR="00E95504" w:rsidRDefault="00E95504" w:rsidP="00E95504">
      <w:pPr>
        <w:rPr>
          <w:rFonts w:ascii="Calibri" w:hAnsi="Calibri"/>
          <w:color w:val="000080"/>
          <w:sz w:val="16"/>
        </w:rPr>
      </w:pPr>
    </w:p>
    <w:p w14:paraId="183B331B" w14:textId="322447DC" w:rsidR="00E95504" w:rsidRDefault="00E95504" w:rsidP="00E95504">
      <w:pPr>
        <w:rPr>
          <w:rFonts w:ascii="Calibri" w:hAnsi="Calibri"/>
          <w:b/>
          <w:color w:val="0000FF"/>
          <w:sz w:val="36"/>
        </w:rPr>
      </w:pPr>
      <w:r>
        <w:rPr>
          <w:rFonts w:ascii="Calibri" w:hAnsi="Calibri"/>
          <w:b/>
          <w:color w:val="0000FF"/>
          <w:sz w:val="36"/>
        </w:rPr>
        <w:t>5. Próximos Pasos</w:t>
      </w:r>
    </w:p>
    <w:p w14:paraId="657150E4" w14:textId="77777777" w:rsidR="00E95504" w:rsidRDefault="00E95504" w:rsidP="00E95504">
      <w:pPr>
        <w:rPr>
          <w:rFonts w:ascii="Calibri" w:hAnsi="Calibri"/>
          <w:b/>
          <w:color w:val="0000FF"/>
          <w:sz w:val="36"/>
        </w:rPr>
      </w:pPr>
    </w:p>
    <w:p w14:paraId="790ABA0B" w14:textId="2B901FA0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Este diagnóstico es el punto de partida. Las recomendaciones están priorizadas por impacto y esfuerzo para que el equipo directivo pueda ejecutarlas de manera ordenada.</w:t>
      </w:r>
    </w:p>
    <w:p w14:paraId="266687A7" w14:textId="77777777" w:rsidR="00E95504" w:rsidRDefault="00E95504" w:rsidP="00E95504">
      <w:pPr>
        <w:rPr>
          <w:rFonts w:ascii="Calibri" w:hAnsi="Calibri"/>
          <w:sz w:val="22"/>
        </w:rPr>
      </w:pPr>
    </w:p>
    <w:p w14:paraId="24C71482" w14:textId="046A8E48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Klar Analytics no implementa soluciones. Nuestro valor es aportar claridad, objetividad y criterio para que cada organización pueda decidir con confianza cómo avanzar.</w:t>
      </w:r>
    </w:p>
    <w:p w14:paraId="019BB7F8" w14:textId="77777777" w:rsidR="00E95504" w:rsidRDefault="00E95504" w:rsidP="00E95504">
      <w:pPr>
        <w:rPr>
          <w:rFonts w:ascii="Calibri" w:hAnsi="Calibri"/>
          <w:sz w:val="22"/>
        </w:rPr>
      </w:pPr>
    </w:p>
    <w:p w14:paraId="2717F772" w14:textId="5D7C8EAE" w:rsidR="00E95504" w:rsidRDefault="00E95504" w:rsidP="00E9550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Para profundizar en cualquiera de los hallazgos, el equipo de Klar Analytics está disponible para una reunión de seguimiento sin cargo adicional.</w:t>
      </w:r>
    </w:p>
    <w:p w14:paraId="0CAEFF26" w14:textId="77777777" w:rsidR="00E95504" w:rsidRDefault="00E95504" w:rsidP="00E95504">
      <w:pPr>
        <w:rPr>
          <w:rFonts w:ascii="Calibri" w:hAnsi="Calibri"/>
          <w:sz w:val="22"/>
        </w:rPr>
      </w:pPr>
    </w:p>
    <w:p w14:paraId="1505DCFA" w14:textId="77777777" w:rsidR="00E95504" w:rsidRDefault="00E95504" w:rsidP="00E95504">
      <w:pPr>
        <w:rPr>
          <w:rFonts w:ascii="Calibri" w:hAnsi="Calibri"/>
          <w:sz w:val="22"/>
        </w:rPr>
      </w:pPr>
    </w:p>
    <w:p w14:paraId="69453FC0" w14:textId="20ABA00A" w:rsidR="00E95504" w:rsidRDefault="00E95504" w:rsidP="00E95504">
      <w:pPr>
        <w:rPr>
          <w:rFonts w:ascii="Calibri" w:hAnsi="Calibri"/>
          <w:color w:val="000080"/>
          <w:sz w:val="16"/>
        </w:rPr>
      </w:pPr>
      <w:r>
        <w:rPr>
          <w:rFonts w:ascii="Calibri" w:hAnsi="Calibri"/>
          <w:color w:val="000080"/>
          <w:sz w:val="16"/>
        </w:rPr>
        <w:t>----------------------------------------------------------------------------------------------------</w:t>
      </w:r>
    </w:p>
    <w:p w14:paraId="47A91F77" w14:textId="77777777" w:rsidR="00E95504" w:rsidRDefault="00E95504" w:rsidP="00E95504">
      <w:pPr>
        <w:rPr>
          <w:rFonts w:ascii="Calibri" w:hAnsi="Calibri"/>
          <w:color w:val="000080"/>
          <w:sz w:val="16"/>
        </w:rPr>
      </w:pPr>
    </w:p>
    <w:p w14:paraId="41350CBB" w14:textId="2B3648D0" w:rsidR="00E95504" w:rsidRDefault="00E95504" w:rsidP="00E95504">
      <w:pPr>
        <w:jc w:val="center"/>
        <w:rPr>
          <w:rFonts w:ascii="Calibri" w:hAnsi="Calibri"/>
          <w:b/>
          <w:color w:val="0000FF"/>
          <w:sz w:val="20"/>
        </w:rPr>
      </w:pPr>
      <w:r>
        <w:rPr>
          <w:rFonts w:ascii="Calibri" w:hAnsi="Calibri"/>
          <w:b/>
          <w:color w:val="0000FF"/>
          <w:sz w:val="20"/>
        </w:rPr>
        <w:t>Klar Analytics</w:t>
      </w:r>
    </w:p>
    <w:p w14:paraId="3820A250" w14:textId="56FF99BF" w:rsidR="00E95504" w:rsidRDefault="00E95504" w:rsidP="00E95504">
      <w:pPr>
        <w:jc w:val="center"/>
        <w:rPr>
          <w:rFonts w:ascii="Calibri" w:hAnsi="Calibri"/>
          <w:color w:val="C0C0C0"/>
          <w:sz w:val="16"/>
        </w:rPr>
      </w:pPr>
      <w:r>
        <w:rPr>
          <w:rFonts w:ascii="Calibri" w:hAnsi="Calibri"/>
          <w:color w:val="C0C0C0"/>
          <w:sz w:val="16"/>
        </w:rPr>
        <w:t>Diagnóstico Empresarial con Inteligencia Artificial</w:t>
      </w:r>
    </w:p>
    <w:p w14:paraId="4E8C2D08" w14:textId="72A85974" w:rsidR="00E95504" w:rsidRDefault="00E95504" w:rsidP="00E95504">
      <w:pPr>
        <w:jc w:val="center"/>
        <w:rPr>
          <w:rFonts w:ascii="Calibri" w:hAnsi="Calibri"/>
          <w:color w:val="C0C0C0"/>
          <w:sz w:val="16"/>
        </w:rPr>
      </w:pPr>
      <w:r>
        <w:rPr>
          <w:rFonts w:ascii="Calibri" w:hAnsi="Calibri"/>
          <w:color w:val="C0C0C0"/>
          <w:sz w:val="16"/>
        </w:rPr>
        <w:t>Confidencial — Preparado exclusivamente para Industrias del Norte S.A.</w:t>
      </w:r>
    </w:p>
    <w:p w14:paraId="2E8F9CEC" w14:textId="5683CED1" w:rsidR="00E95504" w:rsidRDefault="00E95504" w:rsidP="00E95504">
      <w:pPr>
        <w:jc w:val="center"/>
        <w:rPr>
          <w:rFonts w:ascii="Calibri" w:hAnsi="Calibri"/>
          <w:color w:val="C0C0C0"/>
          <w:sz w:val="14"/>
        </w:rPr>
      </w:pPr>
      <w:r>
        <w:rPr>
          <w:rFonts w:ascii="Calibri" w:hAnsi="Calibri"/>
          <w:color w:val="C0C0C0"/>
          <w:sz w:val="14"/>
        </w:rPr>
        <w:t>klaranalytics.com | info@klaranalytics.com</w:t>
      </w:r>
    </w:p>
    <w:p w14:paraId="79E22E93" w14:textId="77777777" w:rsidR="00E95504" w:rsidRPr="00E95504" w:rsidRDefault="00E95504" w:rsidP="00E95504">
      <w:pPr>
        <w:jc w:val="center"/>
        <w:rPr>
          <w:rFonts w:ascii="Calibri" w:hAnsi="Calibri"/>
          <w:color w:val="C0C0C0"/>
          <w:sz w:val="14"/>
        </w:rPr>
      </w:pPr>
    </w:p>
    <w:sectPr w:rsidR="00E95504" w:rsidRPr="00E95504" w:rsidSect="00E95504">
      <w:pgSz w:w="11906" w:h="16838"/>
      <w:pgMar w:top="1440" w:right="1728" w:bottom="1440" w:left="172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504"/>
    <w:rsid w:val="005E67A5"/>
    <w:rsid w:val="00E9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2931F"/>
  <w15:chartTrackingRefBased/>
  <w15:docId w15:val="{60B969EF-13DC-4448-960D-4002EDAC5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873</Words>
  <Characters>4807</Characters>
  <Application>Microsoft Office Word</Application>
  <DocSecurity>0</DocSecurity>
  <Lines>40</Lines>
  <Paragraphs>11</Paragraphs>
  <ScaleCrop>false</ScaleCrop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prado</dc:creator>
  <cp:keywords/>
  <dc:description/>
  <cp:lastModifiedBy>juan manuel prado</cp:lastModifiedBy>
  <cp:revision>1</cp:revision>
  <dcterms:created xsi:type="dcterms:W3CDTF">2026-06-15T19:04:00Z</dcterms:created>
  <dcterms:modified xsi:type="dcterms:W3CDTF">2026-06-15T19:04:00Z</dcterms:modified>
</cp:coreProperties>
</file>