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20"/>
        <w:jc w:val="center"/>
      </w:pPr>
      <w:r>
        <w:rPr>
          <w:rFonts w:ascii="Calibri" w:hAnsi="Calibri"/>
          <w:b/>
          <w:color w:val="134078"/>
          <w:sz w:val="44"/>
        </w:rPr>
        <w:t>INFORME DE DIAGNÓSTICO EMPRESARIAL</w:t>
      </w:r>
    </w:p>
    <w:p>
      <w:pPr>
        <w:spacing w:before="0" w:after="120"/>
      </w:pPr>
      <w:r>
        <w:rPr>
          <w:rFonts w:ascii="Calibri" w:hAnsi="Calibri"/>
          <w:b w:val="0"/>
          <w:color w:val="FFFFFF"/>
          <w:sz w:val="12"/>
        </w:rPr>
      </w:r>
    </w:p>
    <w:p>
      <w:pPr>
        <w:spacing w:before="0" w:after="120"/>
        <w:jc w:val="center"/>
      </w:pPr>
      <w:r>
        <w:rPr>
          <w:rFonts w:ascii="Calibri" w:hAnsi="Calibri"/>
          <w:b w:val="0"/>
          <w:color w:val="3182CE"/>
          <w:sz w:val="32"/>
        </w:rPr>
        <w:t>Consultora de Compliance</w:t>
      </w:r>
    </w:p>
    <w:p>
      <w:pPr>
        <w:spacing w:before="0" w:after="120"/>
        <w:jc w:val="center"/>
      </w:pPr>
      <w:r>
        <w:rPr>
          <w:rFonts w:ascii="Calibri" w:hAnsi="Calibri"/>
          <w:b w:val="0"/>
          <w:color w:val="9CA3AF"/>
          <w:sz w:val="24"/>
        </w:rPr>
        <w:t>Preparado por Klar Analytics</w:t>
      </w:r>
    </w:p>
    <w:p>
      <w:pPr>
        <w:spacing w:before="0" w:after="120"/>
        <w:jc w:val="center"/>
      </w:pPr>
      <w:r>
        <w:rPr>
          <w:rFonts w:ascii="Calibri" w:hAnsi="Calibri"/>
          <w:b w:val="0"/>
          <w:color w:val="9CA3AF"/>
          <w:sz w:val="22"/>
        </w:rPr>
        <w:t>Junio 2026</w:t>
      </w:r>
    </w:p>
    <w:p>
      <w:r>
        <w:br w:type="page"/>
      </w:r>
    </w:p>
    <w:p>
      <w:pPr>
        <w:spacing w:before="0" w:after="200"/>
      </w:pPr>
      <w:r>
        <w:rPr>
          <w:rFonts w:ascii="Calibri" w:hAnsi="Calibri"/>
          <w:b/>
          <w:color w:val="134078"/>
          <w:sz w:val="40"/>
        </w:rPr>
        <w:t>Índice</w:t>
      </w:r>
    </w:p>
    <w:p>
      <w:pPr>
        <w:spacing w:after="80"/>
      </w:pPr>
      <w:r>
        <w:rPr>
          <w:rFonts w:ascii="Calibri" w:hAnsi="Calibri"/>
          <w:b w:val="0"/>
          <w:color w:val="4B5563"/>
          <w:sz w:val="22"/>
        </w:rPr>
        <w:t>1.  Resumen Ejecutivo</w:t>
      </w:r>
    </w:p>
    <w:p>
      <w:pPr>
        <w:spacing w:after="80"/>
      </w:pPr>
      <w:r>
        <w:rPr>
          <w:rFonts w:ascii="Calibri" w:hAnsi="Calibri"/>
          <w:b w:val="0"/>
          <w:color w:val="4B5563"/>
          <w:sz w:val="22"/>
        </w:rPr>
        <w:t>2.  Estado General de la Empresa</w:t>
      </w:r>
    </w:p>
    <w:p>
      <w:pPr>
        <w:spacing w:after="80"/>
      </w:pPr>
      <w:r>
        <w:rPr>
          <w:rFonts w:ascii="Calibri" w:hAnsi="Calibri"/>
          <w:b w:val="0"/>
          <w:color w:val="4B5563"/>
          <w:sz w:val="22"/>
        </w:rPr>
        <w:t>3.  Principales Hallazgos</w:t>
      </w:r>
    </w:p>
    <w:p>
      <w:pPr>
        <w:spacing w:after="80"/>
      </w:pPr>
      <w:r>
        <w:rPr>
          <w:rFonts w:ascii="Calibri" w:hAnsi="Calibri"/>
          <w:b w:val="0"/>
          <w:color w:val="4B5563"/>
          <w:sz w:val="22"/>
        </w:rPr>
        <w:t>4.  Principales Riesgos</w:t>
      </w:r>
    </w:p>
    <w:p>
      <w:pPr>
        <w:spacing w:after="80"/>
      </w:pPr>
      <w:r>
        <w:rPr>
          <w:rFonts w:ascii="Calibri" w:hAnsi="Calibri"/>
          <w:b w:val="0"/>
          <w:color w:val="4B5563"/>
          <w:sz w:val="22"/>
        </w:rPr>
        <w:t>5.  Causas Raíz</w:t>
      </w:r>
    </w:p>
    <w:p>
      <w:pPr>
        <w:spacing w:after="80"/>
      </w:pPr>
      <w:r>
        <w:rPr>
          <w:rFonts w:ascii="Calibri" w:hAnsi="Calibri"/>
          <w:b w:val="0"/>
          <w:color w:val="4B5563"/>
          <w:sz w:val="22"/>
        </w:rPr>
        <w:t>6.  Oportunidades de Mejora</w:t>
      </w:r>
    </w:p>
    <w:p>
      <w:pPr>
        <w:spacing w:after="80"/>
      </w:pPr>
      <w:r>
        <w:rPr>
          <w:rFonts w:ascii="Calibri" w:hAnsi="Calibri"/>
          <w:b w:val="0"/>
          <w:color w:val="4B5563"/>
          <w:sz w:val="22"/>
        </w:rPr>
        <w:t>7.  Plan de Acción 90 Días</w:t>
      </w:r>
    </w:p>
    <w:p>
      <w:pPr>
        <w:spacing w:after="80"/>
      </w:pPr>
      <w:r>
        <w:rPr>
          <w:rFonts w:ascii="Calibri" w:hAnsi="Calibri"/>
          <w:b w:val="0"/>
          <w:color w:val="4B5563"/>
          <w:sz w:val="22"/>
        </w:rPr>
        <w:t>8.  Roadmap Estratégico</w:t>
      </w:r>
    </w:p>
    <w:p>
      <w:pPr>
        <w:spacing w:after="80"/>
      </w:pPr>
      <w:r>
        <w:rPr>
          <w:rFonts w:ascii="Calibri" w:hAnsi="Calibri"/>
          <w:b w:val="0"/>
          <w:color w:val="4B5563"/>
          <w:sz w:val="22"/>
        </w:rPr>
        <w:t>9.  Próximos Pasos Recomendados</w:t>
      </w:r>
    </w:p>
    <w:p>
      <w:r>
        <w:br w:type="page"/>
      </w:r>
    </w:p>
    <w:p>
      <w:pPr>
        <w:spacing w:before="0" w:after="200"/>
      </w:pPr>
      <w:r>
        <w:rPr>
          <w:rFonts w:ascii="Calibri" w:hAnsi="Calibri"/>
          <w:b/>
          <w:color w:val="134078"/>
          <w:sz w:val="40"/>
        </w:rPr>
        <w:t>1. Resumen Ejecutivo</w:t>
      </w:r>
    </w:p>
    <w:p>
      <w:pPr>
        <w:spacing w:after="80"/>
      </w:pPr>
      <w:r>
        <w:rPr>
          <w:rFonts w:ascii="Calibri" w:hAnsi="Calibri"/>
          <w:b w:val="0"/>
          <w:color w:val="4B5563"/>
          <w:sz w:val="22"/>
        </w:rPr>
        <w:t>El presente informe recoge el diagnóstico integral de una consultora de compliance conformada por tres socios abogados, especializados en Derecho Administrativo, que operan de manera informal desde hace aproximadamente dos años.</w:t>
      </w:r>
    </w:p>
    <w:p>
      <w:pPr>
        <w:spacing w:after="80"/>
      </w:pPr>
      <w:r>
        <w:rPr>
          <w:rFonts w:ascii="Calibri" w:hAnsi="Calibri"/>
          <w:b w:val="0"/>
          <w:color w:val="4B5563"/>
          <w:sz w:val="22"/>
        </w:rPr>
        <w:t>La organización cuenta con talento técnico de alto nivel, experiencia complementaria y capacidad demostrada de ejecución. Sin embargo, opera sin estructura jurídica, sin propuesta de valor definida, sin canales comerciales activos y con una dependencia crítica de un único cliente.</w:t>
      </w:r>
    </w:p>
    <w:p>
      <w:pPr>
        <w:spacing w:before="120" w:after="80"/>
      </w:pPr>
      <w:r>
        <w:rPr>
          <w:rFonts w:ascii="Calibri" w:hAnsi="Calibri"/>
          <w:b/>
          <w:color w:val="134078"/>
          <w:sz w:val="22"/>
        </w:rPr>
        <w:t xml:space="preserve">Conclusión principal: </w:t>
      </w:r>
      <w:r>
        <w:rPr>
          <w:rFonts w:ascii="Calibri" w:hAnsi="Calibri"/>
          <w:color w:val="4B5563"/>
          <w:sz w:val="22"/>
        </w:rPr>
        <w:t>el problema no es capacidad técnica — es que han operado como profesionales que hacen proyectos y no como una empresa que vende servicios. La buena noticia es que, al no tener estructura grande, deudas ni costos fijos, pueden pivotar rápido.</w:t>
      </w:r>
    </w:p>
    <w:p>
      <w:pPr>
        <w:spacing w:before="0" w:after="200"/>
      </w:pPr>
      <w:r>
        <w:rPr>
          <w:rFonts w:ascii="Calibri" w:hAnsi="Calibri"/>
          <w:b/>
          <w:color w:val="134078"/>
          <w:sz w:val="40"/>
        </w:rPr>
        <w:t>2. Estado General de la Empresa</w:t>
      </w:r>
    </w:p>
    <w:tbl>
      <w:tblPr>
        <w:tblStyle w:val="TableGrid"/>
        <w:tblW w:type="auto" w:w="0"/>
        <w:jc w:val="center"/>
        <w:tblLook w:firstColumn="1" w:firstRow="1" w:lastColumn="0" w:lastRow="0" w:noHBand="0" w:noVBand="1" w:val="04A0"/>
      </w:tblPr>
      <w:tblGrid>
        <w:gridCol w:w="4703"/>
        <w:gridCol w:w="4703"/>
      </w:tblGrid>
      <w:tr>
        <w:tc>
          <w:tcPr>
            <w:tcW w:type="dxa" w:w="4703"/>
            <w:shd w:fill="134078" w:val="clear"/>
          </w:tcPr>
          <w:p>
            <w:pPr>
              <w:jc w:val="center"/>
            </w:pPr>
            <w:r/>
            <w:r>
              <w:rPr>
                <w:rFonts w:ascii="Calibri" w:hAnsi="Calibri"/>
                <w:b/>
                <w:color w:val="FFFFFF"/>
                <w:sz w:val="20"/>
              </w:rPr>
              <w:t>Ítem</w:t>
            </w:r>
          </w:p>
        </w:tc>
        <w:tc>
          <w:tcPr>
            <w:tcW w:type="dxa" w:w="4703"/>
            <w:shd w:fill="134078" w:val="clear"/>
          </w:tcPr>
          <w:p>
            <w:pPr>
              <w:jc w:val="center"/>
            </w:pPr>
            <w:r/>
            <w:r>
              <w:rPr>
                <w:rFonts w:ascii="Calibri" w:hAnsi="Calibri"/>
                <w:b/>
                <w:color w:val="FFFFFF"/>
                <w:sz w:val="20"/>
              </w:rPr>
              <w:t>Detalle</w:t>
            </w:r>
          </w:p>
        </w:tc>
      </w:tr>
      <w:tr>
        <w:tc>
          <w:tcPr>
            <w:tcW w:type="dxa" w:w="4703"/>
            <w:shd w:fill="F5FAFF" w:val="clear"/>
          </w:tcPr>
          <w:p>
            <w:r/>
            <w:r>
              <w:rPr>
                <w:rFonts w:ascii="Calibri" w:hAnsi="Calibri"/>
                <w:b/>
                <w:color w:val="134078"/>
                <w:sz w:val="19"/>
              </w:rPr>
              <w:t>Empresa</w:t>
            </w:r>
          </w:p>
        </w:tc>
        <w:tc>
          <w:tcPr>
            <w:tcW w:type="dxa" w:w="4703"/>
            <w:shd w:fill="F5FAFF" w:val="clear"/>
          </w:tcPr>
          <w:p>
            <w:r/>
            <w:r>
              <w:rPr>
                <w:rFonts w:ascii="Calibri" w:hAnsi="Calibri"/>
                <w:color w:val="4B5563"/>
                <w:sz w:val="19"/>
              </w:rPr>
              <w:t>Consultora de Compliance (sin estructura jurídica ni nombre comercial definido)</w:t>
            </w:r>
          </w:p>
        </w:tc>
      </w:tr>
      <w:tr>
        <w:tc>
          <w:tcPr>
            <w:tcW w:type="dxa" w:w="4703"/>
          </w:tcPr>
          <w:p>
            <w:r/>
            <w:r>
              <w:rPr>
                <w:rFonts w:ascii="Calibri" w:hAnsi="Calibri"/>
                <w:b/>
                <w:color w:val="134078"/>
                <w:sz w:val="19"/>
              </w:rPr>
              <w:t>Socios</w:t>
            </w:r>
          </w:p>
        </w:tc>
        <w:tc>
          <w:tcPr>
            <w:tcW w:type="dxa" w:w="4703"/>
          </w:tcPr>
          <w:p>
            <w:r/>
            <w:r>
              <w:rPr>
                <w:rFonts w:ascii="Calibri" w:hAnsi="Calibri"/>
                <w:color w:val="4B5563"/>
                <w:sz w:val="19"/>
              </w:rPr>
              <w:t>3 abogados, magísteres en Derecho Administrativo</w:t>
            </w:r>
          </w:p>
        </w:tc>
      </w:tr>
      <w:tr>
        <w:tc>
          <w:tcPr>
            <w:tcW w:type="dxa" w:w="4703"/>
            <w:shd w:fill="F5FAFF" w:val="clear"/>
          </w:tcPr>
          <w:p>
            <w:r/>
            <w:r>
              <w:rPr>
                <w:rFonts w:ascii="Calibri" w:hAnsi="Calibri"/>
                <w:b/>
                <w:color w:val="134078"/>
                <w:sz w:val="19"/>
              </w:rPr>
              <w:t>Antigüedad</w:t>
            </w:r>
          </w:p>
        </w:tc>
        <w:tc>
          <w:tcPr>
            <w:tcW w:type="dxa" w:w="4703"/>
            <w:shd w:fill="F5FAFF" w:val="clear"/>
          </w:tcPr>
          <w:p>
            <w:r/>
            <w:r>
              <w:rPr>
                <w:rFonts w:ascii="Calibri" w:hAnsi="Calibri"/>
                <w:color w:val="4B5563"/>
                <w:sz w:val="19"/>
              </w:rPr>
              <w:t>~2 años trabajando juntos, de forma inestable</w:t>
            </w:r>
          </w:p>
        </w:tc>
      </w:tr>
      <w:tr>
        <w:tc>
          <w:tcPr>
            <w:tcW w:type="dxa" w:w="4703"/>
          </w:tcPr>
          <w:p>
            <w:r/>
            <w:r>
              <w:rPr>
                <w:rFonts w:ascii="Calibri" w:hAnsi="Calibri"/>
                <w:b/>
                <w:color w:val="134078"/>
                <w:sz w:val="19"/>
              </w:rPr>
              <w:t>Clientes</w:t>
            </w:r>
          </w:p>
        </w:tc>
        <w:tc>
          <w:tcPr>
            <w:tcW w:type="dxa" w:w="4703"/>
          </w:tcPr>
          <w:p>
            <w:r/>
            <w:r>
              <w:rPr>
                <w:rFonts w:ascii="Calibri" w:hAnsi="Calibri"/>
                <w:color w:val="4B5563"/>
                <w:sz w:val="19"/>
              </w:rPr>
              <w:t>1 activo (USD 14k, 12 semanas); 2 prospectos en pipeline</w:t>
            </w:r>
          </w:p>
        </w:tc>
      </w:tr>
      <w:tr>
        <w:tc>
          <w:tcPr>
            <w:tcW w:type="dxa" w:w="4703"/>
            <w:shd w:fill="F5FAFF" w:val="clear"/>
          </w:tcPr>
          <w:p>
            <w:r/>
            <w:r>
              <w:rPr>
                <w:rFonts w:ascii="Calibri" w:hAnsi="Calibri"/>
                <w:b/>
                <w:color w:val="134078"/>
                <w:sz w:val="19"/>
              </w:rPr>
              <w:t>Facturación (últ. 12 meses)</w:t>
            </w:r>
          </w:p>
        </w:tc>
        <w:tc>
          <w:tcPr>
            <w:tcW w:type="dxa" w:w="4703"/>
            <w:shd w:fill="F5FAFF" w:val="clear"/>
          </w:tcPr>
          <w:p>
            <w:r/>
            <w:r>
              <w:rPr>
                <w:rFonts w:ascii="Calibri" w:hAnsi="Calibri"/>
                <w:color w:val="4B5563"/>
                <w:sz w:val="19"/>
              </w:rPr>
              <w:t>~$20M ARS</w:t>
            </w:r>
          </w:p>
        </w:tc>
      </w:tr>
      <w:tr>
        <w:tc>
          <w:tcPr>
            <w:tcW w:type="dxa" w:w="4703"/>
          </w:tcPr>
          <w:p>
            <w:r/>
            <w:r>
              <w:rPr>
                <w:rFonts w:ascii="Calibri" w:hAnsi="Calibri"/>
                <w:b/>
                <w:color w:val="134078"/>
                <w:sz w:val="19"/>
              </w:rPr>
              <w:t>Tipo de ingreso</w:t>
            </w:r>
          </w:p>
        </w:tc>
        <w:tc>
          <w:tcPr>
            <w:tcW w:type="dxa" w:w="4703"/>
          </w:tcPr>
          <w:p>
            <w:r/>
            <w:r>
              <w:rPr>
                <w:rFonts w:ascii="Calibri" w:hAnsi="Calibri"/>
                <w:color w:val="4B5563"/>
                <w:sz w:val="19"/>
              </w:rPr>
              <w:t>Individual por proyecto (3–6 meses c/u)</w:t>
            </w:r>
          </w:p>
        </w:tc>
      </w:tr>
      <w:tr>
        <w:tc>
          <w:tcPr>
            <w:tcW w:type="dxa" w:w="4703"/>
            <w:shd w:fill="F5FAFF" w:val="clear"/>
          </w:tcPr>
          <w:p>
            <w:r/>
            <w:r>
              <w:rPr>
                <w:rFonts w:ascii="Calibri" w:hAnsi="Calibri"/>
                <w:b/>
                <w:color w:val="134078"/>
                <w:sz w:val="19"/>
              </w:rPr>
              <w:t>Costos fijos</w:t>
            </w:r>
          </w:p>
        </w:tc>
        <w:tc>
          <w:tcPr>
            <w:tcW w:type="dxa" w:w="4703"/>
            <w:shd w:fill="F5FAFF" w:val="clear"/>
          </w:tcPr>
          <w:p>
            <w:r/>
            <w:r>
              <w:rPr>
                <w:rFonts w:ascii="Calibri" w:hAnsi="Calibri"/>
                <w:color w:val="4B5563"/>
                <w:sz w:val="19"/>
              </w:rPr>
              <w:t>Ninguno</w:t>
            </w:r>
          </w:p>
        </w:tc>
      </w:tr>
      <w:tr>
        <w:tc>
          <w:tcPr>
            <w:tcW w:type="dxa" w:w="4703"/>
          </w:tcPr>
          <w:p>
            <w:r/>
            <w:r>
              <w:rPr>
                <w:rFonts w:ascii="Calibri" w:hAnsi="Calibri"/>
                <w:b/>
                <w:color w:val="134078"/>
                <w:sz w:val="19"/>
              </w:rPr>
              <w:t>Publicidad</w:t>
            </w:r>
          </w:p>
        </w:tc>
        <w:tc>
          <w:tcPr>
            <w:tcW w:type="dxa" w:w="4703"/>
          </w:tcPr>
          <w:p>
            <w:r/>
            <w:r>
              <w:rPr>
                <w:rFonts w:ascii="Calibri" w:hAnsi="Calibri"/>
                <w:color w:val="4B5563"/>
                <w:sz w:val="19"/>
              </w:rPr>
              <w:t>No realizan</w:t>
            </w:r>
          </w:p>
        </w:tc>
      </w:tr>
      <w:tr>
        <w:tc>
          <w:tcPr>
            <w:tcW w:type="dxa" w:w="4703"/>
            <w:shd w:fill="F5FAFF" w:val="clear"/>
          </w:tcPr>
          <w:p>
            <w:r/>
            <w:r>
              <w:rPr>
                <w:rFonts w:ascii="Calibri" w:hAnsi="Calibri"/>
                <w:b/>
                <w:color w:val="134078"/>
                <w:sz w:val="19"/>
              </w:rPr>
              <w:t>Propuesta de valor</w:t>
            </w:r>
          </w:p>
        </w:tc>
        <w:tc>
          <w:tcPr>
            <w:tcW w:type="dxa" w:w="4703"/>
            <w:shd w:fill="F5FAFF" w:val="clear"/>
          </w:tcPr>
          <w:p>
            <w:r/>
            <w:r>
              <w:rPr>
                <w:rFonts w:ascii="Calibri" w:hAnsi="Calibri"/>
                <w:color w:val="4B5563"/>
                <w:sz w:val="19"/>
              </w:rPr>
              <w:t>No definida formalmente</w:t>
            </w:r>
          </w:p>
        </w:tc>
      </w:tr>
      <w:tr>
        <w:tc>
          <w:tcPr>
            <w:tcW w:type="dxa" w:w="4703"/>
          </w:tcPr>
          <w:p>
            <w:r/>
            <w:r>
              <w:rPr>
                <w:rFonts w:ascii="Calibri" w:hAnsi="Calibri"/>
                <w:b/>
                <w:color w:val="134078"/>
                <w:sz w:val="19"/>
              </w:rPr>
              <w:t>Objetivo del socio consultante</w:t>
            </w:r>
          </w:p>
        </w:tc>
        <w:tc>
          <w:tcPr>
            <w:tcW w:type="dxa" w:w="4703"/>
          </w:tcPr>
          <w:p>
            <w:r/>
            <w:r>
              <w:rPr>
                <w:rFonts w:ascii="Calibri" w:hAnsi="Calibri"/>
                <w:color w:val="4B5563"/>
                <w:sz w:val="19"/>
              </w:rPr>
              <w:t>Consultora estable con clientes/proyectos permanentes</w:t>
            </w:r>
          </w:p>
        </w:tc>
      </w:tr>
    </w:tbl>
    <w:p/>
    <w:p>
      <w:pPr>
        <w:spacing w:before="0" w:after="200"/>
      </w:pPr>
      <w:r>
        <w:rPr>
          <w:rFonts w:ascii="Calibri" w:hAnsi="Calibri"/>
          <w:b/>
          <w:color w:val="134078"/>
          <w:sz w:val="40"/>
        </w:rPr>
        <w:t>3. Principales Hallazgos</w:t>
      </w:r>
    </w:p>
    <w:p>
      <w:pPr>
        <w:spacing w:before="280" w:after="120"/>
      </w:pPr>
      <w:r>
        <w:rPr>
          <w:rFonts w:ascii="Calibri" w:hAnsi="Calibri"/>
          <w:b/>
          <w:color w:val="134078"/>
          <w:sz w:val="28"/>
        </w:rPr>
        <w:t>3.1 Modelo de Negocio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val="clear"/>
          </w:tcPr>
          <w:p>
            <w:pPr>
              <w:jc w:val="center"/>
            </w:pPr>
            <w:r/>
            <w:r>
              <w:rPr>
                <w:rFonts w:ascii="Calibri" w:hAnsi="Calibri"/>
                <w:b/>
                <w:color w:val="FFFFFF"/>
                <w:sz w:val="20"/>
              </w:rPr>
              <w:t>Dimensión</w:t>
            </w:r>
          </w:p>
        </w:tc>
        <w:tc>
          <w:tcPr>
            <w:tcW w:type="dxa" w:w="3135"/>
            <w:shd w:fill="134078" w:val="clear"/>
          </w:tcPr>
          <w:p>
            <w:pPr>
              <w:jc w:val="center"/>
            </w:pPr>
            <w:r/>
            <w:r>
              <w:rPr>
                <w:rFonts w:ascii="Calibri" w:hAnsi="Calibri"/>
                <w:b/>
                <w:color w:val="FFFFFF"/>
                <w:sz w:val="20"/>
              </w:rPr>
              <w:t>Nota (1-5)</w:t>
            </w:r>
          </w:p>
        </w:tc>
        <w:tc>
          <w:tcPr>
            <w:tcW w:type="dxa" w:w="3135"/>
            <w:shd w:fill="134078" w:val="clear"/>
          </w:tcPr>
          <w:p>
            <w:pPr>
              <w:jc w:val="center"/>
            </w:pPr>
            <w:r/>
            <w:r>
              <w:rPr>
                <w:rFonts w:ascii="Calibri" w:hAnsi="Calibri"/>
                <w:b/>
                <w:color w:val="FFFFFF"/>
                <w:sz w:val="20"/>
              </w:rPr>
              <w:t>Observación</w:t>
            </w:r>
          </w:p>
        </w:tc>
      </w:tr>
      <w:tr>
        <w:tc>
          <w:tcPr>
            <w:tcW w:type="dxa" w:w="3135"/>
            <w:shd w:fill="F5FAFF" w:val="clear"/>
          </w:tcPr>
          <w:p>
            <w:r/>
            <w:r>
              <w:rPr>
                <w:rFonts w:ascii="Calibri" w:hAnsi="Calibri"/>
                <w:b/>
                <w:color w:val="134078"/>
                <w:sz w:val="19"/>
              </w:rPr>
              <w:t>Clientes</w:t>
            </w:r>
          </w:p>
        </w:tc>
        <w:tc>
          <w:tcPr>
            <w:tcW w:type="dxa" w:w="3135"/>
            <w:shd w:fill="F5FAFF" w:val="clear"/>
          </w:tcPr>
          <w:p>
            <w:r/>
            <w:r>
              <w:rPr>
                <w:rFonts w:ascii="Calibri" w:hAnsi="Calibri"/>
                <w:color w:val="4B5563"/>
                <w:sz w:val="19"/>
              </w:rPr>
              <w:t>2</w:t>
            </w:r>
          </w:p>
        </w:tc>
        <w:tc>
          <w:tcPr>
            <w:tcW w:type="dxa" w:w="3135"/>
            <w:shd w:fill="F5FAFF" w:val="clear"/>
          </w:tcPr>
          <w:p>
            <w:r/>
            <w:r>
              <w:rPr>
                <w:rFonts w:ascii="Calibri" w:hAnsi="Calibri"/>
                <w:color w:val="4B5563"/>
                <w:sz w:val="19"/>
              </w:rPr>
              <w:t>1 solo activo, concentración total, ningún segmento definido</w:t>
            </w:r>
          </w:p>
        </w:tc>
      </w:tr>
      <w:tr>
        <w:tc>
          <w:tcPr>
            <w:tcW w:type="dxa" w:w="3135"/>
          </w:tcPr>
          <w:p>
            <w:r/>
            <w:r>
              <w:rPr>
                <w:rFonts w:ascii="Calibri" w:hAnsi="Calibri"/>
                <w:b/>
                <w:color w:val="134078"/>
                <w:sz w:val="19"/>
              </w:rPr>
              <w:t>Propuesta de Valor</w:t>
            </w:r>
          </w:p>
        </w:tc>
        <w:tc>
          <w:tcPr>
            <w:tcW w:type="dxa" w:w="3135"/>
          </w:tcPr>
          <w:p>
            <w:r/>
            <w:r>
              <w:rPr>
                <w:rFonts w:ascii="Calibri" w:hAnsi="Calibri"/>
                <w:color w:val="4B5563"/>
                <w:sz w:val="19"/>
              </w:rPr>
              <w:t>1</w:t>
            </w:r>
          </w:p>
        </w:tc>
        <w:tc>
          <w:tcPr>
            <w:tcW w:type="dxa" w:w="3135"/>
          </w:tcPr>
          <w:p>
            <w:r/>
            <w:r>
              <w:rPr>
                <w:rFonts w:ascii="Calibri" w:hAnsi="Calibri"/>
                <w:color w:val="4B5563"/>
                <w:sz w:val="19"/>
              </w:rPr>
              <w:t>No está definida formalmente; el mercado no sabe qué ofrecen</w:t>
            </w:r>
          </w:p>
        </w:tc>
      </w:tr>
      <w:tr>
        <w:tc>
          <w:tcPr>
            <w:tcW w:type="dxa" w:w="3135"/>
            <w:shd w:fill="F5FAFF" w:val="clear"/>
          </w:tcPr>
          <w:p>
            <w:r/>
            <w:r>
              <w:rPr>
                <w:rFonts w:ascii="Calibri" w:hAnsi="Calibri"/>
                <w:b/>
                <w:color w:val="134078"/>
                <w:sz w:val="19"/>
              </w:rPr>
              <w:t>Canales</w:t>
            </w:r>
          </w:p>
        </w:tc>
        <w:tc>
          <w:tcPr>
            <w:tcW w:type="dxa" w:w="3135"/>
            <w:shd w:fill="F5FAFF" w:val="clear"/>
          </w:tcPr>
          <w:p>
            <w:r/>
            <w:r>
              <w:rPr>
                <w:rFonts w:ascii="Calibri" w:hAnsi="Calibri"/>
                <w:color w:val="4B5563"/>
                <w:sz w:val="19"/>
              </w:rPr>
              <w:t>1</w:t>
            </w:r>
          </w:p>
        </w:tc>
        <w:tc>
          <w:tcPr>
            <w:tcW w:type="dxa" w:w="3135"/>
            <w:shd w:fill="F5FAFF" w:val="clear"/>
          </w:tcPr>
          <w:p>
            <w:r/>
            <w:r>
              <w:rPr>
                <w:rFonts w:ascii="Calibri" w:hAnsi="Calibri"/>
                <w:color w:val="4B5563"/>
                <w:sz w:val="19"/>
              </w:rPr>
              <w:t>Sin publicidad, sin presencia digital, sin fuerzas de venta. Solo boca a boca</w:t>
            </w:r>
          </w:p>
        </w:tc>
      </w:tr>
      <w:tr>
        <w:tc>
          <w:tcPr>
            <w:tcW w:type="dxa" w:w="3135"/>
          </w:tcPr>
          <w:p>
            <w:r/>
            <w:r>
              <w:rPr>
                <w:rFonts w:ascii="Calibri" w:hAnsi="Calibri"/>
                <w:b/>
                <w:color w:val="134078"/>
                <w:sz w:val="19"/>
              </w:rPr>
              <w:t>Ingresos</w:t>
            </w:r>
          </w:p>
        </w:tc>
        <w:tc>
          <w:tcPr>
            <w:tcW w:type="dxa" w:w="3135"/>
          </w:tcPr>
          <w:p>
            <w:r/>
            <w:r>
              <w:rPr>
                <w:rFonts w:ascii="Calibri" w:hAnsi="Calibri"/>
                <w:color w:val="4B5563"/>
                <w:sz w:val="19"/>
              </w:rPr>
              <w:t>2</w:t>
            </w:r>
          </w:p>
        </w:tc>
        <w:tc>
          <w:tcPr>
            <w:tcW w:type="dxa" w:w="3135"/>
          </w:tcPr>
          <w:p>
            <w:r/>
            <w:r>
              <w:rPr>
                <w:rFonts w:ascii="Calibri" w:hAnsi="Calibri"/>
                <w:color w:val="4B5563"/>
                <w:sz w:val="19"/>
              </w:rPr>
              <w:t>Por proyecto, sin recurrencia. Dependencia total de 1 cliente</w:t>
            </w:r>
          </w:p>
        </w:tc>
      </w:tr>
      <w:tr>
        <w:tc>
          <w:tcPr>
            <w:tcW w:type="dxa" w:w="3135"/>
            <w:shd w:fill="F5FAFF" w:val="clear"/>
          </w:tcPr>
          <w:p>
            <w:r/>
            <w:r>
              <w:rPr>
                <w:rFonts w:ascii="Calibri" w:hAnsi="Calibri"/>
                <w:b/>
                <w:color w:val="134078"/>
                <w:sz w:val="19"/>
              </w:rPr>
              <w:t>Costos</w:t>
            </w:r>
          </w:p>
        </w:tc>
        <w:tc>
          <w:tcPr>
            <w:tcW w:type="dxa" w:w="3135"/>
            <w:shd w:fill="F5FAFF" w:val="clear"/>
          </w:tcPr>
          <w:p>
            <w:r/>
            <w:r>
              <w:rPr>
                <w:rFonts w:ascii="Calibri" w:hAnsi="Calibri"/>
                <w:color w:val="4B5563"/>
                <w:sz w:val="19"/>
              </w:rPr>
              <w:t>4</w:t>
            </w:r>
          </w:p>
        </w:tc>
        <w:tc>
          <w:tcPr>
            <w:tcW w:type="dxa" w:w="3135"/>
            <w:shd w:fill="F5FAFF" w:val="clear"/>
          </w:tcPr>
          <w:p>
            <w:r/>
            <w:r>
              <w:rPr>
                <w:rFonts w:ascii="Calibri" w:hAnsi="Calibri"/>
                <w:color w:val="4B5563"/>
                <w:sz w:val="19"/>
              </w:rPr>
              <w:t>Sin costos fijos (ventaja), pero sin inversión en crecimiento</w:t>
            </w:r>
          </w:p>
        </w:tc>
      </w:tr>
      <w:tr>
        <w:tc>
          <w:tcPr>
            <w:tcW w:type="dxa" w:w="3135"/>
          </w:tcPr>
          <w:p>
            <w:r/>
            <w:r>
              <w:rPr>
                <w:rFonts w:ascii="Calibri" w:hAnsi="Calibri"/>
                <w:b/>
                <w:color w:val="134078"/>
                <w:sz w:val="19"/>
              </w:rPr>
              <w:t>Actividades Clave</w:t>
            </w:r>
          </w:p>
        </w:tc>
        <w:tc>
          <w:tcPr>
            <w:tcW w:type="dxa" w:w="3135"/>
          </w:tcPr>
          <w:p>
            <w:r/>
            <w:r>
              <w:rPr>
                <w:rFonts w:ascii="Calibri" w:hAnsi="Calibri"/>
                <w:color w:val="4B5563"/>
                <w:sz w:val="19"/>
              </w:rPr>
              <w:t>3</w:t>
            </w:r>
          </w:p>
        </w:tc>
        <w:tc>
          <w:tcPr>
            <w:tcW w:type="dxa" w:w="3135"/>
          </w:tcPr>
          <w:p>
            <w:r/>
            <w:r>
              <w:rPr>
                <w:rFonts w:ascii="Calibri" w:hAnsi="Calibri"/>
                <w:color w:val="4B5563"/>
                <w:sz w:val="19"/>
              </w:rPr>
              <w:t>Saben hacer compliance (fortaleza real), sin estandarización</w:t>
            </w:r>
          </w:p>
        </w:tc>
      </w:tr>
      <w:tr>
        <w:tc>
          <w:tcPr>
            <w:tcW w:type="dxa" w:w="3135"/>
            <w:shd w:fill="F5FAFF" w:val="clear"/>
          </w:tcPr>
          <w:p>
            <w:r/>
            <w:r>
              <w:rPr>
                <w:rFonts w:ascii="Calibri" w:hAnsi="Calibri"/>
                <w:b/>
                <w:color w:val="134078"/>
                <w:sz w:val="19"/>
              </w:rPr>
              <w:t>Recursos Clave</w:t>
            </w:r>
          </w:p>
        </w:tc>
        <w:tc>
          <w:tcPr>
            <w:tcW w:type="dxa" w:w="3135"/>
            <w:shd w:fill="F5FAFF" w:val="clear"/>
          </w:tcPr>
          <w:p>
            <w:r/>
            <w:r>
              <w:rPr>
                <w:rFonts w:ascii="Calibri" w:hAnsi="Calibri"/>
                <w:color w:val="4B5563"/>
                <w:sz w:val="19"/>
              </w:rPr>
              <w:t>2</w:t>
            </w:r>
          </w:p>
        </w:tc>
        <w:tc>
          <w:tcPr>
            <w:tcW w:type="dxa" w:w="3135"/>
            <w:shd w:fill="F5FAFF" w:val="clear"/>
          </w:tcPr>
          <w:p>
            <w:r/>
            <w:r>
              <w:rPr>
                <w:rFonts w:ascii="Calibri" w:hAnsi="Calibri"/>
                <w:color w:val="4B5563"/>
                <w:sz w:val="19"/>
              </w:rPr>
              <w:t>Solo ellos 3, sin marca, sin tecnología, sin activos intangibles</w:t>
            </w:r>
          </w:p>
        </w:tc>
      </w:tr>
      <w:tr>
        <w:tc>
          <w:tcPr>
            <w:tcW w:type="dxa" w:w="3135"/>
          </w:tcPr>
          <w:p>
            <w:r/>
            <w:r>
              <w:rPr>
                <w:rFonts w:ascii="Calibri" w:hAnsi="Calibri"/>
                <w:b/>
                <w:color w:val="134078"/>
                <w:sz w:val="19"/>
              </w:rPr>
              <w:t>Socios</w:t>
            </w:r>
          </w:p>
        </w:tc>
        <w:tc>
          <w:tcPr>
            <w:tcW w:type="dxa" w:w="3135"/>
          </w:tcPr>
          <w:p>
            <w:r/>
            <w:r>
              <w:rPr>
                <w:rFonts w:ascii="Calibri" w:hAnsi="Calibri"/>
                <w:color w:val="4B5563"/>
                <w:sz w:val="19"/>
              </w:rPr>
              <w:t>2</w:t>
            </w:r>
          </w:p>
        </w:tc>
        <w:tc>
          <w:tcPr>
            <w:tcW w:type="dxa" w:w="3135"/>
          </w:tcPr>
          <w:p>
            <w:r/>
            <w:r>
              <w:rPr>
                <w:rFonts w:ascii="Calibri" w:hAnsi="Calibri"/>
                <w:color w:val="4B5563"/>
                <w:sz w:val="19"/>
              </w:rPr>
              <w:t>Sin alianzas estratégicas formales</w:t>
            </w:r>
          </w:p>
        </w:tc>
      </w:tr>
    </w:tbl>
    <w:p/>
    <w:p>
      <w:pPr>
        <w:spacing w:after="80"/>
      </w:pPr>
      <w:r>
        <w:rPr>
          <w:rFonts w:ascii="Calibri" w:hAnsi="Calibri"/>
          <w:b w:val="0"/>
          <w:color w:val="10B981"/>
          <w:sz w:val="22"/>
        </w:rPr>
        <w:t>Fortalezas: sin costos fijos, alta calificación técnica de los socios, capacidad de entrega demostrada.</w:t>
      </w:r>
    </w:p>
    <w:p>
      <w:pPr>
        <w:spacing w:after="80"/>
      </w:pPr>
      <w:r>
        <w:rPr>
          <w:rFonts w:ascii="Calibri" w:hAnsi="Calibri"/>
          <w:b w:val="0"/>
          <w:color w:val="F87171"/>
          <w:sz w:val="22"/>
        </w:rPr>
        <w:t>Debilidades: propuesta de valor inexistente, sin canales, concentración absoluta de ingresos, sin recurrencia.</w:t>
      </w:r>
    </w:p>
    <w:p>
      <w:pPr>
        <w:spacing w:before="280" w:after="120"/>
      </w:pPr>
      <w:r>
        <w:rPr>
          <w:rFonts w:ascii="Calibri" w:hAnsi="Calibri"/>
          <w:b/>
          <w:color w:val="134078"/>
          <w:sz w:val="28"/>
        </w:rPr>
        <w:t>3.2 Situación Financiera</w:t>
      </w:r>
    </w:p>
    <w:p>
      <w:pPr>
        <w:spacing w:after="80"/>
      </w:pPr>
      <w:r>
        <w:rPr>
          <w:rFonts w:ascii="Calibri" w:hAnsi="Calibri"/>
          <w:b w:val="0"/>
          <w:color w:val="4B5563"/>
          <w:sz w:val="22"/>
        </w:rPr>
        <w:t>Sin costos fijos, cada proyecto individual es altamente rentable en margen bruto. Sin embargo:</w:t>
      </w:r>
    </w:p>
    <w:p>
      <w:pPr>
        <w:pStyle w:val="ListBullet"/>
        <w:spacing w:after="40"/>
        <w:ind w:left="720"/>
      </w:pPr>
      <w:r>
        <w:rPr>
          <w:rFonts w:ascii="Calibri" w:hAnsi="Calibri"/>
          <w:color w:val="4B5563"/>
          <w:sz w:val="22"/>
        </w:rPr>
        <w:t xml:space="preserve"> Los $20M ARS del año pasado distribuidos entre 3 personas es bajo para sostenerse como negocio formal.</w:t>
      </w:r>
    </w:p>
    <w:p>
      <w:pPr>
        <w:pStyle w:val="ListBullet"/>
        <w:spacing w:after="40"/>
        <w:ind w:left="720"/>
      </w:pPr>
      <w:r>
        <w:rPr>
          <w:rFonts w:ascii="Calibri" w:hAnsi="Calibri"/>
          <w:color w:val="4B5563"/>
          <w:sz w:val="22"/>
        </w:rPr>
        <w:t xml:space="preserve"> Los USD 14k actuales en 12 semanas (~USD 1.166/semana entre 3) es bajo como ingreso profesional.</w:t>
      </w:r>
    </w:p>
    <w:p>
      <w:pPr>
        <w:pStyle w:val="ListBullet"/>
        <w:spacing w:after="40"/>
        <w:ind w:left="720"/>
      </w:pPr>
      <w:r>
        <w:rPr>
          <w:rFonts w:ascii="Calibri" w:hAnsi="Calibri"/>
          <w:color w:val="4B5563"/>
          <w:sz w:val="22"/>
        </w:rPr>
        <w:t xml:space="preserve"> No hay colchón financiero ni pipeline firme. Si los prospectos no se cierran en las próximas 8–10 semanas, el ingreso se corta a 0.</w:t>
      </w:r>
    </w:p>
    <w:p>
      <w:pPr>
        <w:spacing w:before="280" w:after="120"/>
      </w:pPr>
      <w:r>
        <w:rPr>
          <w:rFonts w:ascii="Calibri" w:hAnsi="Calibri"/>
          <w:b/>
          <w:color w:val="134078"/>
          <w:sz w:val="28"/>
        </w:rPr>
        <w:t>3.3 Operaciones y Procesos</w:t>
      </w:r>
    </w:p>
    <w:p>
      <w:pPr>
        <w:spacing w:after="80"/>
      </w:pPr>
      <w:r>
        <w:rPr>
          <w:rFonts w:ascii="Calibri" w:hAnsi="Calibri"/>
          <w:b w:val="0"/>
          <w:color w:val="4B5563"/>
          <w:sz w:val="22"/>
        </w:rPr>
        <w:t>La operación es completamente artesanal:</w:t>
      </w:r>
    </w:p>
    <w:p>
      <w:pPr>
        <w:pStyle w:val="ListBullet"/>
        <w:spacing w:after="40"/>
        <w:ind w:left="720"/>
      </w:pPr>
      <w:r>
        <w:rPr>
          <w:rFonts w:ascii="Calibri" w:hAnsi="Calibri"/>
          <w:color w:val="4B5563"/>
          <w:sz w:val="22"/>
        </w:rPr>
        <w:t xml:space="preserve"> Sin proceso comercial formal (no hay CRM, no hay seguimiento estructurado).</w:t>
      </w:r>
    </w:p>
    <w:p>
      <w:pPr>
        <w:pStyle w:val="ListBullet"/>
        <w:spacing w:after="40"/>
        <w:ind w:left="720"/>
      </w:pPr>
      <w:r>
        <w:rPr>
          <w:rFonts w:ascii="Calibri" w:hAnsi="Calibri"/>
          <w:color w:val="4B5563"/>
          <w:sz w:val="22"/>
        </w:rPr>
        <w:t xml:space="preserve"> Entrega de proyectos sin metodología documentada ni estándares.</w:t>
      </w:r>
    </w:p>
    <w:p>
      <w:pPr>
        <w:pStyle w:val="ListBullet"/>
        <w:spacing w:after="40"/>
        <w:ind w:left="720"/>
      </w:pPr>
      <w:r>
        <w:rPr>
          <w:rFonts w:ascii="Calibri" w:hAnsi="Calibri"/>
          <w:color w:val="4B5563"/>
          <w:sz w:val="22"/>
        </w:rPr>
        <w:t xml:space="preserve"> Cobranza individual por proyecto, sin proceso unificado.</w:t>
      </w:r>
    </w:p>
    <w:p>
      <w:pPr>
        <w:pStyle w:val="ListBullet"/>
        <w:spacing w:after="40"/>
        <w:ind w:left="720"/>
      </w:pPr>
      <w:r>
        <w:rPr>
          <w:rFonts w:ascii="Calibri" w:hAnsi="Calibri"/>
          <w:color w:val="4B5563"/>
          <w:sz w:val="22"/>
        </w:rPr>
        <w:t xml:space="preserve"> Sin seguimiento de clientes pasados ni programa de retención.</w:t>
      </w:r>
    </w:p>
    <w:p>
      <w:pPr>
        <w:pStyle w:val="ListBullet"/>
        <w:spacing w:after="40"/>
        <w:ind w:left="720"/>
      </w:pPr>
      <w:r>
        <w:rPr>
          <w:rFonts w:ascii="Calibri" w:hAnsi="Calibri"/>
          <w:color w:val="4B5563"/>
          <w:sz w:val="22"/>
        </w:rPr>
        <w:t xml:space="preserve"> Retrabajo constante: cada socio revisa y ajusta el trabajo de los otros sin criterios definidos.</w:t>
      </w:r>
    </w:p>
    <w:p>
      <w:pPr>
        <w:spacing w:before="280" w:after="120"/>
      </w:pPr>
      <w:r>
        <w:rPr>
          <w:rFonts w:ascii="Calibri" w:hAnsi="Calibri"/>
          <w:b/>
          <w:color w:val="134078"/>
          <w:sz w:val="28"/>
        </w:rPr>
        <w:t>3.4 Organización (Análisis 7S)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val="clear"/>
          </w:tcPr>
          <w:p>
            <w:pPr>
              <w:jc w:val="center"/>
            </w:pPr>
            <w:r/>
            <w:r>
              <w:rPr>
                <w:rFonts w:ascii="Calibri" w:hAnsi="Calibri"/>
                <w:b/>
                <w:color w:val="FFFFFF"/>
                <w:sz w:val="20"/>
              </w:rPr>
              <w:t>Elemento</w:t>
            </w:r>
          </w:p>
        </w:tc>
        <w:tc>
          <w:tcPr>
            <w:tcW w:type="dxa" w:w="3135"/>
            <w:shd w:fill="134078" w:val="clear"/>
          </w:tcPr>
          <w:p>
            <w:pPr>
              <w:jc w:val="center"/>
            </w:pPr>
            <w:r/>
            <w:r>
              <w:rPr>
                <w:rFonts w:ascii="Calibri" w:hAnsi="Calibri"/>
                <w:b/>
                <w:color w:val="FFFFFF"/>
                <w:sz w:val="20"/>
              </w:rPr>
              <w:t>Nivel (1-5)</w:t>
            </w:r>
          </w:p>
        </w:tc>
        <w:tc>
          <w:tcPr>
            <w:tcW w:type="dxa" w:w="3135"/>
            <w:shd w:fill="134078" w:val="clear"/>
          </w:tcPr>
          <w:p>
            <w:pPr>
              <w:jc w:val="center"/>
            </w:pPr>
            <w:r/>
            <w:r>
              <w:rPr>
                <w:rFonts w:ascii="Calibri" w:hAnsi="Calibri"/>
                <w:b/>
                <w:color w:val="FFFFFF"/>
                <w:sz w:val="20"/>
              </w:rPr>
              <w:t>Observación</w:t>
            </w:r>
          </w:p>
        </w:tc>
      </w:tr>
      <w:tr>
        <w:tc>
          <w:tcPr>
            <w:tcW w:type="dxa" w:w="3135"/>
            <w:shd w:fill="F5FAFF" w:val="clear"/>
          </w:tcPr>
          <w:p>
            <w:r/>
            <w:r>
              <w:rPr>
                <w:rFonts w:ascii="Calibri" w:hAnsi="Calibri"/>
                <w:b/>
                <w:color w:val="134078"/>
                <w:sz w:val="19"/>
              </w:rPr>
              <w:t>Strategy</w:t>
            </w:r>
          </w:p>
        </w:tc>
        <w:tc>
          <w:tcPr>
            <w:tcW w:type="dxa" w:w="3135"/>
            <w:shd w:fill="F5FAFF" w:val="clear"/>
          </w:tcPr>
          <w:p>
            <w:r/>
            <w:r>
              <w:rPr>
                <w:rFonts w:ascii="Calibri" w:hAnsi="Calibri"/>
                <w:color w:val="4B5563"/>
                <w:sz w:val="19"/>
              </w:rPr>
              <w:t>1</w:t>
            </w:r>
          </w:p>
        </w:tc>
        <w:tc>
          <w:tcPr>
            <w:tcW w:type="dxa" w:w="3135"/>
            <w:shd w:fill="F5FAFF" w:val="clear"/>
          </w:tcPr>
          <w:p>
            <w:r/>
            <w:r>
              <w:rPr>
                <w:rFonts w:ascii="Calibri" w:hAnsi="Calibri"/>
                <w:color w:val="4B5563"/>
                <w:sz w:val="19"/>
              </w:rPr>
              <w:t>No hay estrategia definida más que 'querer ser estables'</w:t>
            </w:r>
          </w:p>
        </w:tc>
      </w:tr>
      <w:tr>
        <w:tc>
          <w:tcPr>
            <w:tcW w:type="dxa" w:w="3135"/>
          </w:tcPr>
          <w:p>
            <w:r/>
            <w:r>
              <w:rPr>
                <w:rFonts w:ascii="Calibri" w:hAnsi="Calibri"/>
                <w:b/>
                <w:color w:val="134078"/>
                <w:sz w:val="19"/>
              </w:rPr>
              <w:t>Structure</w:t>
            </w:r>
          </w:p>
        </w:tc>
        <w:tc>
          <w:tcPr>
            <w:tcW w:type="dxa" w:w="3135"/>
          </w:tcPr>
          <w:p>
            <w:r/>
            <w:r>
              <w:rPr>
                <w:rFonts w:ascii="Calibri" w:hAnsi="Calibri"/>
                <w:color w:val="4B5563"/>
                <w:sz w:val="19"/>
              </w:rPr>
              <w:t>1</w:t>
            </w:r>
          </w:p>
        </w:tc>
        <w:tc>
          <w:tcPr>
            <w:tcW w:type="dxa" w:w="3135"/>
          </w:tcPr>
          <w:p>
            <w:r/>
            <w:r>
              <w:rPr>
                <w:rFonts w:ascii="Calibri" w:hAnsi="Calibri"/>
                <w:color w:val="4B5563"/>
                <w:sz w:val="19"/>
              </w:rPr>
              <w:t>Sin estructura jurídica, sin organigrama, roles informales</w:t>
            </w:r>
          </w:p>
        </w:tc>
      </w:tr>
      <w:tr>
        <w:tc>
          <w:tcPr>
            <w:tcW w:type="dxa" w:w="3135"/>
            <w:shd w:fill="F5FAFF" w:val="clear"/>
          </w:tcPr>
          <w:p>
            <w:r/>
            <w:r>
              <w:rPr>
                <w:rFonts w:ascii="Calibri" w:hAnsi="Calibri"/>
                <w:b/>
                <w:color w:val="134078"/>
                <w:sz w:val="19"/>
              </w:rPr>
              <w:t>Systems</w:t>
            </w:r>
          </w:p>
        </w:tc>
        <w:tc>
          <w:tcPr>
            <w:tcW w:type="dxa" w:w="3135"/>
            <w:shd w:fill="F5FAFF" w:val="clear"/>
          </w:tcPr>
          <w:p>
            <w:r/>
            <w:r>
              <w:rPr>
                <w:rFonts w:ascii="Calibri" w:hAnsi="Calibri"/>
                <w:color w:val="4B5563"/>
                <w:sz w:val="19"/>
              </w:rPr>
              <w:t>1</w:t>
            </w:r>
          </w:p>
        </w:tc>
        <w:tc>
          <w:tcPr>
            <w:tcW w:type="dxa" w:w="3135"/>
            <w:shd w:fill="F5FAFF" w:val="clear"/>
          </w:tcPr>
          <w:p>
            <w:r/>
            <w:r>
              <w:rPr>
                <w:rFonts w:ascii="Calibri" w:hAnsi="Calibri"/>
                <w:color w:val="4B5563"/>
                <w:sz w:val="19"/>
              </w:rPr>
              <w:t>Sin procesos, sin sistemas, sin políticas</w:t>
            </w:r>
          </w:p>
        </w:tc>
      </w:tr>
      <w:tr>
        <w:tc>
          <w:tcPr>
            <w:tcW w:type="dxa" w:w="3135"/>
          </w:tcPr>
          <w:p>
            <w:r/>
            <w:r>
              <w:rPr>
                <w:rFonts w:ascii="Calibri" w:hAnsi="Calibri"/>
                <w:b/>
                <w:color w:val="134078"/>
                <w:sz w:val="19"/>
              </w:rPr>
              <w:t>Shared Values</w:t>
            </w:r>
          </w:p>
        </w:tc>
        <w:tc>
          <w:tcPr>
            <w:tcW w:type="dxa" w:w="3135"/>
          </w:tcPr>
          <w:p>
            <w:r/>
            <w:r>
              <w:rPr>
                <w:rFonts w:ascii="Calibri" w:hAnsi="Calibri"/>
                <w:color w:val="4B5563"/>
                <w:sz w:val="19"/>
              </w:rPr>
              <w:t>3</w:t>
            </w:r>
          </w:p>
        </w:tc>
        <w:tc>
          <w:tcPr>
            <w:tcW w:type="dxa" w:w="3135"/>
          </w:tcPr>
          <w:p>
            <w:r/>
            <w:r>
              <w:rPr>
                <w:rFonts w:ascii="Calibri" w:hAnsi="Calibri"/>
                <w:color w:val="4B5563"/>
                <w:sz w:val="19"/>
              </w:rPr>
              <w:t>Comparten formación, ética profesional y enfoque en calidad</w:t>
            </w:r>
          </w:p>
        </w:tc>
      </w:tr>
      <w:tr>
        <w:tc>
          <w:tcPr>
            <w:tcW w:type="dxa" w:w="3135"/>
            <w:shd w:fill="F5FAFF" w:val="clear"/>
          </w:tcPr>
          <w:p>
            <w:r/>
            <w:r>
              <w:rPr>
                <w:rFonts w:ascii="Calibri" w:hAnsi="Calibri"/>
                <w:b/>
                <w:color w:val="134078"/>
                <w:sz w:val="19"/>
              </w:rPr>
              <w:t>Skills</w:t>
            </w:r>
          </w:p>
        </w:tc>
        <w:tc>
          <w:tcPr>
            <w:tcW w:type="dxa" w:w="3135"/>
            <w:shd w:fill="F5FAFF" w:val="clear"/>
          </w:tcPr>
          <w:p>
            <w:r/>
            <w:r>
              <w:rPr>
                <w:rFonts w:ascii="Calibri" w:hAnsi="Calibri"/>
                <w:color w:val="4B5563"/>
                <w:sz w:val="19"/>
              </w:rPr>
              <w:t>4</w:t>
            </w:r>
          </w:p>
        </w:tc>
        <w:tc>
          <w:tcPr>
            <w:tcW w:type="dxa" w:w="3135"/>
            <w:shd w:fill="F5FAFF" w:val="clear"/>
          </w:tcPr>
          <w:p>
            <w:r/>
            <w:r>
              <w:rPr>
                <w:rFonts w:ascii="Calibri" w:hAnsi="Calibri"/>
                <w:color w:val="4B5563"/>
                <w:sz w:val="19"/>
              </w:rPr>
              <w:t>Alta capacidad técnica complementaria</w:t>
            </w:r>
          </w:p>
        </w:tc>
      </w:tr>
      <w:tr>
        <w:tc>
          <w:tcPr>
            <w:tcW w:type="dxa" w:w="3135"/>
          </w:tcPr>
          <w:p>
            <w:r/>
            <w:r>
              <w:rPr>
                <w:rFonts w:ascii="Calibri" w:hAnsi="Calibri"/>
                <w:b/>
                <w:color w:val="134078"/>
                <w:sz w:val="19"/>
              </w:rPr>
              <w:t>Staff</w:t>
            </w:r>
          </w:p>
        </w:tc>
        <w:tc>
          <w:tcPr>
            <w:tcW w:type="dxa" w:w="3135"/>
          </w:tcPr>
          <w:p>
            <w:r/>
            <w:r>
              <w:rPr>
                <w:rFonts w:ascii="Calibri" w:hAnsi="Calibri"/>
                <w:color w:val="4B5563"/>
                <w:sz w:val="19"/>
              </w:rPr>
              <w:t>3</w:t>
            </w:r>
          </w:p>
        </w:tc>
        <w:tc>
          <w:tcPr>
            <w:tcW w:type="dxa" w:w="3135"/>
          </w:tcPr>
          <w:p>
            <w:r/>
            <w:r>
              <w:rPr>
                <w:rFonts w:ascii="Calibri" w:hAnsi="Calibri"/>
                <w:color w:val="4B5563"/>
                <w:sz w:val="19"/>
              </w:rPr>
              <w:t>Solo ellos 3. Sin capacidad de escalar sin incorporar gente</w:t>
            </w:r>
          </w:p>
        </w:tc>
      </w:tr>
      <w:tr>
        <w:tc>
          <w:tcPr>
            <w:tcW w:type="dxa" w:w="3135"/>
            <w:shd w:fill="F5FAFF" w:val="clear"/>
          </w:tcPr>
          <w:p>
            <w:r/>
            <w:r>
              <w:rPr>
                <w:rFonts w:ascii="Calibri" w:hAnsi="Calibri"/>
                <w:b/>
                <w:color w:val="134078"/>
                <w:sz w:val="19"/>
              </w:rPr>
              <w:t>Style</w:t>
            </w:r>
          </w:p>
        </w:tc>
        <w:tc>
          <w:tcPr>
            <w:tcW w:type="dxa" w:w="3135"/>
            <w:shd w:fill="F5FAFF" w:val="clear"/>
          </w:tcPr>
          <w:p>
            <w:r/>
            <w:r>
              <w:rPr>
                <w:rFonts w:ascii="Calibri" w:hAnsi="Calibri"/>
                <w:color w:val="4B5563"/>
                <w:sz w:val="19"/>
              </w:rPr>
              <w:t>2</w:t>
            </w:r>
          </w:p>
        </w:tc>
        <w:tc>
          <w:tcPr>
            <w:tcW w:type="dxa" w:w="3135"/>
            <w:shd w:fill="F5FAFF" w:val="clear"/>
          </w:tcPr>
          <w:p>
            <w:r/>
            <w:r>
              <w:rPr>
                <w:rFonts w:ascii="Calibri" w:hAnsi="Calibri"/>
                <w:color w:val="4B5563"/>
                <w:sz w:val="19"/>
              </w:rPr>
              <w:t>Toma de decisiones por consenso informal, sin liderazgo claro</w:t>
            </w:r>
          </w:p>
        </w:tc>
      </w:tr>
    </w:tbl>
    <w:p/>
    <w:p>
      <w:pPr>
        <w:spacing w:after="80"/>
      </w:pPr>
      <w:r>
        <w:rPr>
          <w:rFonts w:ascii="Calibri" w:hAnsi="Calibri"/>
          <w:b w:val="0"/>
          <w:color w:val="F87171"/>
          <w:sz w:val="22"/>
        </w:rPr>
        <w:t>Desalineación crítica: Skills altos pero sin Strategy que los direccione — talento subutilizado. Shared Values fuerte pero sin Structure/Sistemas — buenas intenciones sin soporte.</w:t>
      </w:r>
    </w:p>
    <w:p>
      <w:pPr>
        <w:spacing w:before="0" w:after="200"/>
      </w:pPr>
      <w:r>
        <w:rPr>
          <w:rFonts w:ascii="Calibri" w:hAnsi="Calibri"/>
          <w:b/>
          <w:color w:val="134078"/>
          <w:sz w:val="40"/>
        </w:rPr>
        <w:t>4. Principales Riesgos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34078" w:val="clear"/>
          </w:tcPr>
          <w:p>
            <w:pPr>
              <w:jc w:val="center"/>
            </w:pPr>
            <w:r/>
            <w:r>
              <w:rPr>
                <w:rFonts w:ascii="Calibri" w:hAnsi="Calibri"/>
                <w:b/>
                <w:color w:val="FFFFFF"/>
                <w:sz w:val="20"/>
              </w:rPr>
              <w:t>Riesgo</w:t>
            </w:r>
          </w:p>
        </w:tc>
        <w:tc>
          <w:tcPr>
            <w:tcW w:type="dxa" w:w="1881"/>
            <w:shd w:fill="134078" w:val="clear"/>
          </w:tcPr>
          <w:p>
            <w:pPr>
              <w:jc w:val="center"/>
            </w:pPr>
            <w:r/>
            <w:r>
              <w:rPr>
                <w:rFonts w:ascii="Calibri" w:hAnsi="Calibri"/>
                <w:b/>
                <w:color w:val="FFFFFF"/>
                <w:sz w:val="20"/>
              </w:rPr>
              <w:t>Probabilidad</w:t>
            </w:r>
          </w:p>
        </w:tc>
        <w:tc>
          <w:tcPr>
            <w:tcW w:type="dxa" w:w="1881"/>
            <w:shd w:fill="134078" w:val="clear"/>
          </w:tcPr>
          <w:p>
            <w:pPr>
              <w:jc w:val="center"/>
            </w:pPr>
            <w:r/>
            <w:r>
              <w:rPr>
                <w:rFonts w:ascii="Calibri" w:hAnsi="Calibri"/>
                <w:b/>
                <w:color w:val="FFFFFF"/>
                <w:sz w:val="20"/>
              </w:rPr>
              <w:t>Impacto</w:t>
            </w:r>
          </w:p>
        </w:tc>
        <w:tc>
          <w:tcPr>
            <w:tcW w:type="dxa" w:w="1881"/>
            <w:shd w:fill="134078" w:val="clear"/>
          </w:tcPr>
          <w:p>
            <w:pPr>
              <w:jc w:val="center"/>
            </w:pPr>
            <w:r/>
            <w:r>
              <w:rPr>
                <w:rFonts w:ascii="Calibri" w:hAnsi="Calibri"/>
                <w:b/>
                <w:color w:val="FFFFFF"/>
                <w:sz w:val="20"/>
              </w:rPr>
              <w:t>Control</w:t>
            </w:r>
          </w:p>
        </w:tc>
        <w:tc>
          <w:tcPr>
            <w:tcW w:type="dxa" w:w="1881"/>
            <w:shd w:fill="134078" w:val="clear"/>
          </w:tcPr>
          <w:p>
            <w:pPr>
              <w:jc w:val="center"/>
            </w:pPr>
            <w:r/>
            <w:r>
              <w:rPr>
                <w:rFonts w:ascii="Calibri" w:hAnsi="Calibri"/>
                <w:b/>
                <w:color w:val="FFFFFF"/>
                <w:sz w:val="20"/>
              </w:rPr>
              <w:t>Riesgo Residual</w:t>
            </w:r>
          </w:p>
        </w:tc>
      </w:tr>
      <w:tr>
        <w:tc>
          <w:tcPr>
            <w:tcW w:type="dxa" w:w="1881"/>
            <w:shd w:fill="F5FAFF" w:val="clear"/>
          </w:tcPr>
          <w:p>
            <w:r/>
            <w:r>
              <w:rPr>
                <w:rFonts w:ascii="Calibri" w:hAnsi="Calibri"/>
                <w:b/>
                <w:color w:val="134078"/>
                <w:sz w:val="19"/>
              </w:rPr>
              <w:t>Pérdida del único cliente activo</w:t>
            </w:r>
          </w:p>
        </w:tc>
        <w:tc>
          <w:tcPr>
            <w:tcW w:type="dxa" w:w="1881"/>
            <w:shd w:fill="F5FAFF" w:val="clear"/>
          </w:tcPr>
          <w:p>
            <w:r/>
            <w:r>
              <w:rPr>
                <w:rFonts w:ascii="Calibri" w:hAnsi="Calibri"/>
                <w:color w:val="4B5563"/>
                <w:sz w:val="19"/>
              </w:rPr>
              <w:t>Muy Alta</w:t>
            </w:r>
          </w:p>
        </w:tc>
        <w:tc>
          <w:tcPr>
            <w:tcW w:type="dxa" w:w="1881"/>
            <w:shd w:fill="F5FAFF" w:val="clear"/>
          </w:tcPr>
          <w:p>
            <w:r/>
            <w:r>
              <w:rPr>
                <w:rFonts w:ascii="Calibri" w:hAnsi="Calibri"/>
                <w:color w:val="4B5563"/>
                <w:sz w:val="19"/>
              </w:rPr>
              <w:t>Crítico</w:t>
            </w:r>
          </w:p>
        </w:tc>
        <w:tc>
          <w:tcPr>
            <w:tcW w:type="dxa" w:w="1881"/>
            <w:shd w:fill="F5FAFF" w:val="clear"/>
          </w:tcPr>
          <w:p>
            <w:r/>
            <w:r>
              <w:rPr>
                <w:rFonts w:ascii="Calibri" w:hAnsi="Calibri"/>
                <w:color w:val="4B5563"/>
                <w:sz w:val="19"/>
              </w:rPr>
              <w:t>Ninguno</w:t>
            </w:r>
          </w:p>
        </w:tc>
        <w:tc>
          <w:tcPr>
            <w:tcW w:type="dxa" w:w="1881"/>
            <w:shd w:fill="F5FAFF" w:val="clear"/>
          </w:tcPr>
          <w:p>
            <w:r/>
            <w:r>
              <w:rPr>
                <w:rFonts w:ascii="Calibri" w:hAnsi="Calibri"/>
                <w:color w:val="4B5563"/>
                <w:sz w:val="19"/>
              </w:rPr>
              <w:t>Crítico</w:t>
            </w:r>
          </w:p>
        </w:tc>
      </w:tr>
      <w:tr>
        <w:tc>
          <w:tcPr>
            <w:tcW w:type="dxa" w:w="1881"/>
          </w:tcPr>
          <w:p>
            <w:r/>
            <w:r>
              <w:rPr>
                <w:rFonts w:ascii="Calibri" w:hAnsi="Calibri"/>
                <w:b/>
                <w:color w:val="134078"/>
                <w:sz w:val="19"/>
              </w:rPr>
              <w:t>No formalización jurídica</w:t>
            </w:r>
          </w:p>
        </w:tc>
        <w:tc>
          <w:tcPr>
            <w:tcW w:type="dxa" w:w="1881"/>
          </w:tcPr>
          <w:p>
            <w:r/>
            <w:r>
              <w:rPr>
                <w:rFonts w:ascii="Calibri" w:hAnsi="Calibri"/>
                <w:color w:val="4B5563"/>
                <w:sz w:val="19"/>
              </w:rPr>
              <w:t>Muy Alta</w:t>
            </w:r>
          </w:p>
        </w:tc>
        <w:tc>
          <w:tcPr>
            <w:tcW w:type="dxa" w:w="1881"/>
          </w:tcPr>
          <w:p>
            <w:r/>
            <w:r>
              <w:rPr>
                <w:rFonts w:ascii="Calibri" w:hAnsi="Calibri"/>
                <w:color w:val="4B5563"/>
                <w:sz w:val="19"/>
              </w:rPr>
              <w:t>Alto</w:t>
            </w:r>
          </w:p>
        </w:tc>
        <w:tc>
          <w:tcPr>
            <w:tcW w:type="dxa" w:w="1881"/>
          </w:tcPr>
          <w:p>
            <w:r/>
            <w:r>
              <w:rPr>
                <w:rFonts w:ascii="Calibri" w:hAnsi="Calibri"/>
                <w:color w:val="4B5563"/>
                <w:sz w:val="19"/>
              </w:rPr>
              <w:t>Ninguno</w:t>
            </w:r>
          </w:p>
        </w:tc>
        <w:tc>
          <w:tcPr>
            <w:tcW w:type="dxa" w:w="1881"/>
          </w:tcPr>
          <w:p>
            <w:r/>
            <w:r>
              <w:rPr>
                <w:rFonts w:ascii="Calibri" w:hAnsi="Calibri"/>
                <w:color w:val="4B5563"/>
                <w:sz w:val="19"/>
              </w:rPr>
              <w:t>Crítico</w:t>
            </w:r>
          </w:p>
        </w:tc>
      </w:tr>
      <w:tr>
        <w:tc>
          <w:tcPr>
            <w:tcW w:type="dxa" w:w="1881"/>
            <w:shd w:fill="F5FAFF" w:val="clear"/>
          </w:tcPr>
          <w:p>
            <w:r/>
            <w:r>
              <w:rPr>
                <w:rFonts w:ascii="Calibri" w:hAnsi="Calibri"/>
                <w:b/>
                <w:color w:val="134078"/>
                <w:sz w:val="19"/>
              </w:rPr>
              <w:t>No cierre de prospectos</w:t>
            </w:r>
          </w:p>
        </w:tc>
        <w:tc>
          <w:tcPr>
            <w:tcW w:type="dxa" w:w="1881"/>
            <w:shd w:fill="F5FAFF" w:val="clear"/>
          </w:tcPr>
          <w:p>
            <w:r/>
            <w:r>
              <w:rPr>
                <w:rFonts w:ascii="Calibri" w:hAnsi="Calibri"/>
                <w:color w:val="4B5563"/>
                <w:sz w:val="19"/>
              </w:rPr>
              <w:t>Alta</w:t>
            </w:r>
          </w:p>
        </w:tc>
        <w:tc>
          <w:tcPr>
            <w:tcW w:type="dxa" w:w="1881"/>
            <w:shd w:fill="F5FAFF" w:val="clear"/>
          </w:tcPr>
          <w:p>
            <w:r/>
            <w:r>
              <w:rPr>
                <w:rFonts w:ascii="Calibri" w:hAnsi="Calibri"/>
                <w:color w:val="4B5563"/>
                <w:sz w:val="19"/>
              </w:rPr>
              <w:t>Crítico</w:t>
            </w:r>
          </w:p>
        </w:tc>
        <w:tc>
          <w:tcPr>
            <w:tcW w:type="dxa" w:w="1881"/>
            <w:shd w:fill="F5FAFF" w:val="clear"/>
          </w:tcPr>
          <w:p>
            <w:r/>
            <w:r>
              <w:rPr>
                <w:rFonts w:ascii="Calibri" w:hAnsi="Calibri"/>
                <w:color w:val="4B5563"/>
                <w:sz w:val="19"/>
              </w:rPr>
              <w:t>Ninguno</w:t>
            </w:r>
          </w:p>
        </w:tc>
        <w:tc>
          <w:tcPr>
            <w:tcW w:type="dxa" w:w="1881"/>
            <w:shd w:fill="F5FAFF" w:val="clear"/>
          </w:tcPr>
          <w:p>
            <w:r/>
            <w:r>
              <w:rPr>
                <w:rFonts w:ascii="Calibri" w:hAnsi="Calibri"/>
                <w:color w:val="4B5563"/>
                <w:sz w:val="19"/>
              </w:rPr>
              <w:t>Crítico</w:t>
            </w:r>
          </w:p>
        </w:tc>
      </w:tr>
      <w:tr>
        <w:tc>
          <w:tcPr>
            <w:tcW w:type="dxa" w:w="1881"/>
          </w:tcPr>
          <w:p>
            <w:r/>
            <w:r>
              <w:rPr>
                <w:rFonts w:ascii="Calibri" w:hAnsi="Calibri"/>
                <w:b/>
                <w:color w:val="134078"/>
                <w:sz w:val="19"/>
              </w:rPr>
              <w:t>Dependencia de 3 personas</w:t>
            </w:r>
          </w:p>
        </w:tc>
        <w:tc>
          <w:tcPr>
            <w:tcW w:type="dxa" w:w="1881"/>
          </w:tcPr>
          <w:p>
            <w:r/>
            <w:r>
              <w:rPr>
                <w:rFonts w:ascii="Calibri" w:hAnsi="Calibri"/>
                <w:color w:val="4B5563"/>
                <w:sz w:val="19"/>
              </w:rPr>
              <w:t>Media</w:t>
            </w:r>
          </w:p>
        </w:tc>
        <w:tc>
          <w:tcPr>
            <w:tcW w:type="dxa" w:w="1881"/>
          </w:tcPr>
          <w:p>
            <w:r/>
            <w:r>
              <w:rPr>
                <w:rFonts w:ascii="Calibri" w:hAnsi="Calibri"/>
                <w:color w:val="4B5563"/>
                <w:sz w:val="19"/>
              </w:rPr>
              <w:t>Muy Alto</w:t>
            </w:r>
          </w:p>
        </w:tc>
        <w:tc>
          <w:tcPr>
            <w:tcW w:type="dxa" w:w="1881"/>
          </w:tcPr>
          <w:p>
            <w:r/>
            <w:r>
              <w:rPr>
                <w:rFonts w:ascii="Calibri" w:hAnsi="Calibri"/>
                <w:color w:val="4B5563"/>
                <w:sz w:val="19"/>
              </w:rPr>
              <w:t>Ninguno</w:t>
            </w:r>
          </w:p>
        </w:tc>
        <w:tc>
          <w:tcPr>
            <w:tcW w:type="dxa" w:w="1881"/>
          </w:tcPr>
          <w:p>
            <w:r/>
            <w:r>
              <w:rPr>
                <w:rFonts w:ascii="Calibri" w:hAnsi="Calibri"/>
                <w:color w:val="4B5563"/>
                <w:sz w:val="19"/>
              </w:rPr>
              <w:t>Alto</w:t>
            </w:r>
          </w:p>
        </w:tc>
      </w:tr>
      <w:tr>
        <w:tc>
          <w:tcPr>
            <w:tcW w:type="dxa" w:w="1881"/>
            <w:shd w:fill="F5FAFF" w:val="clear"/>
          </w:tcPr>
          <w:p>
            <w:r/>
            <w:r>
              <w:rPr>
                <w:rFonts w:ascii="Calibri" w:hAnsi="Calibri"/>
                <w:b/>
                <w:color w:val="134078"/>
                <w:sz w:val="19"/>
              </w:rPr>
              <w:t>Falta de diferenciación</w:t>
            </w:r>
          </w:p>
        </w:tc>
        <w:tc>
          <w:tcPr>
            <w:tcW w:type="dxa" w:w="1881"/>
            <w:shd w:fill="F5FAFF" w:val="clear"/>
          </w:tcPr>
          <w:p>
            <w:r/>
            <w:r>
              <w:rPr>
                <w:rFonts w:ascii="Calibri" w:hAnsi="Calibri"/>
                <w:color w:val="4B5563"/>
                <w:sz w:val="19"/>
              </w:rPr>
              <w:t>Muy Alta</w:t>
            </w:r>
          </w:p>
        </w:tc>
        <w:tc>
          <w:tcPr>
            <w:tcW w:type="dxa" w:w="1881"/>
            <w:shd w:fill="F5FAFF" w:val="clear"/>
          </w:tcPr>
          <w:p>
            <w:r/>
            <w:r>
              <w:rPr>
                <w:rFonts w:ascii="Calibri" w:hAnsi="Calibri"/>
                <w:color w:val="4B5563"/>
                <w:sz w:val="19"/>
              </w:rPr>
              <w:t>Medio</w:t>
            </w:r>
          </w:p>
        </w:tc>
        <w:tc>
          <w:tcPr>
            <w:tcW w:type="dxa" w:w="1881"/>
            <w:shd w:fill="F5FAFF" w:val="clear"/>
          </w:tcPr>
          <w:p>
            <w:r/>
            <w:r>
              <w:rPr>
                <w:rFonts w:ascii="Calibri" w:hAnsi="Calibri"/>
                <w:color w:val="4B5563"/>
                <w:sz w:val="19"/>
              </w:rPr>
              <w:t>Ninguno</w:t>
            </w:r>
          </w:p>
        </w:tc>
        <w:tc>
          <w:tcPr>
            <w:tcW w:type="dxa" w:w="1881"/>
            <w:shd w:fill="F5FAFF" w:val="clear"/>
          </w:tcPr>
          <w:p>
            <w:r/>
            <w:r>
              <w:rPr>
                <w:rFonts w:ascii="Calibri" w:hAnsi="Calibri"/>
                <w:color w:val="4B5563"/>
                <w:sz w:val="19"/>
              </w:rPr>
              <w:t>Alto</w:t>
            </w:r>
          </w:p>
        </w:tc>
      </w:tr>
      <w:tr>
        <w:tc>
          <w:tcPr>
            <w:tcW w:type="dxa" w:w="1881"/>
          </w:tcPr>
          <w:p>
            <w:r/>
            <w:r>
              <w:rPr>
                <w:rFonts w:ascii="Calibri" w:hAnsi="Calibri"/>
                <w:b/>
                <w:color w:val="134078"/>
                <w:sz w:val="19"/>
              </w:rPr>
              <w:t>Riesgo fiscal</w:t>
            </w:r>
          </w:p>
        </w:tc>
        <w:tc>
          <w:tcPr>
            <w:tcW w:type="dxa" w:w="1881"/>
          </w:tcPr>
          <w:p>
            <w:r/>
            <w:r>
              <w:rPr>
                <w:rFonts w:ascii="Calibri" w:hAnsi="Calibri"/>
                <w:color w:val="4B5563"/>
                <w:sz w:val="19"/>
              </w:rPr>
              <w:t>Media</w:t>
            </w:r>
          </w:p>
        </w:tc>
        <w:tc>
          <w:tcPr>
            <w:tcW w:type="dxa" w:w="1881"/>
          </w:tcPr>
          <w:p>
            <w:r/>
            <w:r>
              <w:rPr>
                <w:rFonts w:ascii="Calibri" w:hAnsi="Calibri"/>
                <w:color w:val="4B5563"/>
                <w:sz w:val="19"/>
              </w:rPr>
              <w:t>Alto</w:t>
            </w:r>
          </w:p>
        </w:tc>
        <w:tc>
          <w:tcPr>
            <w:tcW w:type="dxa" w:w="1881"/>
          </w:tcPr>
          <w:p>
            <w:r/>
            <w:r>
              <w:rPr>
                <w:rFonts w:ascii="Calibri" w:hAnsi="Calibri"/>
                <w:color w:val="4B5563"/>
                <w:sz w:val="19"/>
              </w:rPr>
              <w:t>Ninguno</w:t>
            </w:r>
          </w:p>
        </w:tc>
        <w:tc>
          <w:tcPr>
            <w:tcW w:type="dxa" w:w="1881"/>
          </w:tcPr>
          <w:p>
            <w:r/>
            <w:r>
              <w:rPr>
                <w:rFonts w:ascii="Calibri" w:hAnsi="Calibri"/>
                <w:color w:val="4B5563"/>
                <w:sz w:val="19"/>
              </w:rPr>
              <w:t>Alto</w:t>
            </w:r>
          </w:p>
        </w:tc>
      </w:tr>
    </w:tbl>
    <w:p/>
    <w:p>
      <w:pPr>
        <w:spacing w:after="80"/>
      </w:pPr>
      <w:r>
        <w:rPr>
          <w:rFonts w:ascii="Calibri" w:hAnsi="Calibri"/>
          <w:b/>
          <w:color w:val="F87171"/>
          <w:sz w:val="22"/>
        </w:rPr>
        <w:t>Riesgo crítico N°1: que termine el proyecto actual sin haber cerrado nuevos clientes.</w:t>
      </w:r>
    </w:p>
    <w:p>
      <w:pPr>
        <w:spacing w:after="80"/>
      </w:pPr>
      <w:r>
        <w:rPr>
          <w:rFonts w:ascii="Calibri" w:hAnsi="Calibri"/>
          <w:b/>
          <w:color w:val="F87171"/>
          <w:sz w:val="22"/>
        </w:rPr>
        <w:t>Riesgo crítico N°2: seguir postergando la formalización y perder oportunidades por no poder emitir factura legal o contratar formalmente.</w:t>
      </w:r>
    </w:p>
    <w:p>
      <w:pPr>
        <w:spacing w:after="80"/>
      </w:pPr>
      <w:r>
        <w:rPr>
          <w:rFonts w:ascii="Calibri" w:hAnsi="Calibri"/>
          <w:b/>
          <w:color w:val="F87171"/>
          <w:sz w:val="22"/>
        </w:rPr>
        <w:t>Riesgo crítico N°3: que un socio se desvincule sin forma de reemplazar su capacidad ni su cartera de contactos.</w:t>
      </w:r>
    </w:p>
    <w:p>
      <w:pPr>
        <w:spacing w:before="0" w:after="200"/>
      </w:pPr>
      <w:r>
        <w:rPr>
          <w:rFonts w:ascii="Calibri" w:hAnsi="Calibri"/>
          <w:b/>
          <w:color w:val="134078"/>
          <w:sz w:val="40"/>
        </w:rPr>
        <w:t>5. Causas Raíz</w:t>
      </w:r>
    </w:p>
    <w:p>
      <w:pPr>
        <w:spacing w:after="80"/>
      </w:pPr>
      <w:r>
        <w:rPr>
          <w:rFonts w:ascii="Calibri" w:hAnsi="Calibri"/>
          <w:b w:val="0"/>
          <w:color w:val="4B5563"/>
          <w:sz w:val="22"/>
        </w:rPr>
        <w:t>El análisis integrado de los diagnósticos de cada especialista revela cinco causas raíz que explican la situación actual:</w:t>
      </w:r>
    </w:p>
    <w:p>
      <w:pPr>
        <w:pStyle w:val="ListBullet"/>
        <w:spacing w:after="40"/>
        <w:ind w:left="720"/>
      </w:pPr>
      <w:r>
        <w:rPr>
          <w:rFonts w:ascii="Calibri" w:hAnsi="Calibri"/>
          <w:b/>
          <w:color w:val="4B5563"/>
          <w:sz w:val="22"/>
        </w:rPr>
        <w:t xml:space="preserve">1. Ausencia de visión empresarial formal. </w:t>
      </w:r>
      <w:r>
        <w:rPr>
          <w:rFonts w:ascii="Calibri" w:hAnsi="Calibri"/>
          <w:color w:val="4B5563"/>
          <w:sz w:val="22"/>
        </w:rPr>
        <w:t>No hay estrategia porque no se han sentado a definirla como negocio, sino como profesionales que hacen proyectos. Esto impacta en todas las demás áreas.</w:t>
      </w:r>
    </w:p>
    <w:p>
      <w:pPr>
        <w:pStyle w:val="ListBullet"/>
        <w:spacing w:after="40"/>
        <w:ind w:left="720"/>
      </w:pPr>
      <w:r>
        <w:rPr>
          <w:rFonts w:ascii="Calibri" w:hAnsi="Calibri"/>
          <w:b/>
          <w:color w:val="4B5563"/>
          <w:sz w:val="22"/>
        </w:rPr>
        <w:t xml:space="preserve">2. Falta de estructura mínima. </w:t>
      </w:r>
      <w:r>
        <w:rPr>
          <w:rFonts w:ascii="Calibri" w:hAnsi="Calibri"/>
          <w:color w:val="4B5563"/>
          <w:sz w:val="22"/>
        </w:rPr>
        <w:t>Sin persona jurídica no pueden contratar formalmente, no pueden tener marca registrada, no pueden escalar ni generar confianza institucional.</w:t>
      </w:r>
    </w:p>
    <w:p>
      <w:pPr>
        <w:pStyle w:val="ListBullet"/>
        <w:spacing w:after="40"/>
        <w:ind w:left="720"/>
      </w:pPr>
      <w:r>
        <w:rPr>
          <w:rFonts w:ascii="Calibri" w:hAnsi="Calibri"/>
          <w:b/>
          <w:color w:val="4B5563"/>
          <w:sz w:val="22"/>
        </w:rPr>
        <w:t xml:space="preserve">3. Inexistencia de propuesta de valor. </w:t>
      </w:r>
      <w:r>
        <w:rPr>
          <w:rFonts w:ascii="Calibri" w:hAnsi="Calibri"/>
          <w:color w:val="4B5563"/>
          <w:sz w:val="22"/>
        </w:rPr>
        <w:t>No saben qué vender exactamente, a quién, ni por qué un cliente los elegiría a ellos y no a otro. Sin propuesta de valor no hay comunicación, no hay marketing, no hay ventas.</w:t>
      </w:r>
    </w:p>
    <w:p>
      <w:pPr>
        <w:pStyle w:val="ListBullet"/>
        <w:spacing w:after="40"/>
        <w:ind w:left="720"/>
      </w:pPr>
      <w:r>
        <w:rPr>
          <w:rFonts w:ascii="Calibri" w:hAnsi="Calibri"/>
          <w:b/>
          <w:color w:val="4B5563"/>
          <w:sz w:val="22"/>
        </w:rPr>
        <w:t xml:space="preserve">4. Cero inversión comercial. </w:t>
      </w:r>
      <w:r>
        <w:rPr>
          <w:rFonts w:ascii="Calibri" w:hAnsi="Calibri"/>
          <w:color w:val="4B5563"/>
          <w:sz w:val="22"/>
        </w:rPr>
        <w:t>Sin canales, sin marketing, sin procesos de venta. Dependen 100% de la red personal de contactos. Cuando la red no genera, no hay ingresos.</w:t>
      </w:r>
    </w:p>
    <w:p>
      <w:pPr>
        <w:pStyle w:val="ListBullet"/>
        <w:spacing w:after="40"/>
        <w:ind w:left="720"/>
      </w:pPr>
      <w:r>
        <w:rPr>
          <w:rFonts w:ascii="Calibri" w:hAnsi="Calibri"/>
          <w:b/>
          <w:color w:val="4B5563"/>
          <w:sz w:val="22"/>
        </w:rPr>
        <w:t xml:space="preserve">5. Modelo de ingresos por proyecto puro. </w:t>
      </w:r>
      <w:r>
        <w:rPr>
          <w:rFonts w:ascii="Calibri" w:hAnsi="Calibri"/>
          <w:color w:val="4B5563"/>
          <w:sz w:val="22"/>
        </w:rPr>
        <w:t>Sin recurrencia, sin retención, sin clientes activos entre proyectos. Cada vez que termina un proyecto, el ingreso se reinicia desde cero.</w:t>
      </w:r>
    </w:p>
    <w:p>
      <w:pPr>
        <w:spacing w:after="80"/>
      </w:pPr>
      <w:r>
        <w:rPr>
          <w:rFonts w:ascii="Calibri" w:hAnsi="Calibri"/>
          <w:b w:val="0"/>
          <w:color w:val="4B5563"/>
          <w:sz w:val="22"/>
        </w:rPr>
      </w:r>
    </w:p>
    <w:p>
      <w:r>
        <w:rPr>
          <w:rFonts w:ascii="Calibri" w:hAnsi="Calibri"/>
          <w:b/>
          <w:color w:val="134078"/>
          <w:sz w:val="22"/>
        </w:rPr>
        <w:t xml:space="preserve">Relación entre causas: </w:t>
      </w:r>
      <w:r>
        <w:rPr>
          <w:rFonts w:ascii="Calibri" w:hAnsi="Calibri"/>
          <w:color w:val="4B5563"/>
          <w:sz w:val="22"/>
        </w:rPr>
        <w:t>la falta de estructura jurídica impide contratar clientes grandes y expone a riesgo fiscal. La falta de propuesta de valor combinada con cero canales genera la dependencia de un único cliente. El talento alto pero sin dirección estratégica es el recurso más valioso subutilizado.</w:t>
      </w:r>
    </w:p>
    <w:p>
      <w:pPr>
        <w:spacing w:before="0" w:after="200"/>
      </w:pPr>
      <w:r>
        <w:rPr>
          <w:rFonts w:ascii="Calibri" w:hAnsi="Calibri"/>
          <w:b/>
          <w:color w:val="134078"/>
          <w:sz w:val="40"/>
        </w:rPr>
        <w:t>6. Oportunidades de Mejora</w:t>
      </w:r>
    </w:p>
    <w:p>
      <w:pPr>
        <w:spacing w:before="280" w:after="120"/>
      </w:pPr>
      <w:r>
        <w:rPr>
          <w:rFonts w:ascii="Calibri" w:hAnsi="Calibri"/>
          <w:b/>
          <w:color w:val="134078"/>
          <w:sz w:val="28"/>
        </w:rPr>
        <w:t>6.1 Mercado</w:t>
      </w:r>
    </w:p>
    <w:p>
      <w:pPr>
        <w:pStyle w:val="ListBullet"/>
        <w:spacing w:after="40"/>
        <w:ind w:left="720"/>
      </w:pPr>
      <w:r>
        <w:rPr>
          <w:rFonts w:ascii="Calibri" w:hAnsi="Calibri"/>
          <w:color w:val="4B5563"/>
          <w:sz w:val="22"/>
        </w:rPr>
        <w:t xml:space="preserve"> El mercado de compliance está en expansión. Cada vez más empresas necesitan programas de integridad, adecuación normativa y auditoría de cumplimiento.</w:t>
      </w:r>
    </w:p>
    <w:p>
      <w:pPr>
        <w:pStyle w:val="ListBullet"/>
        <w:spacing w:after="40"/>
        <w:ind w:left="720"/>
      </w:pPr>
      <w:r>
        <w:rPr>
          <w:rFonts w:ascii="Calibri" w:hAnsi="Calibri"/>
          <w:color w:val="4B5563"/>
          <w:sz w:val="22"/>
        </w:rPr>
        <w:t xml:space="preserve"> Son 3 perfiles complementarios (procesos/gestión + norma/Estado) que ofrecen una oferta integrada única si la saben articular.</w:t>
      </w:r>
    </w:p>
    <w:p>
      <w:pPr>
        <w:pStyle w:val="ListBullet"/>
        <w:spacing w:after="40"/>
        <w:ind w:left="720"/>
      </w:pPr>
      <w:r>
        <w:rPr>
          <w:rFonts w:ascii="Calibri" w:hAnsi="Calibri"/>
          <w:color w:val="4B5563"/>
          <w:sz w:val="22"/>
        </w:rPr>
        <w:t xml:space="preserve"> Zero-base: sin vicios, sin estructura obsoleta, sin costos hundidos. Pueden diseñar la empresa ideal desde cero.</w:t>
      </w:r>
    </w:p>
    <w:p>
      <w:pPr>
        <w:spacing w:before="280" w:after="120"/>
      </w:pPr>
      <w:r>
        <w:rPr>
          <w:rFonts w:ascii="Calibri" w:hAnsi="Calibri"/>
          <w:b/>
          <w:color w:val="134078"/>
          <w:sz w:val="28"/>
        </w:rPr>
        <w:t>6.2 Blue Ocean — Estrategia de diferenciación (ERRC)</w:t>
      </w:r>
    </w:p>
    <w:tbl>
      <w:tblPr>
        <w:tblStyle w:val="TableGrid"/>
        <w:tblW w:type="auto" w:w="0"/>
        <w:jc w:val="center"/>
        <w:tblLook w:firstColumn="1" w:firstRow="1" w:lastColumn="0" w:lastRow="0" w:noHBand="0" w:noVBand="1" w:val="04A0"/>
      </w:tblPr>
      <w:tblGrid>
        <w:gridCol w:w="4703"/>
        <w:gridCol w:w="4703"/>
      </w:tblGrid>
      <w:tr>
        <w:tc>
          <w:tcPr>
            <w:tcW w:type="dxa" w:w="4703"/>
            <w:shd w:fill="134078" w:val="clear"/>
          </w:tcPr>
          <w:p>
            <w:pPr>
              <w:jc w:val="center"/>
            </w:pPr>
            <w:r/>
            <w:r>
              <w:rPr>
                <w:rFonts w:ascii="Calibri" w:hAnsi="Calibri"/>
                <w:b/>
                <w:color w:val="FFFFFF"/>
                <w:sz w:val="20"/>
              </w:rPr>
              <w:t>Acción</w:t>
            </w:r>
          </w:p>
        </w:tc>
        <w:tc>
          <w:tcPr>
            <w:tcW w:type="dxa" w:w="4703"/>
            <w:shd w:fill="134078" w:val="clear"/>
          </w:tcPr>
          <w:p>
            <w:pPr>
              <w:jc w:val="center"/>
            </w:pPr>
            <w:r/>
            <w:r>
              <w:rPr>
                <w:rFonts w:ascii="Calibri" w:hAnsi="Calibri"/>
                <w:b/>
                <w:color w:val="FFFFFF"/>
                <w:sz w:val="20"/>
              </w:rPr>
              <w:t>Qué</w:t>
            </w:r>
          </w:p>
        </w:tc>
      </w:tr>
      <w:tr>
        <w:tc>
          <w:tcPr>
            <w:tcW w:type="dxa" w:w="4703"/>
            <w:shd w:fill="F5FAFF" w:val="clear"/>
          </w:tcPr>
          <w:p>
            <w:r/>
            <w:r>
              <w:rPr>
                <w:rFonts w:ascii="Calibri" w:hAnsi="Calibri"/>
                <w:b/>
                <w:color w:val="134078"/>
                <w:sz w:val="19"/>
              </w:rPr>
              <w:t>Eliminar</w:t>
            </w:r>
          </w:p>
        </w:tc>
        <w:tc>
          <w:tcPr>
            <w:tcW w:type="dxa" w:w="4703"/>
            <w:shd w:fill="F5FAFF" w:val="clear"/>
          </w:tcPr>
          <w:p>
            <w:r/>
            <w:r>
              <w:rPr>
                <w:rFonts w:ascii="Calibri" w:hAnsi="Calibri"/>
                <w:color w:val="4B5563"/>
                <w:sz w:val="19"/>
              </w:rPr>
              <w:t>Estructura de precios por hora / honorarios individuales</w:t>
            </w:r>
          </w:p>
        </w:tc>
      </w:tr>
      <w:tr>
        <w:tc>
          <w:tcPr>
            <w:tcW w:type="dxa" w:w="4703"/>
          </w:tcPr>
          <w:p>
            <w:r/>
            <w:r>
              <w:rPr>
                <w:rFonts w:ascii="Calibri" w:hAnsi="Calibri"/>
                <w:b/>
                <w:color w:val="134078"/>
                <w:sz w:val="19"/>
              </w:rPr>
              <w:t>Reducir</w:t>
            </w:r>
          </w:p>
        </w:tc>
        <w:tc>
          <w:tcPr>
            <w:tcW w:type="dxa" w:w="4703"/>
          </w:tcPr>
          <w:p>
            <w:r/>
            <w:r>
              <w:rPr>
                <w:rFonts w:ascii="Calibri" w:hAnsi="Calibri"/>
                <w:color w:val="4B5563"/>
                <w:sz w:val="19"/>
              </w:rPr>
              <w:t>Complejidad burocrática típica de estudios jurídicos</w:t>
            </w:r>
          </w:p>
        </w:tc>
      </w:tr>
      <w:tr>
        <w:tc>
          <w:tcPr>
            <w:tcW w:type="dxa" w:w="4703"/>
            <w:shd w:fill="F5FAFF" w:val="clear"/>
          </w:tcPr>
          <w:p>
            <w:r/>
            <w:r>
              <w:rPr>
                <w:rFonts w:ascii="Calibri" w:hAnsi="Calibri"/>
                <w:b/>
                <w:color w:val="134078"/>
                <w:sz w:val="19"/>
              </w:rPr>
              <w:t>Incrementar</w:t>
            </w:r>
          </w:p>
        </w:tc>
        <w:tc>
          <w:tcPr>
            <w:tcW w:type="dxa" w:w="4703"/>
            <w:shd w:fill="F5FAFF" w:val="clear"/>
          </w:tcPr>
          <w:p>
            <w:r/>
            <w:r>
              <w:rPr>
                <w:rFonts w:ascii="Calibri" w:hAnsi="Calibri"/>
                <w:color w:val="4B5563"/>
                <w:sz w:val="19"/>
              </w:rPr>
              <w:t>Cercanía con el cliente, lenguaje claro, seguimiento proactivo</w:t>
            </w:r>
          </w:p>
        </w:tc>
      </w:tr>
      <w:tr>
        <w:tc>
          <w:tcPr>
            <w:tcW w:type="dxa" w:w="4703"/>
          </w:tcPr>
          <w:p>
            <w:r/>
            <w:r>
              <w:rPr>
                <w:rFonts w:ascii="Calibri" w:hAnsi="Calibri"/>
                <w:b/>
                <w:color w:val="134078"/>
                <w:sz w:val="19"/>
              </w:rPr>
              <w:t>Crear</w:t>
            </w:r>
          </w:p>
        </w:tc>
        <w:tc>
          <w:tcPr>
            <w:tcW w:type="dxa" w:w="4703"/>
          </w:tcPr>
          <w:p>
            <w:r/>
            <w:r>
              <w:rPr>
                <w:rFonts w:ascii="Calibri" w:hAnsi="Calibri"/>
                <w:color w:val="4B5563"/>
                <w:sz w:val="19"/>
              </w:rPr>
              <w:t>Suscripción/mantenimiento compliance (recurrencia), dashboard de cumplimiento</w:t>
            </w:r>
          </w:p>
        </w:tc>
      </w:tr>
    </w:tbl>
    <w:p/>
    <w:p>
      <w:pPr>
        <w:spacing w:before="280" w:after="120"/>
      </w:pPr>
      <w:r>
        <w:rPr>
          <w:rFonts w:ascii="Calibri" w:hAnsi="Calibri"/>
          <w:b/>
          <w:color w:val="134078"/>
          <w:sz w:val="28"/>
        </w:rPr>
        <w:t>6.3 JTBD — Trabajos por resolver</w:t>
      </w:r>
    </w:p>
    <w:p>
      <w:pPr>
        <w:pStyle w:val="ListBullet"/>
        <w:spacing w:after="40"/>
        <w:ind w:left="720"/>
      </w:pPr>
      <w:r>
        <w:rPr>
          <w:rFonts w:ascii="Calibri" w:hAnsi="Calibri"/>
          <w:color w:val="4B5563"/>
          <w:sz w:val="22"/>
        </w:rPr>
        <w:t xml:space="preserve"> Trabajo funcional: 'cumplir con normativa sin exposición legal'.</w:t>
      </w:r>
    </w:p>
    <w:p>
      <w:pPr>
        <w:pStyle w:val="ListBullet"/>
        <w:spacing w:after="40"/>
        <w:ind w:left="720"/>
      </w:pPr>
      <w:r>
        <w:rPr>
          <w:rFonts w:ascii="Calibri" w:hAnsi="Calibri"/>
          <w:color w:val="4B5563"/>
          <w:sz w:val="22"/>
        </w:rPr>
        <w:t xml:space="preserve"> Trabajo emocional: 'tranquilidad de estar en regla'.</w:t>
      </w:r>
    </w:p>
    <w:p>
      <w:pPr>
        <w:pStyle w:val="ListBullet"/>
        <w:spacing w:after="40"/>
        <w:ind w:left="720"/>
      </w:pPr>
      <w:r>
        <w:rPr>
          <w:rFonts w:ascii="Calibri" w:hAnsi="Calibri"/>
          <w:color w:val="4B5563"/>
          <w:sz w:val="22"/>
        </w:rPr>
        <w:t xml:space="preserve"> Trabajo social: 'mostrar ante el Estado/terceros que cumplen'.</w:t>
      </w:r>
    </w:p>
    <w:p>
      <w:pPr>
        <w:spacing w:before="280" w:after="120"/>
      </w:pPr>
      <w:r>
        <w:rPr>
          <w:rFonts w:ascii="Calibri" w:hAnsi="Calibri"/>
          <w:b/>
          <w:color w:val="134078"/>
          <w:sz w:val="28"/>
        </w:rPr>
        <w:t>6.4 Automatización (IA)</w:t>
      </w:r>
    </w:p>
    <w:p>
      <w:pPr>
        <w:pStyle w:val="ListBullet"/>
        <w:spacing w:after="40"/>
        <w:ind w:left="720"/>
      </w:pPr>
      <w:r>
        <w:rPr>
          <w:rFonts w:ascii="Calibri" w:hAnsi="Calibri"/>
          <w:color w:val="4B5563"/>
          <w:sz w:val="22"/>
        </w:rPr>
        <w:t xml:space="preserve"> Chatbot/mailbox inteligente para primeras consultas de prospectos.</w:t>
      </w:r>
    </w:p>
    <w:p>
      <w:pPr>
        <w:pStyle w:val="ListBullet"/>
        <w:spacing w:after="40"/>
        <w:ind w:left="720"/>
      </w:pPr>
      <w:r>
        <w:rPr>
          <w:rFonts w:ascii="Calibri" w:hAnsi="Calibri"/>
          <w:color w:val="4B5563"/>
          <w:sz w:val="22"/>
        </w:rPr>
        <w:t xml:space="preserve"> Dashboard de cumplimiento para clientes en retainer (monitoreo normativo automatizado).</w:t>
      </w:r>
    </w:p>
    <w:p>
      <w:pPr>
        <w:pStyle w:val="ListBullet"/>
        <w:spacing w:after="40"/>
        <w:ind w:left="720"/>
      </w:pPr>
      <w:r>
        <w:rPr>
          <w:rFonts w:ascii="Calibri" w:hAnsi="Calibri"/>
          <w:color w:val="4B5563"/>
          <w:sz w:val="22"/>
        </w:rPr>
        <w:t xml:space="preserve"> Plantillas inteligentes de informes y dictámenes.</w:t>
      </w:r>
    </w:p>
    <w:p>
      <w:pPr>
        <w:pStyle w:val="ListBullet"/>
        <w:spacing w:after="40"/>
        <w:ind w:left="720"/>
      </w:pPr>
      <w:r>
        <w:rPr>
          <w:rFonts w:ascii="Calibri" w:hAnsi="Calibri"/>
          <w:color w:val="4B5563"/>
          <w:sz w:val="22"/>
        </w:rPr>
        <w:t xml:space="preserve"> CRM con seguimiento automatizado de leads y clientes.</w:t>
      </w:r>
    </w:p>
    <w:p>
      <w:pPr>
        <w:spacing w:before="0" w:after="200"/>
      </w:pPr>
      <w:r>
        <w:rPr>
          <w:rFonts w:ascii="Calibri" w:hAnsi="Calibri"/>
          <w:b/>
          <w:color w:val="134078"/>
          <w:sz w:val="40"/>
        </w:rPr>
        <w:t>7. Plan de Acción 90 Días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val="clear"/>
          </w:tcPr>
          <w:p>
            <w:pPr>
              <w:jc w:val="center"/>
            </w:pPr>
            <w:r/>
            <w:r>
              <w:rPr>
                <w:rFonts w:ascii="Calibri" w:hAnsi="Calibri"/>
                <w:b/>
                <w:color w:val="FFFFFF"/>
                <w:sz w:val="20"/>
              </w:rPr>
              <w:t>Semana</w:t>
            </w:r>
          </w:p>
        </w:tc>
        <w:tc>
          <w:tcPr>
            <w:tcW w:type="dxa" w:w="3135"/>
            <w:shd w:fill="134078" w:val="clear"/>
          </w:tcPr>
          <w:p>
            <w:pPr>
              <w:jc w:val="center"/>
            </w:pPr>
            <w:r/>
            <w:r>
              <w:rPr>
                <w:rFonts w:ascii="Calibri" w:hAnsi="Calibri"/>
                <w:b/>
                <w:color w:val="FFFFFF"/>
                <w:sz w:val="20"/>
              </w:rPr>
              <w:t>Hito</w:t>
            </w:r>
          </w:p>
        </w:tc>
        <w:tc>
          <w:tcPr>
            <w:tcW w:type="dxa" w:w="3135"/>
            <w:shd w:fill="134078" w:val="clear"/>
          </w:tcPr>
          <w:p>
            <w:pPr>
              <w:jc w:val="center"/>
            </w:pPr>
            <w:r/>
            <w:r>
              <w:rPr>
                <w:rFonts w:ascii="Calibri" w:hAnsi="Calibri"/>
                <w:b/>
                <w:color w:val="FFFFFF"/>
                <w:sz w:val="20"/>
              </w:rPr>
              <w:t>Responsable</w:t>
            </w:r>
          </w:p>
        </w:tc>
      </w:tr>
      <w:tr>
        <w:tc>
          <w:tcPr>
            <w:tcW w:type="dxa" w:w="3135"/>
            <w:shd w:fill="F5FAFF" w:val="clear"/>
          </w:tcPr>
          <w:p>
            <w:r/>
            <w:r>
              <w:rPr>
                <w:rFonts w:ascii="Calibri" w:hAnsi="Calibri"/>
                <w:b/>
                <w:color w:val="134078"/>
                <w:sz w:val="19"/>
              </w:rPr>
              <w:t>1–2</w:t>
            </w:r>
          </w:p>
        </w:tc>
        <w:tc>
          <w:tcPr>
            <w:tcW w:type="dxa" w:w="3135"/>
            <w:shd w:fill="F5FAFF" w:val="clear"/>
          </w:tcPr>
          <w:p>
            <w:r/>
            <w:r>
              <w:rPr>
                <w:rFonts w:ascii="Calibri" w:hAnsi="Calibri"/>
                <w:color w:val="4B5563"/>
                <w:sz w:val="19"/>
              </w:rPr>
              <w:t>Definir los 3 servicios concretos que ofrecen y ponerles nombre comercial</w:t>
            </w:r>
          </w:p>
        </w:tc>
        <w:tc>
          <w:tcPr>
            <w:tcW w:type="dxa" w:w="3135"/>
            <w:shd w:fill="F5FAFF" w:val="clear"/>
          </w:tcPr>
          <w:p>
            <w:r/>
            <w:r>
              <w:rPr>
                <w:rFonts w:ascii="Calibri" w:hAnsi="Calibri"/>
                <w:color w:val="4B5563"/>
                <w:sz w:val="19"/>
              </w:rPr>
              <w:t>Los 3 socios</w:t>
            </w:r>
          </w:p>
        </w:tc>
      </w:tr>
      <w:tr>
        <w:tc>
          <w:tcPr>
            <w:tcW w:type="dxa" w:w="3135"/>
          </w:tcPr>
          <w:p>
            <w:r/>
            <w:r>
              <w:rPr>
                <w:rFonts w:ascii="Calibri" w:hAnsi="Calibri"/>
                <w:b/>
                <w:color w:val="134078"/>
                <w:sz w:val="19"/>
              </w:rPr>
              <w:t>1–2</w:t>
            </w:r>
          </w:p>
        </w:tc>
        <w:tc>
          <w:tcPr>
            <w:tcW w:type="dxa" w:w="3135"/>
          </w:tcPr>
          <w:p>
            <w:r/>
            <w:r>
              <w:rPr>
                <w:rFonts w:ascii="Calibri" w:hAnsi="Calibri"/>
                <w:color w:val="4B5563"/>
                <w:sz w:val="19"/>
              </w:rPr>
              <w:t>Elegir nombre comercial de la consultora</w:t>
            </w:r>
          </w:p>
        </w:tc>
        <w:tc>
          <w:tcPr>
            <w:tcW w:type="dxa" w:w="3135"/>
          </w:tcPr>
          <w:p>
            <w:r/>
            <w:r>
              <w:rPr>
                <w:rFonts w:ascii="Calibri" w:hAnsi="Calibri"/>
                <w:color w:val="4B5563"/>
                <w:sz w:val="19"/>
              </w:rPr>
              <w:t>Los 3 socios</w:t>
            </w:r>
          </w:p>
        </w:tc>
      </w:tr>
      <w:tr>
        <w:tc>
          <w:tcPr>
            <w:tcW w:type="dxa" w:w="3135"/>
            <w:shd w:fill="F5FAFF" w:val="clear"/>
          </w:tcPr>
          <w:p>
            <w:r/>
            <w:r>
              <w:rPr>
                <w:rFonts w:ascii="Calibri" w:hAnsi="Calibri"/>
                <w:b/>
                <w:color w:val="134078"/>
                <w:sz w:val="19"/>
              </w:rPr>
              <w:t>1–2</w:t>
            </w:r>
          </w:p>
        </w:tc>
        <w:tc>
          <w:tcPr>
            <w:tcW w:type="dxa" w:w="3135"/>
            <w:shd w:fill="F5FAFF" w:val="clear"/>
          </w:tcPr>
          <w:p>
            <w:r/>
            <w:r>
              <w:rPr>
                <w:rFonts w:ascii="Calibri" w:hAnsi="Calibri"/>
                <w:color w:val="4B5563"/>
                <w:sz w:val="19"/>
              </w:rPr>
              <w:t>Crear propuesta de valor formal (1 página)</w:t>
            </w:r>
          </w:p>
        </w:tc>
        <w:tc>
          <w:tcPr>
            <w:tcW w:type="dxa" w:w="3135"/>
            <w:shd w:fill="F5FAFF" w:val="clear"/>
          </w:tcPr>
          <w:p>
            <w:r/>
            <w:r>
              <w:rPr>
                <w:rFonts w:ascii="Calibri" w:hAnsi="Calibri"/>
                <w:color w:val="4B5563"/>
                <w:sz w:val="19"/>
              </w:rPr>
              <w:t>Socio con experiencia en procesos</w:t>
            </w:r>
          </w:p>
        </w:tc>
      </w:tr>
      <w:tr>
        <w:tc>
          <w:tcPr>
            <w:tcW w:type="dxa" w:w="3135"/>
          </w:tcPr>
          <w:p>
            <w:r/>
            <w:r>
              <w:rPr>
                <w:rFonts w:ascii="Calibri" w:hAnsi="Calibri"/>
                <w:b/>
                <w:color w:val="134078"/>
                <w:sz w:val="19"/>
              </w:rPr>
              <w:t>3–4</w:t>
            </w:r>
          </w:p>
        </w:tc>
        <w:tc>
          <w:tcPr>
            <w:tcW w:type="dxa" w:w="3135"/>
          </w:tcPr>
          <w:p>
            <w:r/>
            <w:r>
              <w:rPr>
                <w:rFonts w:ascii="Calibri" w:hAnsi="Calibri"/>
                <w:color w:val="4B5563"/>
                <w:sz w:val="19"/>
              </w:rPr>
              <w:t>Formalizar sociedad (SAS en Argentina)</w:t>
            </w:r>
          </w:p>
        </w:tc>
        <w:tc>
          <w:tcPr>
            <w:tcW w:type="dxa" w:w="3135"/>
          </w:tcPr>
          <w:p>
            <w:r/>
            <w:r>
              <w:rPr>
                <w:rFonts w:ascii="Calibri" w:hAnsi="Calibri"/>
                <w:color w:val="4B5563"/>
                <w:sz w:val="19"/>
              </w:rPr>
              <w:t>Socio con contactos en Estado</w:t>
            </w:r>
          </w:p>
        </w:tc>
      </w:tr>
      <w:tr>
        <w:tc>
          <w:tcPr>
            <w:tcW w:type="dxa" w:w="3135"/>
            <w:shd w:fill="F5FAFF" w:val="clear"/>
          </w:tcPr>
          <w:p>
            <w:r/>
            <w:r>
              <w:rPr>
                <w:rFonts w:ascii="Calibri" w:hAnsi="Calibri"/>
                <w:b/>
                <w:color w:val="134078"/>
                <w:sz w:val="19"/>
              </w:rPr>
              <w:t>3–4</w:t>
            </w:r>
          </w:p>
        </w:tc>
        <w:tc>
          <w:tcPr>
            <w:tcW w:type="dxa" w:w="3135"/>
            <w:shd w:fill="F5FAFF" w:val="clear"/>
          </w:tcPr>
          <w:p>
            <w:r/>
            <w:r>
              <w:rPr>
                <w:rFonts w:ascii="Calibri" w:hAnsi="Calibri"/>
                <w:color w:val="4B5563"/>
                <w:sz w:val="19"/>
              </w:rPr>
              <w:t>Abrir cuenta bancaria comercial</w:t>
            </w:r>
          </w:p>
        </w:tc>
        <w:tc>
          <w:tcPr>
            <w:tcW w:type="dxa" w:w="3135"/>
            <w:shd w:fill="F5FAFF" w:val="clear"/>
          </w:tcPr>
          <w:p>
            <w:r/>
            <w:r>
              <w:rPr>
                <w:rFonts w:ascii="Calibri" w:hAnsi="Calibri"/>
                <w:color w:val="4B5563"/>
                <w:sz w:val="19"/>
              </w:rPr>
              <w:t>Los 3 socios</w:t>
            </w:r>
          </w:p>
        </w:tc>
      </w:tr>
      <w:tr>
        <w:tc>
          <w:tcPr>
            <w:tcW w:type="dxa" w:w="3135"/>
          </w:tcPr>
          <w:p>
            <w:r/>
            <w:r>
              <w:rPr>
                <w:rFonts w:ascii="Calibri" w:hAnsi="Calibri"/>
                <w:b/>
                <w:color w:val="134078"/>
                <w:sz w:val="19"/>
              </w:rPr>
              <w:t>5–6</w:t>
            </w:r>
          </w:p>
        </w:tc>
        <w:tc>
          <w:tcPr>
            <w:tcW w:type="dxa" w:w="3135"/>
          </w:tcPr>
          <w:p>
            <w:r/>
            <w:r>
              <w:rPr>
                <w:rFonts w:ascii="Calibri" w:hAnsi="Calibri"/>
                <w:color w:val="4B5563"/>
                <w:sz w:val="19"/>
              </w:rPr>
              <w:t>Activar LinkedIn profesional: perfiles alineados con la nueva marca</w:t>
            </w:r>
          </w:p>
        </w:tc>
        <w:tc>
          <w:tcPr>
            <w:tcW w:type="dxa" w:w="3135"/>
          </w:tcPr>
          <w:p>
            <w:r/>
            <w:r>
              <w:rPr>
                <w:rFonts w:ascii="Calibri" w:hAnsi="Calibri"/>
                <w:color w:val="4B5563"/>
                <w:sz w:val="19"/>
              </w:rPr>
              <w:t>Cada socio</w:t>
            </w:r>
          </w:p>
        </w:tc>
      </w:tr>
      <w:tr>
        <w:tc>
          <w:tcPr>
            <w:tcW w:type="dxa" w:w="3135"/>
            <w:shd w:fill="F5FAFF" w:val="clear"/>
          </w:tcPr>
          <w:p>
            <w:r/>
            <w:r>
              <w:rPr>
                <w:rFonts w:ascii="Calibri" w:hAnsi="Calibri"/>
                <w:b/>
                <w:color w:val="134078"/>
                <w:sz w:val="19"/>
              </w:rPr>
              <w:t>5–6</w:t>
            </w:r>
          </w:p>
        </w:tc>
        <w:tc>
          <w:tcPr>
            <w:tcW w:type="dxa" w:w="3135"/>
            <w:shd w:fill="F5FAFF" w:val="clear"/>
          </w:tcPr>
          <w:p>
            <w:r/>
            <w:r>
              <w:rPr>
                <w:rFonts w:ascii="Calibri" w:hAnsi="Calibri"/>
                <w:color w:val="4B5563"/>
                <w:sz w:val="19"/>
              </w:rPr>
              <w:t>Publicar 1 artículo semanal de contenido técnico sobre compliance</w:t>
            </w:r>
          </w:p>
        </w:tc>
        <w:tc>
          <w:tcPr>
            <w:tcW w:type="dxa" w:w="3135"/>
            <w:shd w:fill="F5FAFF" w:val="clear"/>
          </w:tcPr>
          <w:p>
            <w:r/>
            <w:r>
              <w:rPr>
                <w:rFonts w:ascii="Calibri" w:hAnsi="Calibri"/>
                <w:color w:val="4B5563"/>
                <w:sz w:val="19"/>
              </w:rPr>
              <w:t>Alternando socios</w:t>
            </w:r>
          </w:p>
        </w:tc>
      </w:tr>
      <w:tr>
        <w:tc>
          <w:tcPr>
            <w:tcW w:type="dxa" w:w="3135"/>
          </w:tcPr>
          <w:p>
            <w:r/>
            <w:r>
              <w:rPr>
                <w:rFonts w:ascii="Calibri" w:hAnsi="Calibri"/>
                <w:b/>
                <w:color w:val="134078"/>
                <w:sz w:val="19"/>
              </w:rPr>
              <w:t>7–8</w:t>
            </w:r>
          </w:p>
        </w:tc>
        <w:tc>
          <w:tcPr>
            <w:tcW w:type="dxa" w:w="3135"/>
          </w:tcPr>
          <w:p>
            <w:r/>
            <w:r>
              <w:rPr>
                <w:rFonts w:ascii="Calibri" w:hAnsi="Calibri"/>
                <w:color w:val="4B5563"/>
                <w:sz w:val="19"/>
              </w:rPr>
              <w:t>Contactar a ex-clientes para reunión de reconexión y oferta de diagnóstico gratuito</w:t>
            </w:r>
          </w:p>
        </w:tc>
        <w:tc>
          <w:tcPr>
            <w:tcW w:type="dxa" w:w="3135"/>
          </w:tcPr>
          <w:p>
            <w:r/>
            <w:r>
              <w:rPr>
                <w:rFonts w:ascii="Calibri" w:hAnsi="Calibri"/>
                <w:color w:val="4B5563"/>
                <w:sz w:val="19"/>
              </w:rPr>
              <w:t>Cada socio</w:t>
            </w:r>
          </w:p>
        </w:tc>
      </w:tr>
      <w:tr>
        <w:tc>
          <w:tcPr>
            <w:tcW w:type="dxa" w:w="3135"/>
            <w:shd w:fill="F5FAFF" w:val="clear"/>
          </w:tcPr>
          <w:p>
            <w:r/>
            <w:r>
              <w:rPr>
                <w:rFonts w:ascii="Calibri" w:hAnsi="Calibri"/>
                <w:b/>
                <w:color w:val="134078"/>
                <w:sz w:val="19"/>
              </w:rPr>
              <w:t>7–8</w:t>
            </w:r>
          </w:p>
        </w:tc>
        <w:tc>
          <w:tcPr>
            <w:tcW w:type="dxa" w:w="3135"/>
            <w:shd w:fill="F5FAFF" w:val="clear"/>
          </w:tcPr>
          <w:p>
            <w:r/>
            <w:r>
              <w:rPr>
                <w:rFonts w:ascii="Calibri" w:hAnsi="Calibri"/>
                <w:color w:val="4B5563"/>
                <w:sz w:val="19"/>
              </w:rPr>
              <w:t>Contactar a los 2 prospectos actuales con propuesta formal</w:t>
            </w:r>
          </w:p>
        </w:tc>
        <w:tc>
          <w:tcPr>
            <w:tcW w:type="dxa" w:w="3135"/>
            <w:shd w:fill="F5FAFF" w:val="clear"/>
          </w:tcPr>
          <w:p>
            <w:r/>
            <w:r>
              <w:rPr>
                <w:rFonts w:ascii="Calibri" w:hAnsi="Calibri"/>
                <w:color w:val="4B5563"/>
                <w:sz w:val="19"/>
              </w:rPr>
              <w:t>Socio que los contactó</w:t>
            </w:r>
          </w:p>
        </w:tc>
      </w:tr>
      <w:tr>
        <w:tc>
          <w:tcPr>
            <w:tcW w:type="dxa" w:w="3135"/>
          </w:tcPr>
          <w:p>
            <w:r/>
            <w:r>
              <w:rPr>
                <w:rFonts w:ascii="Calibri" w:hAnsi="Calibri"/>
                <w:b/>
                <w:color w:val="134078"/>
                <w:sz w:val="19"/>
              </w:rPr>
              <w:t>9–12</w:t>
            </w:r>
          </w:p>
        </w:tc>
        <w:tc>
          <w:tcPr>
            <w:tcW w:type="dxa" w:w="3135"/>
          </w:tcPr>
          <w:p>
            <w:r/>
            <w:r>
              <w:rPr>
                <w:rFonts w:ascii="Calibri" w:hAnsi="Calibri"/>
                <w:color w:val="4B5563"/>
                <w:sz w:val="19"/>
              </w:rPr>
              <w:t>Cerrar al menos 1 nuevo proyecto o 2 retainers</w:t>
            </w:r>
          </w:p>
        </w:tc>
        <w:tc>
          <w:tcPr>
            <w:tcW w:type="dxa" w:w="3135"/>
          </w:tcPr>
          <w:p>
            <w:r/>
            <w:r>
              <w:rPr>
                <w:rFonts w:ascii="Calibri" w:hAnsi="Calibri"/>
                <w:color w:val="4B5563"/>
                <w:sz w:val="19"/>
              </w:rPr>
              <w:t>Los 3 socios</w:t>
            </w:r>
          </w:p>
        </w:tc>
      </w:tr>
      <w:tr>
        <w:tc>
          <w:tcPr>
            <w:tcW w:type="dxa" w:w="3135"/>
            <w:shd w:fill="F5FAFF" w:val="clear"/>
          </w:tcPr>
          <w:p>
            <w:r/>
            <w:r>
              <w:rPr>
                <w:rFonts w:ascii="Calibri" w:hAnsi="Calibri"/>
                <w:b/>
                <w:color w:val="134078"/>
                <w:sz w:val="19"/>
              </w:rPr>
              <w:t>9–12</w:t>
            </w:r>
          </w:p>
        </w:tc>
        <w:tc>
          <w:tcPr>
            <w:tcW w:type="dxa" w:w="3135"/>
            <w:shd w:fill="F5FAFF" w:val="clear"/>
          </w:tcPr>
          <w:p>
            <w:r/>
            <w:r>
              <w:rPr>
                <w:rFonts w:ascii="Calibri" w:hAnsi="Calibri"/>
                <w:color w:val="4B5563"/>
                <w:sz w:val="19"/>
              </w:rPr>
              <w:t>Diseñar oferta de servicio recurrente (suscripción compliance)</w:t>
            </w:r>
          </w:p>
        </w:tc>
        <w:tc>
          <w:tcPr>
            <w:tcW w:type="dxa" w:w="3135"/>
            <w:shd w:fill="F5FAFF" w:val="clear"/>
          </w:tcPr>
          <w:p>
            <w:r/>
            <w:r>
              <w:rPr>
                <w:rFonts w:ascii="Calibri" w:hAnsi="Calibri"/>
                <w:color w:val="4B5563"/>
                <w:sz w:val="19"/>
              </w:rPr>
              <w:t>Socio con experiencia en procesos</w:t>
            </w:r>
          </w:p>
        </w:tc>
      </w:tr>
    </w:tbl>
    <w:p/>
    <w:p>
      <w:pPr>
        <w:spacing w:before="280" w:after="120"/>
      </w:pPr>
      <w:r>
        <w:rPr>
          <w:rFonts w:ascii="Calibri" w:hAnsi="Calibri"/>
          <w:b/>
          <w:color w:val="134078"/>
          <w:sz w:val="28"/>
        </w:rPr>
        <w:t>Quick Wins (0–30 días)</w:t>
      </w:r>
    </w:p>
    <w:p>
      <w:pPr>
        <w:pStyle w:val="ListBullet"/>
        <w:spacing w:after="40"/>
        <w:ind w:left="720"/>
      </w:pPr>
      <w:r>
        <w:rPr>
          <w:rFonts w:ascii="Calibri" w:hAnsi="Calibri"/>
          <w:color w:val="4B5563"/>
          <w:sz w:val="22"/>
        </w:rPr>
        <w:t xml:space="preserve"> Definir propuesta de valor formal en 1 página.</w:t>
      </w:r>
    </w:p>
    <w:p>
      <w:pPr>
        <w:pStyle w:val="ListBullet"/>
        <w:spacing w:after="40"/>
        <w:ind w:left="720"/>
      </w:pPr>
      <w:r>
        <w:rPr>
          <w:rFonts w:ascii="Calibri" w:hAnsi="Calibri"/>
          <w:color w:val="4B5563"/>
          <w:sz w:val="22"/>
        </w:rPr>
        <w:t xml:space="preserve"> Crear un nombre comercial (no necesitan persona jurídica para operar con una marca).</w:t>
      </w:r>
    </w:p>
    <w:p>
      <w:pPr>
        <w:pStyle w:val="ListBullet"/>
        <w:spacing w:after="40"/>
        <w:ind w:left="720"/>
      </w:pPr>
      <w:r>
        <w:rPr>
          <w:rFonts w:ascii="Calibri" w:hAnsi="Calibri"/>
          <w:color w:val="4B5563"/>
          <w:sz w:val="22"/>
        </w:rPr>
        <w:t xml:space="preserve"> Estandarizar la oferta en 3 servicios concretos.</w:t>
      </w:r>
    </w:p>
    <w:p>
      <w:pPr>
        <w:pStyle w:val="ListBullet"/>
        <w:spacing w:after="40"/>
        <w:ind w:left="720"/>
      </w:pPr>
      <w:r>
        <w:rPr>
          <w:rFonts w:ascii="Calibri" w:hAnsi="Calibri"/>
          <w:color w:val="4B5563"/>
          <w:sz w:val="22"/>
        </w:rPr>
        <w:t xml:space="preserve"> CRM básico (Excel/Notion) para trackear prospectos.</w:t>
      </w:r>
    </w:p>
    <w:p>
      <w:pPr>
        <w:spacing w:before="0" w:after="200"/>
      </w:pPr>
      <w:r>
        <w:rPr>
          <w:rFonts w:ascii="Calibri" w:hAnsi="Calibri"/>
          <w:b/>
          <w:color w:val="134078"/>
          <w:sz w:val="40"/>
        </w:rPr>
        <w:t>8. Roadmap Estratégico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val="clear"/>
          </w:tcPr>
          <w:p>
            <w:pPr>
              <w:jc w:val="center"/>
            </w:pPr>
            <w:r/>
            <w:r>
              <w:rPr>
                <w:rFonts w:ascii="Calibri" w:hAnsi="Calibri"/>
                <w:b/>
                <w:color w:val="FFFFFF"/>
                <w:sz w:val="20"/>
              </w:rPr>
              <w:t>Horizonte</w:t>
            </w:r>
          </w:p>
        </w:tc>
        <w:tc>
          <w:tcPr>
            <w:tcW w:type="dxa" w:w="3135"/>
            <w:shd w:fill="134078" w:val="clear"/>
          </w:tcPr>
          <w:p>
            <w:pPr>
              <w:jc w:val="center"/>
            </w:pPr>
            <w:r/>
            <w:r>
              <w:rPr>
                <w:rFonts w:ascii="Calibri" w:hAnsi="Calibri"/>
                <w:b/>
                <w:color w:val="FFFFFF"/>
                <w:sz w:val="20"/>
              </w:rPr>
              <w:t>Objetivo</w:t>
            </w:r>
          </w:p>
        </w:tc>
        <w:tc>
          <w:tcPr>
            <w:tcW w:type="dxa" w:w="3135"/>
            <w:shd w:fill="134078" w:val="clear"/>
          </w:tcPr>
          <w:p>
            <w:pPr>
              <w:jc w:val="center"/>
            </w:pPr>
            <w:r/>
            <w:r>
              <w:rPr>
                <w:rFonts w:ascii="Calibri" w:hAnsi="Calibri"/>
                <w:b/>
                <w:color w:val="FFFFFF"/>
                <w:sz w:val="20"/>
              </w:rPr>
              <w:t>Métrica de éxito</w:t>
            </w:r>
          </w:p>
        </w:tc>
      </w:tr>
      <w:tr>
        <w:tc>
          <w:tcPr>
            <w:tcW w:type="dxa" w:w="3135"/>
            <w:shd w:fill="F5FAFF" w:val="clear"/>
          </w:tcPr>
          <w:p>
            <w:r/>
            <w:r>
              <w:rPr>
                <w:rFonts w:ascii="Calibri" w:hAnsi="Calibri"/>
                <w:b/>
                <w:color w:val="134078"/>
                <w:sz w:val="19"/>
              </w:rPr>
              <w:t>Mes 1-3</w:t>
            </w:r>
          </w:p>
        </w:tc>
        <w:tc>
          <w:tcPr>
            <w:tcW w:type="dxa" w:w="3135"/>
            <w:shd w:fill="F5FAFF" w:val="clear"/>
          </w:tcPr>
          <w:p>
            <w:r/>
            <w:r>
              <w:rPr>
                <w:rFonts w:ascii="Calibri" w:hAnsi="Calibri"/>
                <w:color w:val="4B5563"/>
                <w:sz w:val="19"/>
              </w:rPr>
              <w:t>Formalizar estructura + definir oferta + activar canales</w:t>
            </w:r>
          </w:p>
        </w:tc>
        <w:tc>
          <w:tcPr>
            <w:tcW w:type="dxa" w:w="3135"/>
            <w:shd w:fill="F5FAFF" w:val="clear"/>
          </w:tcPr>
          <w:p>
            <w:r/>
            <w:r>
              <w:rPr>
                <w:rFonts w:ascii="Calibri" w:hAnsi="Calibri"/>
                <w:color w:val="4B5563"/>
                <w:sz w:val="19"/>
              </w:rPr>
              <w:t>Sociedad constituida, 3 servicios definidos, LinkedIn activo</w:t>
            </w:r>
          </w:p>
        </w:tc>
      </w:tr>
      <w:tr>
        <w:tc>
          <w:tcPr>
            <w:tcW w:type="dxa" w:w="3135"/>
          </w:tcPr>
          <w:p>
            <w:r/>
            <w:r>
              <w:rPr>
                <w:rFonts w:ascii="Calibri" w:hAnsi="Calibri"/>
                <w:b/>
                <w:color w:val="134078"/>
                <w:sz w:val="19"/>
              </w:rPr>
              <w:t>Mes 4-6</w:t>
            </w:r>
          </w:p>
        </w:tc>
        <w:tc>
          <w:tcPr>
            <w:tcW w:type="dxa" w:w="3135"/>
          </w:tcPr>
          <w:p>
            <w:r/>
            <w:r>
              <w:rPr>
                <w:rFonts w:ascii="Calibri" w:hAnsi="Calibri"/>
                <w:color w:val="4B5563"/>
                <w:sz w:val="19"/>
              </w:rPr>
              <w:t>Pipeline de 4-5 prospectos activos + 1 nuevo cliente</w:t>
            </w:r>
          </w:p>
        </w:tc>
        <w:tc>
          <w:tcPr>
            <w:tcW w:type="dxa" w:w="3135"/>
          </w:tcPr>
          <w:p>
            <w:r/>
            <w:r>
              <w:rPr>
                <w:rFonts w:ascii="Calibri" w:hAnsi="Calibri"/>
                <w:color w:val="4B5563"/>
                <w:sz w:val="19"/>
              </w:rPr>
              <w:t>Al menos 2 proyectos en ejecución simultánea</w:t>
            </w:r>
          </w:p>
        </w:tc>
      </w:tr>
      <w:tr>
        <w:tc>
          <w:tcPr>
            <w:tcW w:type="dxa" w:w="3135"/>
            <w:shd w:fill="F5FAFF" w:val="clear"/>
          </w:tcPr>
          <w:p>
            <w:r/>
            <w:r>
              <w:rPr>
                <w:rFonts w:ascii="Calibri" w:hAnsi="Calibri"/>
                <w:b/>
                <w:color w:val="134078"/>
                <w:sz w:val="19"/>
              </w:rPr>
              <w:t>Mes 7-9</w:t>
            </w:r>
          </w:p>
        </w:tc>
        <w:tc>
          <w:tcPr>
            <w:tcW w:type="dxa" w:w="3135"/>
            <w:shd w:fill="F5FAFF" w:val="clear"/>
          </w:tcPr>
          <w:p>
            <w:r/>
            <w:r>
              <w:rPr>
                <w:rFonts w:ascii="Calibri" w:hAnsi="Calibri"/>
                <w:color w:val="4B5563"/>
                <w:sz w:val="19"/>
              </w:rPr>
              <w:t>Primer retainer de suscripción compliance + dashboard</w:t>
            </w:r>
          </w:p>
        </w:tc>
        <w:tc>
          <w:tcPr>
            <w:tcW w:type="dxa" w:w="3135"/>
            <w:shd w:fill="F5FAFF" w:val="clear"/>
          </w:tcPr>
          <w:p>
            <w:r/>
            <w:r>
              <w:rPr>
                <w:rFonts w:ascii="Calibri" w:hAnsi="Calibri"/>
                <w:color w:val="4B5563"/>
                <w:sz w:val="19"/>
              </w:rPr>
              <w:t>Ingreso recurrente mensual ≥ USD 2,000</w:t>
            </w:r>
          </w:p>
        </w:tc>
      </w:tr>
      <w:tr>
        <w:tc>
          <w:tcPr>
            <w:tcW w:type="dxa" w:w="3135"/>
          </w:tcPr>
          <w:p>
            <w:r/>
            <w:r>
              <w:rPr>
                <w:rFonts w:ascii="Calibri" w:hAnsi="Calibri"/>
                <w:b/>
                <w:color w:val="134078"/>
                <w:sz w:val="19"/>
              </w:rPr>
              <w:t>Mes 10-12</w:t>
            </w:r>
          </w:p>
        </w:tc>
        <w:tc>
          <w:tcPr>
            <w:tcW w:type="dxa" w:w="3135"/>
          </w:tcPr>
          <w:p>
            <w:r/>
            <w:r>
              <w:rPr>
                <w:rFonts w:ascii="Calibri" w:hAnsi="Calibri"/>
                <w:color w:val="4B5563"/>
                <w:sz w:val="19"/>
              </w:rPr>
              <w:t>Página web profesional + sistema de gestión estandarizado</w:t>
            </w:r>
          </w:p>
        </w:tc>
        <w:tc>
          <w:tcPr>
            <w:tcW w:type="dxa" w:w="3135"/>
          </w:tcPr>
          <w:p>
            <w:r/>
            <w:r>
              <w:rPr>
                <w:rFonts w:ascii="Calibri" w:hAnsi="Calibri"/>
                <w:color w:val="4B5563"/>
                <w:sz w:val="19"/>
              </w:rPr>
              <w:t>Facturación objetivo: USD 80-100k/año</w:t>
            </w:r>
          </w:p>
        </w:tc>
      </w:tr>
      <w:tr>
        <w:tc>
          <w:tcPr>
            <w:tcW w:type="dxa" w:w="3135"/>
            <w:shd w:fill="F5FAFF" w:val="clear"/>
          </w:tcPr>
          <w:p>
            <w:r/>
            <w:r>
              <w:rPr>
                <w:rFonts w:ascii="Calibri" w:hAnsi="Calibri"/>
                <w:b/>
                <w:color w:val="134078"/>
                <w:sz w:val="19"/>
              </w:rPr>
              <w:t>Año 2</w:t>
            </w:r>
          </w:p>
        </w:tc>
        <w:tc>
          <w:tcPr>
            <w:tcW w:type="dxa" w:w="3135"/>
            <w:shd w:fill="F5FAFF" w:val="clear"/>
          </w:tcPr>
          <w:p>
            <w:r/>
            <w:r>
              <w:rPr>
                <w:rFonts w:ascii="Calibri" w:hAnsi="Calibri"/>
                <w:color w:val="4B5563"/>
                <w:sz w:val="19"/>
              </w:rPr>
              <w:t>Primer empleado contratado + 5-6 clientes activos</w:t>
            </w:r>
          </w:p>
        </w:tc>
        <w:tc>
          <w:tcPr>
            <w:tcW w:type="dxa" w:w="3135"/>
            <w:shd w:fill="F5FAFF" w:val="clear"/>
          </w:tcPr>
          <w:p>
            <w:r/>
            <w:r>
              <w:rPr>
                <w:rFonts w:ascii="Calibri" w:hAnsi="Calibri"/>
                <w:color w:val="4B5563"/>
                <w:sz w:val="19"/>
              </w:rPr>
              <w:t>Equipo de 4+, ingresos recurrentes ≥ 40% del total</w:t>
            </w:r>
          </w:p>
        </w:tc>
      </w:tr>
    </w:tbl>
    <w:p/>
    <w:p>
      <w:pPr>
        <w:spacing w:before="0" w:after="200"/>
      </w:pPr>
      <w:r>
        <w:rPr>
          <w:rFonts w:ascii="Calibri" w:hAnsi="Calibri"/>
          <w:b/>
          <w:color w:val="134078"/>
          <w:sz w:val="40"/>
        </w:rPr>
        <w:t>9. Próximos Pasos Recomendados</w:t>
      </w:r>
    </w:p>
    <w:p>
      <w:pPr>
        <w:spacing w:after="80"/>
      </w:pPr>
      <w:r>
        <w:rPr>
          <w:rFonts w:ascii="Calibri" w:hAnsi="Calibri"/>
          <w:b w:val="0"/>
          <w:color w:val="4B5563"/>
          <w:sz w:val="22"/>
        </w:rPr>
        <w:t>La prioridad absoluta es formalizar la sociedad y definir los 3 servicios. Eso destraba todo lo demás: contratos, facturación, marca, canales, y la capacidad de vender como empresa y no como 3 individuos.</w:t>
      </w:r>
    </w:p>
    <w:p>
      <w:pPr>
        <w:pStyle w:val="ListBullet"/>
        <w:spacing w:after="40"/>
        <w:ind w:left="720"/>
      </w:pPr>
      <w:r>
        <w:rPr>
          <w:rFonts w:ascii="Calibri" w:hAnsi="Calibri"/>
          <w:b/>
          <w:color w:val="4B5563"/>
          <w:sz w:val="22"/>
        </w:rPr>
        <w:t xml:space="preserve">Paso 1 — Hoy: </w:t>
      </w:r>
      <w:r>
        <w:rPr>
          <w:rFonts w:ascii="Calibri" w:hAnsi="Calibri"/>
          <w:color w:val="4B5563"/>
          <w:sz w:val="22"/>
        </w:rPr>
        <w:t>Agendar una reunión de socios para definir el nombre comercial y los 3 servicios. No requiere abogados, no requiere inversión. Es una conversación de 2 horas.</w:t>
      </w:r>
    </w:p>
    <w:p>
      <w:pPr>
        <w:pStyle w:val="ListBullet"/>
        <w:spacing w:after="40"/>
        <w:ind w:left="720"/>
      </w:pPr>
      <w:r>
        <w:rPr>
          <w:rFonts w:ascii="Calibri" w:hAnsi="Calibri"/>
          <w:b/>
          <w:color w:val="4B5563"/>
          <w:sz w:val="22"/>
        </w:rPr>
        <w:t xml:space="preserve">Paso 2 — Esta semana: </w:t>
      </w:r>
      <w:r>
        <w:rPr>
          <w:rFonts w:ascii="Calibri" w:hAnsi="Calibri"/>
          <w:color w:val="4B5563"/>
          <w:sz w:val="22"/>
        </w:rPr>
        <w:t>Crear perfiles de LinkedIn alineados con la nueva marca. Publicar el primer artículo.</w:t>
      </w:r>
    </w:p>
    <w:p>
      <w:pPr>
        <w:pStyle w:val="ListBullet"/>
        <w:spacing w:after="40"/>
        <w:ind w:left="720"/>
      </w:pPr>
      <w:r>
        <w:rPr>
          <w:rFonts w:ascii="Calibri" w:hAnsi="Calibri"/>
          <w:b/>
          <w:color w:val="4B5563"/>
          <w:sz w:val="22"/>
        </w:rPr>
        <w:t xml:space="preserve">Paso 3 — Semana 2-3: </w:t>
      </w:r>
      <w:r>
        <w:rPr>
          <w:rFonts w:ascii="Calibri" w:hAnsi="Calibri"/>
          <w:color w:val="4B5563"/>
          <w:sz w:val="22"/>
        </w:rPr>
        <w:t>Iniciar el trámite de constitución de SAS. En Argentina se puede hacer en 48-72 hs con un contador.</w:t>
      </w:r>
    </w:p>
    <w:p>
      <w:pPr>
        <w:pStyle w:val="ListBullet"/>
        <w:spacing w:after="40"/>
        <w:ind w:left="720"/>
      </w:pPr>
      <w:r>
        <w:rPr>
          <w:rFonts w:ascii="Calibri" w:hAnsi="Calibri"/>
          <w:b/>
          <w:color w:val="4B5563"/>
          <w:sz w:val="22"/>
        </w:rPr>
        <w:t xml:space="preserve">Paso 4 — Semana 3-4: </w:t>
      </w:r>
      <w:r>
        <w:rPr>
          <w:rFonts w:ascii="Calibri" w:hAnsi="Calibri"/>
          <w:color w:val="4B5563"/>
          <w:sz w:val="22"/>
        </w:rPr>
        <w:t>Contactar a los 2 prospectos con una propuesta formal. Ofrecer un diagnóstico gratuito de 1 hora.</w:t>
      </w:r>
    </w:p>
    <w:p>
      <w:pPr>
        <w:pStyle w:val="ListBullet"/>
        <w:spacing w:after="40"/>
        <w:ind w:left="720"/>
      </w:pPr>
      <w:r>
        <w:rPr>
          <w:rFonts w:ascii="Calibri" w:hAnsi="Calibri"/>
          <w:b/>
          <w:color w:val="4B5563"/>
          <w:sz w:val="22"/>
        </w:rPr>
        <w:t xml:space="preserve">Paso 5 — Semana 4-8: </w:t>
      </w:r>
      <w:r>
        <w:rPr>
          <w:rFonts w:ascii="Calibri" w:hAnsi="Calibri"/>
          <w:color w:val="4B5563"/>
          <w:sz w:val="22"/>
        </w:rPr>
        <w:t>Contactar a todos los ex-clientes. Ofrecer una revisión gratuita de su situación de compliance actual.</w:t>
      </w:r>
    </w:p>
    <w:p>
      <w:pPr>
        <w:spacing w:before="120" w:after="120"/>
        <w:pBdr>
          <w:bottom w:val="single" w:sz="4" w:space="1" w:color="BEE3F8"/>
        </w:pBdr>
      </w:pPr>
    </w:p>
    <w:p>
      <w:pPr>
        <w:spacing w:before="0" w:after="120"/>
        <w:jc w:val="center"/>
      </w:pPr>
      <w:r>
        <w:rPr>
          <w:rFonts w:ascii="Calibri" w:hAnsi="Calibri"/>
          <w:b/>
          <w:color w:val="134078"/>
          <w:sz w:val="22"/>
        </w:rPr>
        <w:t>Klar Analytics</w:t>
      </w:r>
    </w:p>
    <w:p>
      <w:pPr>
        <w:spacing w:before="0" w:after="120"/>
        <w:jc w:val="center"/>
      </w:pPr>
      <w:r>
        <w:rPr>
          <w:rFonts w:ascii="Calibri" w:hAnsi="Calibri"/>
          <w:b w:val="0"/>
          <w:color w:val="9CA3AF"/>
          <w:sz w:val="20"/>
        </w:rPr>
        <w:t>Diagnóstico empresarial con inteligencia artificial</w:t>
      </w:r>
    </w:p>
    <w:p>
      <w:pPr>
        <w:spacing w:before="0" w:after="120"/>
        <w:jc w:val="center"/>
      </w:pPr>
      <w:r>
        <w:rPr>
          <w:rFonts w:ascii="Calibri" w:hAnsi="Calibri"/>
          <w:b w:val="0"/>
          <w:color w:val="9CA3AF"/>
          <w:sz w:val="20"/>
        </w:rPr>
        <w:t>Claridad para decidir, datos para actuar.</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9CA3AF"/>
        <w:sz w:val="16"/>
      </w:rPr>
      <w:t>Klar Analytics — Diagnóstico empresarial con inteligencia artificial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2286000" cy="685800"/>
          <wp:docPr id="1" name="Picture 1"/>
          <wp:cNvGraphicFramePr>
            <a:graphicFrameLocks noChangeAspect="1"/>
          </wp:cNvGraphicFramePr>
          <a:graphic>
            <a:graphicData uri="http://schemas.openxmlformats.org/drawingml/2006/picture">
              <pic:pic>
                <pic:nvPicPr>
                  <pic:cNvPr id="0" name="Klar_Analytics_Logo.png"/>
                  <pic:cNvPicPr/>
                </pic:nvPicPr>
                <pic:blipFill>
                  <a:blip r:embed="rId1"/>
                  <a:stretch>
                    <a:fillRect/>
                  </a:stretch>
                </pic:blipFill>
                <pic:spPr>
                  <a:xfrm>
                    <a:off x="0" y="0"/>
                    <a:ext cx="2286000" cy="685800"/>
                  </a:xfrm>
                  <a:prstGeom prst="rect"/>
                </pic:spPr>
              </pic:pic>
            </a:graphicData>
          </a:graphic>
        </wp:inline>
      </w:drawing>
    </w:r>
  </w:p>
  <w:p>
    <w:pPr>
      <w:spacing w:before="40" w:after="0"/>
      <w:pBdr>
        <w:bottom w:val="single" w:sz="6" w:space="1" w:color="13407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