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3200400" cy="800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200400" cy="800100"/>
                    </a:xfrm>
                    <a:prstGeom prst="rect"/>
                  </pic:spPr>
                </pic:pic>
              </a:graphicData>
            </a:graphic>
          </wp:inline>
        </w:drawing>
      </w:r>
    </w:p>
    <w:p/>
    <w:p>
      <w:pPr>
        <w:spacing w:before="0" w:after="80"/>
        <w:jc w:val="center"/>
      </w:pPr>
      <w:r>
        <w:rPr>
          <w:b/>
          <w:color w:val="134078"/>
          <w:sz w:val="72"/>
        </w:rPr>
        <w:t>MANUAL DE USUARIO</w:t>
      </w:r>
    </w:p>
    <w:p>
      <w:pPr>
        <w:jc w:val="center"/>
      </w:pPr>
      <w:r>
        <w:rPr>
          <w:color w:val="14B8A6"/>
          <w:sz w:val="24"/>
        </w:rPr>
        <w:t>──────────────────────────────────────────────────</w:t>
      </w:r>
    </w:p>
    <w:p>
      <w:pPr>
        <w:spacing w:before="0" w:after="400"/>
        <w:jc w:val="center"/>
      </w:pPr>
      <w:r>
        <w:rPr>
          <w:b w:val="0"/>
          <w:color w:val="4B5563"/>
          <w:sz w:val="36"/>
        </w:rPr>
        <w:t>Sistema Integral de Diagnóstico Empresarial</w:t>
      </w:r>
    </w:p>
    <w:p>
      <w:pPr>
        <w:spacing w:before="0" w:after="80"/>
        <w:jc w:val="center"/>
      </w:pPr>
      <w:r>
        <w:rPr>
          <w:b w:val="0"/>
          <w:color w:val="9CA3AF"/>
          <w:sz w:val="26"/>
        </w:rPr>
        <w:t>Guía completa de funciones, componentes y operación</w:t>
      </w:r>
    </w:p>
    <w:p>
      <w:pPr>
        <w:spacing w:before="0" w:after="80"/>
        <w:jc w:val="center"/>
      </w:pPr>
      <w:r>
        <w:rPr>
          <w:b w:val="0"/>
          <w:color w:val="3182CE"/>
          <w:sz w:val="24"/>
        </w:rPr>
        <w:t>Klar Analytics — Claridad que transforma decisiones</w:t>
      </w:r>
    </w:p>
    <w:p>
      <w:pPr>
        <w:spacing w:before="0" w:after="80"/>
        <w:jc w:val="center"/>
      </w:pPr>
      <w:r>
        <w:rPr>
          <w:b w:val="0"/>
          <w:color w:val="9CA3AF"/>
          <w:sz w:val="22"/>
        </w:rPr>
        <w:t>Versión 1.0 — Junio 2026</w:t>
      </w:r>
    </w:p>
    <w:p>
      <w:r>
        <w:br w:type="page"/>
      </w:r>
    </w:p>
    <w:p>
      <w:pPr>
        <w:spacing w:before="480" w:after="240"/>
        <w:pBdr>
          <w:bottom w:val="single" w:sz="6" w:space="1" w:color="134078"/>
        </w:pBdr>
      </w:pPr>
      <w:r>
        <w:rPr>
          <w:b/>
          <w:color w:val="134078"/>
          <w:sz w:val="40"/>
        </w:rPr>
        <w:t>. ÍNDICE</w:t>
      </w:r>
    </w:p>
    <w:p>
      <w:pPr>
        <w:spacing w:before="0" w:after="80"/>
      </w:pPr>
      <w:r>
        <w:rPr>
          <w:b w:val="0"/>
          <w:color w:val="1F2937"/>
          <w:sz w:val="22"/>
        </w:rPr>
        <w:t>1. Introducción y Propósito del Sistema</w:t>
      </w:r>
    </w:p>
    <w:p>
      <w:pPr>
        <w:spacing w:before="0" w:after="80"/>
      </w:pPr>
      <w:r>
        <w:rPr>
          <w:b w:val="0"/>
          <w:color w:val="1F2937"/>
          <w:sz w:val="22"/>
        </w:rPr>
        <w:t>2. Arquitectura General del Proyecto</w:t>
      </w:r>
    </w:p>
    <w:p>
      <w:pPr>
        <w:spacing w:before="0" w:after="80"/>
      </w:pPr>
      <w:r>
        <w:rPr>
          <w:b w:val="0"/>
          <w:color w:val="1F2937"/>
          <w:sz w:val="22"/>
        </w:rPr>
        <w:t>3. Agents — Agentes de Diagnóstico</w:t>
      </w:r>
    </w:p>
    <w:p>
      <w:pPr>
        <w:spacing w:before="0" w:after="80"/>
      </w:pPr>
      <w:r>
        <w:rPr>
          <w:b w:val="0"/>
          <w:color w:val="1F2937"/>
          <w:sz w:val="22"/>
        </w:rPr>
        <w:t>4. Brand — Identidad y Marca</w:t>
      </w:r>
    </w:p>
    <w:p>
      <w:pPr>
        <w:spacing w:before="0" w:after="80"/>
      </w:pPr>
      <w:r>
        <w:rPr>
          <w:b w:val="0"/>
          <w:color w:val="1F2937"/>
          <w:sz w:val="22"/>
        </w:rPr>
        <w:t>5. Knowledge — Frameworks y Patrones</w:t>
      </w:r>
    </w:p>
    <w:p>
      <w:pPr>
        <w:spacing w:before="0" w:after="80"/>
      </w:pPr>
      <w:r>
        <w:rPr>
          <w:b w:val="0"/>
          <w:color w:val="1F2937"/>
          <w:sz w:val="22"/>
        </w:rPr>
        <w:t>6. Operations — Sistema Operativo</w:t>
      </w:r>
    </w:p>
    <w:p>
      <w:pPr>
        <w:spacing w:before="0" w:after="80"/>
      </w:pPr>
      <w:r>
        <w:rPr>
          <w:b w:val="0"/>
          <w:color w:val="1F2937"/>
          <w:sz w:val="22"/>
        </w:rPr>
        <w:t>7. Playbooks — Procedimientos Operativos</w:t>
      </w:r>
    </w:p>
    <w:p>
      <w:pPr>
        <w:spacing w:before="0" w:after="80"/>
      </w:pPr>
      <w:r>
        <w:rPr>
          <w:b w:val="0"/>
          <w:color w:val="1F2937"/>
          <w:sz w:val="22"/>
        </w:rPr>
        <w:t>8. Skills — Capacidades de Diagnóstico</w:t>
      </w:r>
    </w:p>
    <w:p>
      <w:pPr>
        <w:spacing w:before="0" w:after="80"/>
      </w:pPr>
      <w:r>
        <w:rPr>
          <w:b w:val="0"/>
          <w:color w:val="1F2937"/>
          <w:sz w:val="22"/>
        </w:rPr>
        <w:t>9. templates — Plantillas</w:t>
      </w:r>
    </w:p>
    <w:p>
      <w:pPr>
        <w:spacing w:before="0" w:after="80"/>
      </w:pPr>
      <w:r>
        <w:rPr>
          <w:b w:val="0"/>
          <w:color w:val="1F2937"/>
          <w:sz w:val="22"/>
        </w:rPr>
        <w:t>10. Cómo Navegar el Sistema</w:t>
      </w:r>
    </w:p>
    <w:p>
      <w:pPr>
        <w:spacing w:before="0" w:after="80"/>
      </w:pPr>
      <w:r>
        <w:rPr>
          <w:b w:val="0"/>
          <w:color w:val="1F2937"/>
          <w:sz w:val="22"/>
        </w:rPr>
        <w:t>11. Flujo de Trabajo Completo</w:t>
      </w:r>
    </w:p>
    <w:p>
      <w:pPr>
        <w:spacing w:before="0" w:after="80"/>
      </w:pPr>
      <w:r>
        <w:rPr>
          <w:b w:val="0"/>
          <w:color w:val="1F2937"/>
          <w:sz w:val="22"/>
        </w:rPr>
        <w:t>12. Glosario de Términos</w:t>
      </w:r>
    </w:p>
    <w:p>
      <w:r>
        <w:br w:type="page"/>
      </w:r>
    </w:p>
    <w:p>
      <w:pPr>
        <w:spacing w:before="480" w:after="240"/>
        <w:pBdr>
          <w:bottom w:val="single" w:sz="6" w:space="1" w:color="134078"/>
        </w:pBdr>
      </w:pPr>
      <w:r>
        <w:rPr>
          <w:b/>
          <w:color w:val="134078"/>
          <w:sz w:val="40"/>
        </w:rPr>
        <w:t>1. Introducción y Propósito del Sistema</w:t>
      </w:r>
    </w:p>
    <w:p>
      <w:pPr>
        <w:spacing w:before="0" w:after="120"/>
      </w:pPr>
      <w:r>
        <w:rPr>
          <w:b w:val="0"/>
          <w:color w:val="1F2937"/>
          <w:sz w:val="22"/>
        </w:rPr>
        <w:t>Klar Analytics es una consultora digital especializada en diagnóstico empresarial para PyMEs. Nuestro sistema integra inteligencia artificial, metodologías de clase mundial y procesos estandarizados para entregar análisis rigurosos, objetivos y accionables en cuestión de días.</w:t>
      </w:r>
    </w:p>
    <w:p>
      <w:pPr>
        <w:spacing w:before="0" w:after="120"/>
      </w:pPr>
      <w:r>
        <w:rPr>
          <w:b w:val="0"/>
          <w:color w:val="1F2937"/>
          <w:sz w:val="22"/>
        </w:rPr>
        <w:t>Este manual describe la arquitectura completa del sistema, la función de cada componente y cómo navegar el repositorio para aprovechar al máximo sus capacidades.</w:t>
      </w:r>
    </w:p>
    <w:p>
      <w:pPr>
        <w:spacing w:before="320" w:after="160"/>
      </w:pPr>
      <w:r>
        <w:rPr>
          <w:b/>
          <w:color w:val="1A5A9E"/>
          <w:sz w:val="30"/>
        </w:rPr>
        <w:t>1.1  ¿Qué problema resuelve?</w:t>
      </w:r>
    </w:p>
    <w:p>
      <w:pPr>
        <w:spacing w:before="0" w:after="120"/>
      </w:pPr>
      <w:r>
        <w:rPr>
          <w:b w:val="0"/>
          <w:color w:val="1F2937"/>
          <w:sz w:val="22"/>
        </w:rPr>
        <w:t>Las PyMEs carecen de acceso a diagnósticos empresariales de calidad: las consultoras tradicionales son lentas, costosas y sesgadas hacia la venta de implementaciones. Klar Analytics democratiza el acceso a inteligencia empresarial mediante un sistema multi-agente que analiza todas las dimensiones del negocio con objetividad total.</w:t>
      </w:r>
    </w:p>
    <w:p>
      <w:pPr>
        <w:spacing w:before="320" w:after="160"/>
      </w:pPr>
      <w:r>
        <w:rPr>
          <w:b/>
          <w:color w:val="1A5A9E"/>
          <w:sz w:val="30"/>
        </w:rPr>
        <w:t>1.2  Componentes del Sistema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34078"/>
          </w:tcPr>
          <w:p>
            <w:pPr>
              <w:jc w:val="center"/>
            </w:pPr>
            <w:r/>
            <w:r>
              <w:rPr>
                <w:b/>
                <w:color w:val="FFFFFF"/>
                <w:sz w:val="18"/>
              </w:rPr>
              <w:t>Componente</w:t>
            </w:r>
          </w:p>
        </w:tc>
        <w:tc>
          <w:tcPr>
            <w:tcW w:type="dxa" w:w="3135"/>
            <w:shd w:fill="134078"/>
          </w:tcPr>
          <w:p>
            <w:pPr>
              <w:jc w:val="center"/>
            </w:pPr>
            <w:r/>
            <w:r>
              <w:rPr>
                <w:b/>
                <w:color w:val="FFFFFF"/>
                <w:sz w:val="18"/>
              </w:rPr>
              <w:t>Archivos</w:t>
            </w:r>
          </w:p>
        </w:tc>
        <w:tc>
          <w:tcPr>
            <w:tcW w:type="dxa" w:w="3135"/>
            <w:shd w:fill="134078"/>
          </w:tcPr>
          <w:p>
            <w:pPr>
              <w:jc w:val="center"/>
            </w:pPr>
            <w:r/>
            <w:r>
              <w:rPr>
                <w:b/>
                <w:color w:val="FFFFFF"/>
                <w:sz w:val="18"/>
              </w:rPr>
              <w:t>Función Principal</w:t>
            </w:r>
          </w:p>
        </w:tc>
      </w:tr>
      <w:tr>
        <w:tc>
          <w:tcPr>
            <w:tcW w:type="dxa" w:w="3135"/>
          </w:tcPr>
          <w:p>
            <w:r/>
            <w:r>
              <w:rPr>
                <w:color w:val="1F2937"/>
                <w:sz w:val="18"/>
              </w:rPr>
              <w:t>Agents</w:t>
            </w:r>
          </w:p>
        </w:tc>
        <w:tc>
          <w:tcPr>
            <w:tcW w:type="dxa" w:w="3135"/>
          </w:tcPr>
          <w:p>
            <w:r/>
            <w:r>
              <w:rPr>
                <w:color w:val="1F2937"/>
                <w:sz w:val="18"/>
              </w:rPr>
              <w:t>11</w:t>
            </w:r>
          </w:p>
        </w:tc>
        <w:tc>
          <w:tcPr>
            <w:tcW w:type="dxa" w:w="3135"/>
          </w:tcPr>
          <w:p>
            <w:r/>
            <w:r>
              <w:rPr>
                <w:color w:val="1F2937"/>
                <w:sz w:val="18"/>
              </w:rPr>
              <w:t>Definiciones de agentes de IA que ejecutan diagnósticos</w:t>
            </w:r>
          </w:p>
        </w:tc>
      </w:tr>
      <w:tr>
        <w:tc>
          <w:tcPr>
            <w:tcW w:type="dxa" w:w="3135"/>
            <w:shd w:fill="EBF4FF"/>
          </w:tcPr>
          <w:p>
            <w:r/>
            <w:r>
              <w:rPr>
                <w:color w:val="1F2937"/>
                <w:sz w:val="18"/>
              </w:rPr>
              <w:t>Brand</w:t>
            </w:r>
          </w:p>
        </w:tc>
        <w:tc>
          <w:tcPr>
            <w:tcW w:type="dxa" w:w="3135"/>
            <w:shd w:fill="EBF4FF"/>
          </w:tcPr>
          <w:p>
            <w:r/>
            <w:r>
              <w:rPr>
                <w:color w:val="1F2937"/>
                <w:sz w:val="18"/>
              </w:rPr>
              <w:t>15</w:t>
            </w:r>
          </w:p>
        </w:tc>
        <w:tc>
          <w:tcPr>
            <w:tcW w:type="dxa" w:w="3135"/>
            <w:shd w:fill="EBF4FF"/>
          </w:tcPr>
          <w:p>
            <w:r/>
            <w:r>
              <w:rPr>
                <w:color w:val="1F2937"/>
                <w:sz w:val="18"/>
              </w:rPr>
              <w:t>Identidad visual, estrategia de marca, guías de comunicación</w:t>
            </w:r>
          </w:p>
        </w:tc>
      </w:tr>
      <w:tr>
        <w:tc>
          <w:tcPr>
            <w:tcW w:type="dxa" w:w="3135"/>
          </w:tcPr>
          <w:p>
            <w:r/>
            <w:r>
              <w:rPr>
                <w:color w:val="1F2937"/>
                <w:sz w:val="18"/>
              </w:rPr>
              <w:t>Knowledge</w:t>
            </w:r>
          </w:p>
        </w:tc>
        <w:tc>
          <w:tcPr>
            <w:tcW w:type="dxa" w:w="3135"/>
          </w:tcPr>
          <w:p>
            <w:r/>
            <w:r>
              <w:rPr>
                <w:color w:val="1F2937"/>
                <w:sz w:val="18"/>
              </w:rPr>
              <w:t>20</w:t>
            </w:r>
          </w:p>
        </w:tc>
        <w:tc>
          <w:tcPr>
            <w:tcW w:type="dxa" w:w="3135"/>
          </w:tcPr>
          <w:p>
            <w:r/>
            <w:r>
              <w:rPr>
                <w:color w:val="1F2937"/>
                <w:sz w:val="18"/>
              </w:rPr>
              <w:t>Frameworks, patrones y metodologías de diagnóstico</w:t>
            </w:r>
          </w:p>
        </w:tc>
      </w:tr>
      <w:tr>
        <w:tc>
          <w:tcPr>
            <w:tcW w:type="dxa" w:w="3135"/>
            <w:shd w:fill="EBF4FF"/>
          </w:tcPr>
          <w:p>
            <w:r/>
            <w:r>
              <w:rPr>
                <w:color w:val="1F2937"/>
                <w:sz w:val="18"/>
              </w:rPr>
              <w:t>Operations</w:t>
            </w:r>
          </w:p>
        </w:tc>
        <w:tc>
          <w:tcPr>
            <w:tcW w:type="dxa" w:w="3135"/>
            <w:shd w:fill="EBF4FF"/>
          </w:tcPr>
          <w:p>
            <w:r/>
            <w:r>
              <w:rPr>
                <w:color w:val="1F2937"/>
                <w:sz w:val="18"/>
              </w:rPr>
              <w:t>11</w:t>
            </w:r>
          </w:p>
        </w:tc>
        <w:tc>
          <w:tcPr>
            <w:tcW w:type="dxa" w:w="3135"/>
            <w:shd w:fill="EBF4FF"/>
          </w:tcPr>
          <w:p>
            <w:r/>
            <w:r>
              <w:rPr>
                <w:color w:val="1F2937"/>
                <w:sz w:val="18"/>
              </w:rPr>
              <w:t>Sistema operativo: procesos, KPIs, datos, CRM, ERP</w:t>
            </w:r>
          </w:p>
        </w:tc>
      </w:tr>
      <w:tr>
        <w:tc>
          <w:tcPr>
            <w:tcW w:type="dxa" w:w="3135"/>
          </w:tcPr>
          <w:p>
            <w:r/>
            <w:r>
              <w:rPr>
                <w:color w:val="1F2937"/>
                <w:sz w:val="18"/>
              </w:rPr>
              <w:t>Playbooks</w:t>
            </w:r>
          </w:p>
        </w:tc>
        <w:tc>
          <w:tcPr>
            <w:tcW w:type="dxa" w:w="3135"/>
          </w:tcPr>
          <w:p>
            <w:r/>
            <w:r>
              <w:rPr>
                <w:color w:val="1F2937"/>
                <w:sz w:val="18"/>
              </w:rPr>
              <w:t>3</w:t>
            </w:r>
          </w:p>
        </w:tc>
        <w:tc>
          <w:tcPr>
            <w:tcW w:type="dxa" w:w="3135"/>
          </w:tcPr>
          <w:p>
            <w:r/>
            <w:r>
              <w:rPr>
                <w:color w:val="1F2937"/>
                <w:sz w:val="18"/>
              </w:rPr>
              <w:t>Procedimientos paso a paso para ejecutar diagnósticos</w:t>
            </w:r>
          </w:p>
        </w:tc>
      </w:tr>
      <w:tr>
        <w:tc>
          <w:tcPr>
            <w:tcW w:type="dxa" w:w="3135"/>
            <w:shd w:fill="EBF4FF"/>
          </w:tcPr>
          <w:p>
            <w:r/>
            <w:r>
              <w:rPr>
                <w:color w:val="1F2937"/>
                <w:sz w:val="18"/>
              </w:rPr>
              <w:t>Skills</w:t>
            </w:r>
          </w:p>
        </w:tc>
        <w:tc>
          <w:tcPr>
            <w:tcW w:type="dxa" w:w="3135"/>
            <w:shd w:fill="EBF4FF"/>
          </w:tcPr>
          <w:p>
            <w:r/>
            <w:r>
              <w:rPr>
                <w:color w:val="1F2937"/>
                <w:sz w:val="18"/>
              </w:rPr>
              <w:t>8</w:t>
            </w:r>
          </w:p>
        </w:tc>
        <w:tc>
          <w:tcPr>
            <w:tcW w:type="dxa" w:w="3135"/>
            <w:shd w:fill="EBF4FF"/>
          </w:tcPr>
          <w:p>
            <w:r/>
            <w:r>
              <w:rPr>
                <w:color w:val="1F2937"/>
                <w:sz w:val="18"/>
              </w:rPr>
              <w:t>Fichas técnicas de capacidades de diagnóstico</w:t>
            </w:r>
          </w:p>
        </w:tc>
      </w:tr>
      <w:tr>
        <w:tc>
          <w:tcPr>
            <w:tcW w:type="dxa" w:w="3135"/>
          </w:tcPr>
          <w:p>
            <w:r/>
            <w:r>
              <w:rPr>
                <w:color w:val="1F2937"/>
                <w:sz w:val="18"/>
              </w:rPr>
              <w:t>Templates</w:t>
            </w:r>
          </w:p>
        </w:tc>
        <w:tc>
          <w:tcPr>
            <w:tcW w:type="dxa" w:w="3135"/>
          </w:tcPr>
          <w:p>
            <w:r/>
            <w:r>
              <w:rPr>
                <w:color w:val="1F2937"/>
                <w:sz w:val="18"/>
              </w:rPr>
              <w:t>1</w:t>
            </w:r>
          </w:p>
        </w:tc>
        <w:tc>
          <w:tcPr>
            <w:tcW w:type="dxa" w:w="3135"/>
          </w:tcPr>
          <w:p>
            <w:r/>
            <w:r>
              <w:rPr>
                <w:color w:val="1F2937"/>
                <w:sz w:val="18"/>
              </w:rPr>
              <w:t>Plantillas para informes ejecutivos</w:t>
            </w:r>
          </w:p>
        </w:tc>
      </w:tr>
      <w:tr>
        <w:tc>
          <w:tcPr>
            <w:tcW w:type="dxa" w:w="3135"/>
            <w:shd w:fill="EBF4FF"/>
          </w:tcPr>
          <w:p>
            <w:r/>
            <w:r>
              <w:rPr>
                <w:color w:val="1F2937"/>
                <w:sz w:val="18"/>
              </w:rPr>
              <w:t>Total</w:t>
            </w:r>
          </w:p>
        </w:tc>
        <w:tc>
          <w:tcPr>
            <w:tcW w:type="dxa" w:w="3135"/>
            <w:shd w:fill="EBF4FF"/>
          </w:tcPr>
          <w:p>
            <w:r/>
            <w:r>
              <w:rPr>
                <w:color w:val="1F2937"/>
                <w:sz w:val="18"/>
              </w:rPr>
              <w:t>70</w:t>
            </w:r>
          </w:p>
        </w:tc>
        <w:tc>
          <w:tcPr>
            <w:tcW w:type="dxa" w:w="3135"/>
            <w:shd w:fill="EBF4FF"/>
          </w:tcPr>
          <w:p>
            <w:r/>
            <w:r>
              <w:rPr>
                <w:color w:val="1F2937"/>
                <w:sz w:val="18"/>
              </w:rPr>
            </w:r>
          </w:p>
        </w:tc>
      </w:tr>
    </w:tbl>
    <w:p/>
    <w:p>
      <w:r>
        <w:br w:type="page"/>
      </w:r>
    </w:p>
    <w:p>
      <w:pPr>
        <w:spacing w:before="480" w:after="240"/>
        <w:pBdr>
          <w:bottom w:val="single" w:sz="6" w:space="1" w:color="134078"/>
        </w:pBdr>
      </w:pPr>
      <w:r>
        <w:rPr>
          <w:b/>
          <w:color w:val="134078"/>
          <w:sz w:val="40"/>
        </w:rPr>
        <w:t>2. Arquitectura General del Proyecto</w:t>
      </w:r>
    </w:p>
    <w:p>
      <w:pPr>
        <w:spacing w:before="0" w:after="120"/>
      </w:pPr>
      <w:r>
        <w:rPr>
          <w:b w:val="0"/>
          <w:color w:val="1F2937"/>
          <w:sz w:val="22"/>
        </w:rPr>
        <w:t>El proyecto está organizado en 8 directorios principales, cada uno con una función específica dentro del ecosistema de Klar Analytics. La arquitectura sigue un diseño modular donde cada componente es independiente pero se integra con los demás a través de interfaces definidas.</w:t>
      </w:r>
    </w:p>
    <w:p>
      <w:pPr>
        <w:spacing w:before="320" w:after="160"/>
      </w:pPr>
      <w:r>
        <w:rPr>
          <w:b/>
          <w:color w:val="1A5A9E"/>
          <w:sz w:val="30"/>
        </w:rPr>
        <w:t>2.1  Mapa de Directorios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34078"/>
          </w:tcPr>
          <w:p>
            <w:pPr>
              <w:jc w:val="center"/>
            </w:pPr>
            <w:r/>
            <w:r>
              <w:rPr>
                <w:b/>
                <w:color w:val="FFFFFF"/>
                <w:sz w:val="18"/>
              </w:rPr>
              <w:t>Directorio</w:t>
            </w:r>
          </w:p>
        </w:tc>
        <w:tc>
          <w:tcPr>
            <w:tcW w:type="dxa" w:w="3135"/>
            <w:shd w:fill="134078"/>
          </w:tcPr>
          <w:p>
            <w:pPr>
              <w:jc w:val="center"/>
            </w:pPr>
            <w:r/>
            <w:r>
              <w:rPr>
                <w:b/>
                <w:color w:val="FFFFFF"/>
                <w:sz w:val="18"/>
              </w:rPr>
              <w:t>Cantidad</w:t>
            </w:r>
          </w:p>
        </w:tc>
        <w:tc>
          <w:tcPr>
            <w:tcW w:type="dxa" w:w="3135"/>
            <w:shd w:fill="134078"/>
          </w:tcPr>
          <w:p>
            <w:pPr>
              <w:jc w:val="center"/>
            </w:pPr>
            <w:r/>
            <w:r>
              <w:rPr>
                <w:b/>
                <w:color w:val="FFFFFF"/>
                <w:sz w:val="18"/>
              </w:rPr>
              <w:t>Propósito</w:t>
            </w:r>
          </w:p>
        </w:tc>
      </w:tr>
      <w:tr>
        <w:tc>
          <w:tcPr>
            <w:tcW w:type="dxa" w:w="3135"/>
          </w:tcPr>
          <w:p>
            <w:r/>
            <w:r>
              <w:rPr>
                <w:color w:val="1F2937"/>
                <w:sz w:val="18"/>
              </w:rPr>
              <w:t>Agents/</w:t>
            </w:r>
          </w:p>
        </w:tc>
        <w:tc>
          <w:tcPr>
            <w:tcW w:type="dxa" w:w="3135"/>
          </w:tcPr>
          <w:p>
            <w:r/>
            <w:r>
              <w:rPr>
                <w:color w:val="1F2937"/>
                <w:sz w:val="18"/>
              </w:rPr>
              <w:t>11 archivos</w:t>
            </w:r>
          </w:p>
        </w:tc>
        <w:tc>
          <w:tcPr>
            <w:tcW w:type="dxa" w:w="3135"/>
          </w:tcPr>
          <w:p>
            <w:r/>
            <w:r>
              <w:rPr>
                <w:color w:val="1F2937"/>
                <w:sz w:val="18"/>
              </w:rPr>
              <w:t>Definiciones de agentes de IA especializados</w:t>
            </w:r>
          </w:p>
        </w:tc>
      </w:tr>
      <w:tr>
        <w:tc>
          <w:tcPr>
            <w:tcW w:type="dxa" w:w="3135"/>
            <w:shd w:fill="EBF4FF"/>
          </w:tcPr>
          <w:p>
            <w:r/>
            <w:r>
              <w:rPr>
                <w:color w:val="1F2937"/>
                <w:sz w:val="18"/>
              </w:rPr>
              <w:t>Brand/</w:t>
            </w:r>
          </w:p>
        </w:tc>
        <w:tc>
          <w:tcPr>
            <w:tcW w:type="dxa" w:w="3135"/>
            <w:shd w:fill="EBF4FF"/>
          </w:tcPr>
          <w:p>
            <w:r/>
            <w:r>
              <w:rPr>
                <w:color w:val="1F2937"/>
                <w:sz w:val="18"/>
              </w:rPr>
              <w:t>15 archivos</w:t>
            </w:r>
          </w:p>
        </w:tc>
        <w:tc>
          <w:tcPr>
            <w:tcW w:type="dxa" w:w="3135"/>
            <w:shd w:fill="EBF4FF"/>
          </w:tcPr>
          <w:p>
            <w:r/>
            <w:r>
              <w:rPr>
                <w:color w:val="1F2937"/>
                <w:sz w:val="18"/>
              </w:rPr>
              <w:t>Identidad de marca, logos, guías visuales</w:t>
            </w:r>
          </w:p>
        </w:tc>
      </w:tr>
      <w:tr>
        <w:tc>
          <w:tcPr>
            <w:tcW w:type="dxa" w:w="3135"/>
          </w:tcPr>
          <w:p>
            <w:r/>
            <w:r>
              <w:rPr>
                <w:color w:val="1F2937"/>
                <w:sz w:val="18"/>
              </w:rPr>
              <w:t>Knowledge/</w:t>
            </w:r>
          </w:p>
        </w:tc>
        <w:tc>
          <w:tcPr>
            <w:tcW w:type="dxa" w:w="3135"/>
          </w:tcPr>
          <w:p>
            <w:r/>
            <w:r>
              <w:rPr>
                <w:color w:val="1F2937"/>
                <w:sz w:val="18"/>
              </w:rPr>
              <w:t>20 archivos</w:t>
            </w:r>
          </w:p>
        </w:tc>
        <w:tc>
          <w:tcPr>
            <w:tcW w:type="dxa" w:w="3135"/>
          </w:tcPr>
          <w:p>
            <w:r/>
            <w:r>
              <w:rPr>
                <w:color w:val="1F2937"/>
                <w:sz w:val="18"/>
              </w:rPr>
              <w:t>Base de conocimiento: frameworks y patrones</w:t>
            </w:r>
          </w:p>
        </w:tc>
      </w:tr>
      <w:tr>
        <w:tc>
          <w:tcPr>
            <w:tcW w:type="dxa" w:w="3135"/>
            <w:shd w:fill="EBF4FF"/>
          </w:tcPr>
          <w:p>
            <w:r/>
            <w:r>
              <w:rPr>
                <w:color w:val="1F2937"/>
                <w:sz w:val="18"/>
              </w:rPr>
              <w:t>Operations/</w:t>
            </w:r>
          </w:p>
        </w:tc>
        <w:tc>
          <w:tcPr>
            <w:tcW w:type="dxa" w:w="3135"/>
            <w:shd w:fill="EBF4FF"/>
          </w:tcPr>
          <w:p>
            <w:r/>
            <w:r>
              <w:rPr>
                <w:color w:val="1F2937"/>
                <w:sz w:val="18"/>
              </w:rPr>
              <w:t>11 archivos</w:t>
            </w:r>
          </w:p>
        </w:tc>
        <w:tc>
          <w:tcPr>
            <w:tcW w:type="dxa" w:w="3135"/>
            <w:shd w:fill="EBF4FF"/>
          </w:tcPr>
          <w:p>
            <w:r/>
            <w:r>
              <w:rPr>
                <w:color w:val="1F2937"/>
                <w:sz w:val="18"/>
              </w:rPr>
              <w:t>Sistema operativo de la consultora</w:t>
            </w:r>
          </w:p>
        </w:tc>
      </w:tr>
      <w:tr>
        <w:tc>
          <w:tcPr>
            <w:tcW w:type="dxa" w:w="3135"/>
          </w:tcPr>
          <w:p>
            <w:r/>
            <w:r>
              <w:rPr>
                <w:color w:val="1F2937"/>
                <w:sz w:val="18"/>
              </w:rPr>
              <w:t>Playbooks/</w:t>
            </w:r>
          </w:p>
        </w:tc>
        <w:tc>
          <w:tcPr>
            <w:tcW w:type="dxa" w:w="3135"/>
          </w:tcPr>
          <w:p>
            <w:r/>
            <w:r>
              <w:rPr>
                <w:color w:val="1F2937"/>
                <w:sz w:val="18"/>
              </w:rPr>
              <w:t>3 archivos</w:t>
            </w:r>
          </w:p>
        </w:tc>
        <w:tc>
          <w:tcPr>
            <w:tcW w:type="dxa" w:w="3135"/>
          </w:tcPr>
          <w:p>
            <w:r/>
            <w:r>
              <w:rPr>
                <w:color w:val="1F2937"/>
                <w:sz w:val="18"/>
              </w:rPr>
              <w:t>Procedimientos operativos estándar (SOPs)</w:t>
            </w:r>
          </w:p>
        </w:tc>
      </w:tr>
      <w:tr>
        <w:tc>
          <w:tcPr>
            <w:tcW w:type="dxa" w:w="3135"/>
            <w:shd w:fill="EBF4FF"/>
          </w:tcPr>
          <w:p>
            <w:r/>
            <w:r>
              <w:rPr>
                <w:color w:val="1F2937"/>
                <w:sz w:val="18"/>
              </w:rPr>
              <w:t>Skills/</w:t>
            </w:r>
          </w:p>
        </w:tc>
        <w:tc>
          <w:tcPr>
            <w:tcW w:type="dxa" w:w="3135"/>
            <w:shd w:fill="EBF4FF"/>
          </w:tcPr>
          <w:p>
            <w:r/>
            <w:r>
              <w:rPr>
                <w:color w:val="1F2937"/>
                <w:sz w:val="18"/>
              </w:rPr>
              <w:t>8 archivos</w:t>
            </w:r>
          </w:p>
        </w:tc>
        <w:tc>
          <w:tcPr>
            <w:tcW w:type="dxa" w:w="3135"/>
            <w:shd w:fill="EBF4FF"/>
          </w:tcPr>
          <w:p>
            <w:r/>
            <w:r>
              <w:rPr>
                <w:color w:val="1F2937"/>
                <w:sz w:val="18"/>
              </w:rPr>
              <w:t>Capacidades técnicas de diagnóstico</w:t>
            </w:r>
          </w:p>
        </w:tc>
      </w:tr>
      <w:tr>
        <w:tc>
          <w:tcPr>
            <w:tcW w:type="dxa" w:w="3135"/>
          </w:tcPr>
          <w:p>
            <w:r/>
            <w:r>
              <w:rPr>
                <w:color w:val="1F2937"/>
                <w:sz w:val="18"/>
              </w:rPr>
              <w:t>templates/</w:t>
            </w:r>
          </w:p>
        </w:tc>
        <w:tc>
          <w:tcPr>
            <w:tcW w:type="dxa" w:w="3135"/>
          </w:tcPr>
          <w:p>
            <w:r/>
            <w:r>
              <w:rPr>
                <w:color w:val="1F2937"/>
                <w:sz w:val="18"/>
              </w:rPr>
              <w:t>1 archivo</w:t>
            </w:r>
          </w:p>
        </w:tc>
        <w:tc>
          <w:tcPr>
            <w:tcW w:type="dxa" w:w="3135"/>
          </w:tcPr>
          <w:p>
            <w:r/>
            <w:r>
              <w:rPr>
                <w:color w:val="1F2937"/>
                <w:sz w:val="18"/>
              </w:rPr>
              <w:t>Plantillas reutilizables</w:t>
            </w:r>
          </w:p>
        </w:tc>
      </w:tr>
      <w:tr>
        <w:tc>
          <w:tcPr>
            <w:tcW w:type="dxa" w:w="3135"/>
            <w:shd w:fill="EBF4FF"/>
          </w:tcPr>
          <w:p>
            <w:r/>
            <w:r>
              <w:rPr>
                <w:color w:val="1F2937"/>
                <w:sz w:val="18"/>
              </w:rPr>
              <w:t>APP/</w:t>
            </w:r>
          </w:p>
        </w:tc>
        <w:tc>
          <w:tcPr>
            <w:tcW w:type="dxa" w:w="3135"/>
            <w:shd w:fill="EBF4FF"/>
          </w:tcPr>
          <w:p>
            <w:r/>
            <w:r>
              <w:rPr>
                <w:color w:val="1F2937"/>
                <w:sz w:val="18"/>
              </w:rPr>
              <w:t>0 archivos</w:t>
            </w:r>
          </w:p>
        </w:tc>
        <w:tc>
          <w:tcPr>
            <w:tcW w:type="dxa" w:w="3135"/>
            <w:shd w:fill="EBF4FF"/>
          </w:tcPr>
          <w:p>
            <w:r/>
            <w:r>
              <w:rPr>
                <w:color w:val="1F2937"/>
                <w:sz w:val="18"/>
              </w:rPr>
              <w:t>Reservado para futura aplicación web</w:t>
            </w:r>
          </w:p>
        </w:tc>
      </w:tr>
    </w:tbl>
    <w:p/>
    <w:p>
      <w:pPr>
        <w:spacing w:before="320" w:after="160"/>
      </w:pPr>
      <w:r>
        <w:rPr>
          <w:b/>
          <w:color w:val="1A5A9E"/>
          <w:sz w:val="30"/>
        </w:rPr>
        <w:t>2.2  Relación entre Componentes</w:t>
      </w:r>
    </w:p>
    <w:p>
      <w:pPr>
        <w:spacing w:before="0" w:after="120"/>
      </w:pPr>
      <w:r>
        <w:rPr>
          <w:b w:val="0"/>
          <w:color w:val="1F2937"/>
          <w:sz w:val="22"/>
        </w:rPr>
        <w:t>El flujo de trabajo conecta todos los componentes de la siguiente manera:</w:t>
      </w:r>
    </w:p>
    <w:p>
      <w:pPr>
        <w:spacing w:before="0" w:after="120"/>
      </w:pPr>
      <w:r>
        <w:rPr>
          <w:b w:val="0"/>
          <w:color w:val="1F2937"/>
          <w:sz w:val="22"/>
        </w:rPr>
        <w:t>Skills/ definen las capacidades → Agents/ las ejecutan → Playbooks/ guían el proceso → Knowledge/ provee los fundamentos → Operations/ gestiona y mide → Brand/ unifica la identidad → Todo se materializa en informes para el cliente.</w:t>
      </w:r>
    </w:p>
    <w:p>
      <w:r>
        <w:br w:type="page"/>
      </w:r>
    </w:p>
    <w:p>
      <w:pPr>
        <w:spacing w:before="480" w:after="240"/>
        <w:pBdr>
          <w:bottom w:val="single" w:sz="6" w:space="1" w:color="134078"/>
        </w:pBdr>
      </w:pPr>
      <w:r>
        <w:rPr>
          <w:b/>
          <w:color w:val="134078"/>
          <w:sz w:val="40"/>
        </w:rPr>
        <w:t>3. Agents — Agentes de Diagnóstico</w:t>
      </w:r>
    </w:p>
    <w:p>
      <w:pPr>
        <w:spacing w:before="0" w:after="120"/>
      </w:pPr>
      <w:r>
        <w:rPr>
          <w:b w:val="0"/>
          <w:color w:val="1F2937"/>
          <w:sz w:val="22"/>
        </w:rPr>
        <w:t>Los agentes son definiciones de inteligencia artificial especializadas en dimensiones específicas del diagnóstico empresarial. Cada agente tiene un rol, habilidades específicas y un conjunto de frameworks que utiliza para analizar la información del cliente.</w:t>
      </w:r>
    </w:p>
    <w:p>
      <w:pPr>
        <w:spacing w:before="320" w:after="160"/>
      </w:pPr>
      <w:r>
        <w:rPr>
          <w:b/>
          <w:color w:val="1A5A9E"/>
          <w:sz w:val="30"/>
        </w:rPr>
        <w:t>3.1  Catálogo de Agentes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34078"/>
          </w:tcPr>
          <w:p>
            <w:pPr>
              <w:jc w:val="center"/>
            </w:pPr>
            <w:r/>
            <w:r>
              <w:rPr>
                <w:b/>
                <w:color w:val="FFFFFF"/>
                <w:sz w:val="18"/>
              </w:rPr>
              <w:t>#</w:t>
            </w:r>
          </w:p>
        </w:tc>
        <w:tc>
          <w:tcPr>
            <w:tcW w:type="dxa" w:w="2351"/>
            <w:shd w:fill="134078"/>
          </w:tcPr>
          <w:p>
            <w:pPr>
              <w:jc w:val="center"/>
            </w:pPr>
            <w:r/>
            <w:r>
              <w:rPr>
                <w:b/>
                <w:color w:val="FFFFFF"/>
                <w:sz w:val="18"/>
              </w:rPr>
              <w:t>Agente</w:t>
            </w:r>
          </w:p>
        </w:tc>
        <w:tc>
          <w:tcPr>
            <w:tcW w:type="dxa" w:w="2351"/>
            <w:shd w:fill="134078"/>
          </w:tcPr>
          <w:p>
            <w:pPr>
              <w:jc w:val="center"/>
            </w:pPr>
            <w:r/>
            <w:r>
              <w:rPr>
                <w:b/>
                <w:color w:val="FFFFFF"/>
                <w:sz w:val="18"/>
              </w:rPr>
              <w:t>Especialidad</w:t>
            </w:r>
          </w:p>
        </w:tc>
        <w:tc>
          <w:tcPr>
            <w:tcW w:type="dxa" w:w="2351"/>
            <w:shd w:fill="134078"/>
          </w:tcPr>
          <w:p>
            <w:pPr>
              <w:jc w:val="center"/>
            </w:pPr>
            <w:r/>
            <w:r>
              <w:rPr>
                <w:b/>
                <w:color w:val="FFFFFF"/>
                <w:sz w:val="18"/>
              </w:rPr>
              <w:t>Frameworks Clave</w:t>
            </w:r>
          </w:p>
        </w:tc>
      </w:tr>
      <w:tr>
        <w:tc>
          <w:tcPr>
            <w:tcW w:type="dxa" w:w="2351"/>
          </w:tcPr>
          <w:p>
            <w:r/>
            <w:r>
              <w:rPr>
                <w:color w:val="1F2937"/>
                <w:sz w:val="18"/>
              </w:rPr>
              <w:t>1</w:t>
            </w:r>
          </w:p>
        </w:tc>
        <w:tc>
          <w:tcPr>
            <w:tcW w:type="dxa" w:w="2351"/>
          </w:tcPr>
          <w:p>
            <w:r/>
            <w:r>
              <w:rPr>
                <w:color w:val="1F2937"/>
                <w:sz w:val="18"/>
              </w:rPr>
              <w:t>Business_Model_Analyst</w:t>
            </w:r>
          </w:p>
        </w:tc>
        <w:tc>
          <w:tcPr>
            <w:tcW w:type="dxa" w:w="2351"/>
          </w:tcPr>
          <w:p>
            <w:r/>
            <w:r>
              <w:rPr>
                <w:color w:val="1F2937"/>
                <w:sz w:val="18"/>
              </w:rPr>
              <w:t>Modelo de negocio</w:t>
            </w:r>
          </w:p>
        </w:tc>
        <w:tc>
          <w:tcPr>
            <w:tcW w:type="dxa" w:w="2351"/>
          </w:tcPr>
          <w:p>
            <w:r/>
            <w:r>
              <w:rPr>
                <w:color w:val="1F2937"/>
                <w:sz w:val="18"/>
              </w:rPr>
              <w:t>BMC, VRIO, Cadena de Valor</w:t>
            </w:r>
          </w:p>
        </w:tc>
      </w:tr>
      <w:tr>
        <w:tc>
          <w:tcPr>
            <w:tcW w:type="dxa" w:w="2351"/>
            <w:shd w:fill="EBF4FF"/>
          </w:tcPr>
          <w:p>
            <w:r/>
            <w:r>
              <w:rPr>
                <w:color w:val="1F2937"/>
                <w:sz w:val="18"/>
              </w:rPr>
              <w:t>2</w:t>
            </w:r>
          </w:p>
        </w:tc>
        <w:tc>
          <w:tcPr>
            <w:tcW w:type="dxa" w:w="2351"/>
            <w:shd w:fill="EBF4FF"/>
          </w:tcPr>
          <w:p>
            <w:r/>
            <w:r>
              <w:rPr>
                <w:color w:val="1F2937"/>
                <w:sz w:val="18"/>
              </w:rPr>
              <w:t>Financial_Analyst</w:t>
            </w:r>
          </w:p>
        </w:tc>
        <w:tc>
          <w:tcPr>
            <w:tcW w:type="dxa" w:w="2351"/>
            <w:shd w:fill="EBF4FF"/>
          </w:tcPr>
          <w:p>
            <w:r/>
            <w:r>
              <w:rPr>
                <w:color w:val="1F2937"/>
                <w:sz w:val="18"/>
              </w:rPr>
              <w:t>Finanzas</w:t>
            </w:r>
          </w:p>
        </w:tc>
        <w:tc>
          <w:tcPr>
            <w:tcW w:type="dxa" w:w="2351"/>
            <w:shd w:fill="EBF4FF"/>
          </w:tcPr>
          <w:p>
            <w:r/>
            <w:r>
              <w:rPr>
                <w:color w:val="1F2937"/>
                <w:sz w:val="18"/>
              </w:rPr>
              <w:t>Ratios, Dupont, Flujo de Caja</w:t>
            </w:r>
          </w:p>
        </w:tc>
      </w:tr>
      <w:tr>
        <w:tc>
          <w:tcPr>
            <w:tcW w:type="dxa" w:w="2351"/>
          </w:tcPr>
          <w:p>
            <w:r/>
            <w:r>
              <w:rPr>
                <w:color w:val="1F2937"/>
                <w:sz w:val="18"/>
              </w:rPr>
              <w:t>3</w:t>
            </w:r>
          </w:p>
        </w:tc>
        <w:tc>
          <w:tcPr>
            <w:tcW w:type="dxa" w:w="2351"/>
          </w:tcPr>
          <w:p>
            <w:r/>
            <w:r>
              <w:rPr>
                <w:color w:val="1F2937"/>
                <w:sz w:val="18"/>
              </w:rPr>
              <w:t>Operations_Analyst</w:t>
            </w:r>
          </w:p>
        </w:tc>
        <w:tc>
          <w:tcPr>
            <w:tcW w:type="dxa" w:w="2351"/>
          </w:tcPr>
          <w:p>
            <w:r/>
            <w:r>
              <w:rPr>
                <w:color w:val="1F2937"/>
                <w:sz w:val="18"/>
              </w:rPr>
              <w:t>Operaciones</w:t>
            </w:r>
          </w:p>
        </w:tc>
        <w:tc>
          <w:tcPr>
            <w:tcW w:type="dxa" w:w="2351"/>
          </w:tcPr>
          <w:p>
            <w:r/>
            <w:r>
              <w:rPr>
                <w:color w:val="1F2937"/>
                <w:sz w:val="18"/>
              </w:rPr>
              <w:t>Lean, TOC, Mapeo de Procesos</w:t>
            </w:r>
          </w:p>
        </w:tc>
      </w:tr>
      <w:tr>
        <w:tc>
          <w:tcPr>
            <w:tcW w:type="dxa" w:w="2351"/>
            <w:shd w:fill="EBF4FF"/>
          </w:tcPr>
          <w:p>
            <w:r/>
            <w:r>
              <w:rPr>
                <w:color w:val="1F2937"/>
                <w:sz w:val="18"/>
              </w:rPr>
              <w:t>4</w:t>
            </w:r>
          </w:p>
        </w:tc>
        <w:tc>
          <w:tcPr>
            <w:tcW w:type="dxa" w:w="2351"/>
            <w:shd w:fill="EBF4FF"/>
          </w:tcPr>
          <w:p>
            <w:r/>
            <w:r>
              <w:rPr>
                <w:color w:val="1F2937"/>
                <w:sz w:val="18"/>
              </w:rPr>
              <w:t>Strategy_Designer</w:t>
            </w:r>
          </w:p>
        </w:tc>
        <w:tc>
          <w:tcPr>
            <w:tcW w:type="dxa" w:w="2351"/>
            <w:shd w:fill="EBF4FF"/>
          </w:tcPr>
          <w:p>
            <w:r/>
            <w:r>
              <w:rPr>
                <w:color w:val="1F2937"/>
                <w:sz w:val="18"/>
              </w:rPr>
              <w:t>Estrategia</w:t>
            </w:r>
          </w:p>
        </w:tc>
        <w:tc>
          <w:tcPr>
            <w:tcW w:type="dxa" w:w="2351"/>
            <w:shd w:fill="EBF4FF"/>
          </w:tcPr>
          <w:p>
            <w:r/>
            <w:r>
              <w:rPr>
                <w:color w:val="1F2937"/>
                <w:sz w:val="18"/>
              </w:rPr>
              <w:t>5 Fuerzas, Océano Azul, OKRs</w:t>
            </w:r>
          </w:p>
        </w:tc>
      </w:tr>
      <w:tr>
        <w:tc>
          <w:tcPr>
            <w:tcW w:type="dxa" w:w="2351"/>
          </w:tcPr>
          <w:p>
            <w:r/>
            <w:r>
              <w:rPr>
                <w:color w:val="1F2937"/>
                <w:sz w:val="18"/>
              </w:rPr>
              <w:t>5</w:t>
            </w:r>
          </w:p>
        </w:tc>
        <w:tc>
          <w:tcPr>
            <w:tcW w:type="dxa" w:w="2351"/>
          </w:tcPr>
          <w:p>
            <w:r/>
            <w:r>
              <w:rPr>
                <w:color w:val="1F2937"/>
                <w:sz w:val="18"/>
              </w:rPr>
              <w:t>Organization_Analyst</w:t>
            </w:r>
          </w:p>
        </w:tc>
        <w:tc>
          <w:tcPr>
            <w:tcW w:type="dxa" w:w="2351"/>
          </w:tcPr>
          <w:p>
            <w:r/>
            <w:r>
              <w:rPr>
                <w:color w:val="1F2937"/>
                <w:sz w:val="18"/>
              </w:rPr>
              <w:t>Talento y Org</w:t>
            </w:r>
          </w:p>
        </w:tc>
        <w:tc>
          <w:tcPr>
            <w:tcW w:type="dxa" w:w="2351"/>
          </w:tcPr>
          <w:p>
            <w:r/>
            <w:r>
              <w:rPr>
                <w:color w:val="1F2937"/>
                <w:sz w:val="18"/>
              </w:rPr>
              <w:t>7S, OCAI, Belbin</w:t>
            </w:r>
          </w:p>
        </w:tc>
      </w:tr>
      <w:tr>
        <w:tc>
          <w:tcPr>
            <w:tcW w:type="dxa" w:w="2351"/>
            <w:shd w:fill="EBF4FF"/>
          </w:tcPr>
          <w:p>
            <w:r/>
            <w:r>
              <w:rPr>
                <w:color w:val="1F2937"/>
                <w:sz w:val="18"/>
              </w:rPr>
              <w:t>6</w:t>
            </w:r>
          </w:p>
        </w:tc>
        <w:tc>
          <w:tcPr>
            <w:tcW w:type="dxa" w:w="2351"/>
            <w:shd w:fill="EBF4FF"/>
          </w:tcPr>
          <w:p>
            <w:r/>
            <w:r>
              <w:rPr>
                <w:color w:val="1F2937"/>
                <w:sz w:val="18"/>
              </w:rPr>
              <w:t>Risk_Analyst</w:t>
            </w:r>
          </w:p>
        </w:tc>
        <w:tc>
          <w:tcPr>
            <w:tcW w:type="dxa" w:w="2351"/>
            <w:shd w:fill="EBF4FF"/>
          </w:tcPr>
          <w:p>
            <w:r/>
            <w:r>
              <w:rPr>
                <w:color w:val="1F2937"/>
                <w:sz w:val="18"/>
              </w:rPr>
              <w:t>Riesgos</w:t>
            </w:r>
          </w:p>
        </w:tc>
        <w:tc>
          <w:tcPr>
            <w:tcW w:type="dxa" w:w="2351"/>
            <w:shd w:fill="EBF4FF"/>
          </w:tcPr>
          <w:p>
            <w:r/>
            <w:r>
              <w:rPr>
                <w:color w:val="1F2937"/>
                <w:sz w:val="18"/>
              </w:rPr>
              <w:t>ISO 31000, Matriz de Riesgo</w:t>
            </w:r>
          </w:p>
        </w:tc>
      </w:tr>
      <w:tr>
        <w:tc>
          <w:tcPr>
            <w:tcW w:type="dxa" w:w="2351"/>
          </w:tcPr>
          <w:p>
            <w:r/>
            <w:r>
              <w:rPr>
                <w:color w:val="1F2937"/>
                <w:sz w:val="18"/>
              </w:rPr>
              <w:t>7</w:t>
            </w:r>
          </w:p>
        </w:tc>
        <w:tc>
          <w:tcPr>
            <w:tcW w:type="dxa" w:w="2351"/>
          </w:tcPr>
          <w:p>
            <w:r/>
            <w:r>
              <w:rPr>
                <w:color w:val="1F2937"/>
                <w:sz w:val="18"/>
              </w:rPr>
              <w:t>Interview_Orchestrator</w:t>
            </w:r>
          </w:p>
        </w:tc>
        <w:tc>
          <w:tcPr>
            <w:tcW w:type="dxa" w:w="2351"/>
          </w:tcPr>
          <w:p>
            <w:r/>
            <w:r>
              <w:rPr>
                <w:color w:val="1F2937"/>
                <w:sz w:val="18"/>
              </w:rPr>
              <w:t>Entrevistas</w:t>
            </w:r>
          </w:p>
        </w:tc>
        <w:tc>
          <w:tcPr>
            <w:tcW w:type="dxa" w:w="2351"/>
          </w:tcPr>
          <w:p>
            <w:r/>
            <w:r>
              <w:rPr>
                <w:color w:val="1F2937"/>
                <w:sz w:val="18"/>
              </w:rPr>
              <w:t>Protocolo de descubrimiento</w:t>
            </w:r>
          </w:p>
        </w:tc>
      </w:tr>
      <w:tr>
        <w:tc>
          <w:tcPr>
            <w:tcW w:type="dxa" w:w="2351"/>
            <w:shd w:fill="EBF4FF"/>
          </w:tcPr>
          <w:p>
            <w:r/>
            <w:r>
              <w:rPr>
                <w:color w:val="1F2937"/>
                <w:sz w:val="18"/>
              </w:rPr>
              <w:t>8</w:t>
            </w:r>
          </w:p>
        </w:tc>
        <w:tc>
          <w:tcPr>
            <w:tcW w:type="dxa" w:w="2351"/>
            <w:shd w:fill="EBF4FF"/>
          </w:tcPr>
          <w:p>
            <w:r/>
            <w:r>
              <w:rPr>
                <w:color w:val="1F2937"/>
                <w:sz w:val="18"/>
              </w:rPr>
              <w:t>Executive_Report_Generator</w:t>
            </w:r>
          </w:p>
        </w:tc>
        <w:tc>
          <w:tcPr>
            <w:tcW w:type="dxa" w:w="2351"/>
            <w:shd w:fill="EBF4FF"/>
          </w:tcPr>
          <w:p>
            <w:r/>
            <w:r>
              <w:rPr>
                <w:color w:val="1F2937"/>
                <w:sz w:val="18"/>
              </w:rPr>
              <w:t>Informes</w:t>
            </w:r>
          </w:p>
        </w:tc>
        <w:tc>
          <w:tcPr>
            <w:tcW w:type="dxa" w:w="2351"/>
            <w:shd w:fill="EBF4FF"/>
          </w:tcPr>
          <w:p>
            <w:r/>
            <w:r>
              <w:rPr>
                <w:color w:val="1F2937"/>
                <w:sz w:val="18"/>
              </w:rPr>
              <w:t>Estructura de reporte</w:t>
            </w:r>
          </w:p>
        </w:tc>
      </w:tr>
      <w:tr>
        <w:tc>
          <w:tcPr>
            <w:tcW w:type="dxa" w:w="2351"/>
          </w:tcPr>
          <w:p>
            <w:r/>
            <w:r>
              <w:rPr>
                <w:color w:val="1F2937"/>
                <w:sz w:val="18"/>
              </w:rPr>
              <w:t>9</w:t>
            </w:r>
          </w:p>
        </w:tc>
        <w:tc>
          <w:tcPr>
            <w:tcW w:type="dxa" w:w="2351"/>
          </w:tcPr>
          <w:p>
            <w:r/>
            <w:r>
              <w:rPr>
                <w:color w:val="1F2937"/>
                <w:sz w:val="18"/>
              </w:rPr>
              <w:t>Business_Diagnosis_Assistant</w:t>
            </w:r>
          </w:p>
        </w:tc>
        <w:tc>
          <w:tcPr>
            <w:tcW w:type="dxa" w:w="2351"/>
          </w:tcPr>
          <w:p>
            <w:r/>
            <w:r>
              <w:rPr>
                <w:color w:val="1F2937"/>
                <w:sz w:val="18"/>
              </w:rPr>
              <w:t>Asistencia general</w:t>
            </w:r>
          </w:p>
        </w:tc>
        <w:tc>
          <w:tcPr>
            <w:tcW w:type="dxa" w:w="2351"/>
          </w:tcPr>
          <w:p>
            <w:r/>
            <w:r>
              <w:rPr>
                <w:color w:val="1F2937"/>
                <w:sz w:val="18"/>
              </w:rPr>
              <w:t>Coordinación</w:t>
            </w:r>
          </w:p>
        </w:tc>
      </w:tr>
      <w:tr>
        <w:tc>
          <w:tcPr>
            <w:tcW w:type="dxa" w:w="2351"/>
            <w:shd w:fill="EBF4FF"/>
          </w:tcPr>
          <w:p>
            <w:r/>
            <w:r>
              <w:rPr>
                <w:color w:val="1F2937"/>
                <w:sz w:val="18"/>
              </w:rPr>
              <w:t>10</w:t>
            </w:r>
          </w:p>
        </w:tc>
        <w:tc>
          <w:tcPr>
            <w:tcW w:type="dxa" w:w="2351"/>
            <w:shd w:fill="EBF4FF"/>
          </w:tcPr>
          <w:p>
            <w:r/>
            <w:r>
              <w:rPr>
                <w:color w:val="1F2937"/>
                <w:sz w:val="18"/>
              </w:rPr>
              <w:t>Master_Diagnosis_Orchestrator</w:t>
            </w:r>
          </w:p>
        </w:tc>
        <w:tc>
          <w:tcPr>
            <w:tcW w:type="dxa" w:w="2351"/>
            <w:shd w:fill="EBF4FF"/>
          </w:tcPr>
          <w:p>
            <w:r/>
            <w:r>
              <w:rPr>
                <w:color w:val="1F2937"/>
                <w:sz w:val="18"/>
              </w:rPr>
              <w:t>Orquestación</w:t>
            </w:r>
          </w:p>
        </w:tc>
        <w:tc>
          <w:tcPr>
            <w:tcW w:type="dxa" w:w="2351"/>
            <w:shd w:fill="EBF4FF"/>
          </w:tcPr>
          <w:p>
            <w:r/>
            <w:r>
              <w:rPr>
                <w:color w:val="1F2937"/>
                <w:sz w:val="18"/>
              </w:rPr>
              <w:t>Coordinación multi-agente</w:t>
            </w:r>
          </w:p>
        </w:tc>
      </w:tr>
      <w:tr>
        <w:tc>
          <w:tcPr>
            <w:tcW w:type="dxa" w:w="2351"/>
          </w:tcPr>
          <w:p>
            <w:r/>
            <w:r>
              <w:rPr>
                <w:color w:val="1F2937"/>
                <w:sz w:val="18"/>
              </w:rPr>
              <w:t>11</w:t>
            </w:r>
          </w:p>
        </w:tc>
        <w:tc>
          <w:tcPr>
            <w:tcW w:type="dxa" w:w="2351"/>
          </w:tcPr>
          <w:p>
            <w:r/>
            <w:r>
              <w:rPr>
                <w:color w:val="1F2937"/>
                <w:sz w:val="18"/>
              </w:rPr>
              <w:t>AI_Transformation_Designer</w:t>
            </w:r>
          </w:p>
        </w:tc>
        <w:tc>
          <w:tcPr>
            <w:tcW w:type="dxa" w:w="2351"/>
          </w:tcPr>
          <w:p>
            <w:r/>
            <w:r>
              <w:rPr>
                <w:color w:val="1F2937"/>
                <w:sz w:val="18"/>
              </w:rPr>
              <w:t>Transformación digital</w:t>
            </w:r>
          </w:p>
        </w:tc>
        <w:tc>
          <w:tcPr>
            <w:tcW w:type="dxa" w:w="2351"/>
          </w:tcPr>
          <w:p>
            <w:r/>
            <w:r>
              <w:rPr>
                <w:color w:val="1F2937"/>
                <w:sz w:val="18"/>
              </w:rPr>
              <w:t>Hoja de ruta digital</w:t>
            </w:r>
          </w:p>
        </w:tc>
      </w:tr>
    </w:tbl>
    <w:p/>
    <w:p>
      <w:pPr>
        <w:spacing w:before="320" w:after="160"/>
      </w:pPr>
      <w:r>
        <w:rPr>
          <w:b/>
          <w:color w:val="1A5A9E"/>
          <w:sz w:val="30"/>
        </w:rPr>
        <w:t>3.2  Cómo usar un agente</w:t>
      </w:r>
    </w:p>
    <w:p>
      <w:pPr>
        <w:spacing w:before="0" w:after="120"/>
      </w:pPr>
      <w:r>
        <w:rPr>
          <w:b w:val="0"/>
          <w:color w:val="1F2937"/>
          <w:sz w:val="22"/>
        </w:rPr>
        <w:t>Cada archivo de agente contiene:</w:t>
      </w:r>
    </w:p>
    <w:p>
      <w:pPr>
        <w:pStyle w:val="ListBullet"/>
        <w:spacing w:after="40"/>
      </w:pPr>
      <w:r>
        <w:t>Perfil del agente: nombre, rol, especialidad</w:t>
      </w:r>
    </w:p>
    <w:p>
      <w:pPr>
        <w:pStyle w:val="ListBullet"/>
        <w:spacing w:after="40"/>
      </w:pPr>
      <w:r>
        <w:t>Habilidades: lista de Skills/ que puede ejecutar</w:t>
      </w:r>
    </w:p>
    <w:p>
      <w:pPr>
        <w:pStyle w:val="ListBullet"/>
        <w:spacing w:after="40"/>
      </w:pPr>
      <w:r>
        <w:t>Frameworks: referencias a Knowledge/ que utiliza</w:t>
      </w:r>
    </w:p>
    <w:p>
      <w:pPr>
        <w:pStyle w:val="ListBullet"/>
        <w:spacing w:after="40"/>
      </w:pPr>
      <w:r>
        <w:t>Inputs esperados: qué información necesita del cliente</w:t>
      </w:r>
    </w:p>
    <w:p>
      <w:pPr>
        <w:pStyle w:val="ListBullet"/>
        <w:spacing w:after="40"/>
      </w:pPr>
      <w:r>
        <w:t>Outputs generados: qué produce (hallazgos, recomendaciones)</w:t>
      </w:r>
    </w:p>
    <w:p>
      <w:pPr>
        <w:pStyle w:val="ListBullet"/>
        <w:spacing w:after="40"/>
      </w:pPr>
      <w:r>
        <w:t>Ejemplo de uso: prompt template para invocar al agente</w:t>
      </w:r>
    </w:p>
    <w:p>
      <w:r>
        <w:br w:type="page"/>
      </w:r>
    </w:p>
    <w:p>
      <w:pPr>
        <w:spacing w:before="480" w:after="240"/>
        <w:pBdr>
          <w:bottom w:val="single" w:sz="6" w:space="1" w:color="134078"/>
        </w:pBdr>
      </w:pPr>
      <w:r>
        <w:rPr>
          <w:b/>
          <w:color w:val="134078"/>
          <w:sz w:val="40"/>
        </w:rPr>
        <w:t>4. Brand — Identidad y Marca</w:t>
      </w:r>
    </w:p>
    <w:p>
      <w:pPr>
        <w:spacing w:before="0" w:after="120"/>
      </w:pPr>
      <w:r>
        <w:rPr>
          <w:b w:val="0"/>
          <w:color w:val="1F2937"/>
          <w:sz w:val="22"/>
        </w:rPr>
        <w:t>El directorio Brand/ contiene toda la identidad visual y estratégica de Klar Analytics. Define cómo la consultora se presenta al mundo, desde su esencia filosófica hasta los códigos de color exactos.</w:t>
      </w:r>
    </w:p>
    <w:p>
      <w:pPr>
        <w:spacing w:before="320" w:after="160"/>
      </w:pPr>
      <w:r>
        <w:rPr>
          <w:b/>
          <w:color w:val="1A5A9E"/>
          <w:sz w:val="30"/>
        </w:rPr>
        <w:t>4.1  Archivos de Marca</w:t>
      </w:r>
    </w:p>
    <w:tbl>
      <w:tblPr>
        <w:tblStyle w:val="TableGrid"/>
        <w:tblW w:type="auto" w:w="0"/>
        <w:jc w:val="center"/>
        <w:tblLook w:firstColumn="1" w:firstRow="1" w:lastColumn="0" w:lastRow="0" w:noHBand="0" w:noVBand="1" w:val="04A0"/>
      </w:tblPr>
      <w:tblGrid>
        <w:gridCol w:w="4703"/>
        <w:gridCol w:w="4703"/>
      </w:tblGrid>
      <w:tr>
        <w:tc>
          <w:tcPr>
            <w:tcW w:type="dxa" w:w="4703"/>
            <w:shd w:fill="134078"/>
          </w:tcPr>
          <w:p>
            <w:pPr>
              <w:jc w:val="center"/>
            </w:pPr>
            <w:r/>
            <w:r>
              <w:rPr>
                <w:b/>
                <w:color w:val="FFFFFF"/>
                <w:sz w:val="18"/>
              </w:rPr>
              <w:t>Archivo</w:t>
            </w:r>
          </w:p>
        </w:tc>
        <w:tc>
          <w:tcPr>
            <w:tcW w:type="dxa" w:w="4703"/>
            <w:shd w:fill="134078"/>
          </w:tcPr>
          <w:p>
            <w:pPr>
              <w:jc w:val="center"/>
            </w:pPr>
            <w:r/>
            <w:r>
              <w:rPr>
                <w:b/>
                <w:color w:val="FFFFFF"/>
                <w:sz w:val="18"/>
              </w:rPr>
              <w:t>Función</w:t>
            </w:r>
          </w:p>
        </w:tc>
      </w:tr>
      <w:tr>
        <w:tc>
          <w:tcPr>
            <w:tcW w:type="dxa" w:w="4703"/>
          </w:tcPr>
          <w:p>
            <w:r/>
            <w:r>
              <w:rPr>
                <w:color w:val="1F2937"/>
                <w:sz w:val="18"/>
              </w:rPr>
              <w:t>Brand_Strategy.md</w:t>
            </w:r>
          </w:p>
        </w:tc>
        <w:tc>
          <w:tcPr>
            <w:tcW w:type="dxa" w:w="4703"/>
          </w:tcPr>
          <w:p>
            <w:r/>
            <w:r>
              <w:rPr>
                <w:color w:val="1F2937"/>
                <w:sz w:val="18"/>
              </w:rPr>
              <w:t>Estrategia completa de marca (esencia, posicionamiento, arquetipos)</w:t>
            </w:r>
          </w:p>
        </w:tc>
      </w:tr>
      <w:tr>
        <w:tc>
          <w:tcPr>
            <w:tcW w:type="dxa" w:w="4703"/>
            <w:shd w:fill="EBF4FF"/>
          </w:tcPr>
          <w:p>
            <w:r/>
            <w:r>
              <w:rPr>
                <w:color w:val="1F2937"/>
                <w:sz w:val="18"/>
              </w:rPr>
              <w:t>Visual_Identity.md</w:t>
            </w:r>
          </w:p>
        </w:tc>
        <w:tc>
          <w:tcPr>
            <w:tcW w:type="dxa" w:w="4703"/>
            <w:shd w:fill="EBF4FF"/>
          </w:tcPr>
          <w:p>
            <w:r/>
            <w:r>
              <w:rPr>
                <w:color w:val="1F2937"/>
                <w:sz w:val="18"/>
              </w:rPr>
              <w:t>Guía visual: paleta de colores, tipografía, componentes, accesibilidad</w:t>
            </w:r>
          </w:p>
        </w:tc>
      </w:tr>
      <w:tr>
        <w:tc>
          <w:tcPr>
            <w:tcW w:type="dxa" w:w="4703"/>
          </w:tcPr>
          <w:p>
            <w:r/>
            <w:r>
              <w:rPr>
                <w:color w:val="1F2937"/>
                <w:sz w:val="18"/>
              </w:rPr>
              <w:t>Logo_System.md</w:t>
            </w:r>
          </w:p>
        </w:tc>
        <w:tc>
          <w:tcPr>
            <w:tcW w:type="dxa" w:w="4703"/>
          </w:tcPr>
          <w:p>
            <w:r/>
            <w:r>
              <w:rPr>
                <w:color w:val="1F2937"/>
                <w:sz w:val="18"/>
              </w:rPr>
              <w:t>Sistema del logotipo: variantes, usos, tamaños mínimos, resguardos</w:t>
            </w:r>
          </w:p>
        </w:tc>
      </w:tr>
      <w:tr>
        <w:tc>
          <w:tcPr>
            <w:tcW w:type="dxa" w:w="4703"/>
            <w:shd w:fill="EBF4FF"/>
          </w:tcPr>
          <w:p>
            <w:r/>
            <w:r>
              <w:rPr>
                <w:color w:val="1F2937"/>
                <w:sz w:val="18"/>
              </w:rPr>
              <w:t>Tone_Of_Voice.md</w:t>
            </w:r>
          </w:p>
        </w:tc>
        <w:tc>
          <w:tcPr>
            <w:tcW w:type="dxa" w:w="4703"/>
            <w:shd w:fill="EBF4FF"/>
          </w:tcPr>
          <w:p>
            <w:r/>
            <w:r>
              <w:rPr>
                <w:color w:val="1F2937"/>
                <w:sz w:val="18"/>
              </w:rPr>
              <w:t>Guía de tono de voz para cada canal y situación</w:t>
            </w:r>
          </w:p>
        </w:tc>
      </w:tr>
      <w:tr>
        <w:tc>
          <w:tcPr>
            <w:tcW w:type="dxa" w:w="4703"/>
          </w:tcPr>
          <w:p>
            <w:r/>
            <w:r>
              <w:rPr>
                <w:color w:val="1F2937"/>
                <w:sz w:val="18"/>
              </w:rPr>
              <w:t>Naming.md</w:t>
            </w:r>
          </w:p>
        </w:tc>
        <w:tc>
          <w:tcPr>
            <w:tcW w:type="dxa" w:w="4703"/>
          </w:tcPr>
          <w:p>
            <w:r/>
            <w:r>
              <w:rPr>
                <w:color w:val="1F2937"/>
                <w:sz w:val="18"/>
              </w:rPr>
              <w:t>Origen y justificación del nombre Klar Analytics</w:t>
            </w:r>
          </w:p>
        </w:tc>
      </w:tr>
      <w:tr>
        <w:tc>
          <w:tcPr>
            <w:tcW w:type="dxa" w:w="4703"/>
            <w:shd w:fill="EBF4FF"/>
          </w:tcPr>
          <w:p>
            <w:r/>
            <w:r>
              <w:rPr>
                <w:color w:val="1F2937"/>
                <w:sz w:val="18"/>
              </w:rPr>
              <w:t>mission.md</w:t>
            </w:r>
          </w:p>
        </w:tc>
        <w:tc>
          <w:tcPr>
            <w:tcW w:type="dxa" w:w="4703"/>
            <w:shd w:fill="EBF4FF"/>
          </w:tcPr>
          <w:p>
            <w:r/>
            <w:r>
              <w:rPr>
                <w:color w:val="1F2937"/>
                <w:sz w:val="18"/>
              </w:rPr>
              <w:t>Declaración de misión</w:t>
            </w:r>
          </w:p>
        </w:tc>
      </w:tr>
      <w:tr>
        <w:tc>
          <w:tcPr>
            <w:tcW w:type="dxa" w:w="4703"/>
          </w:tcPr>
          <w:p>
            <w:r/>
            <w:r>
              <w:rPr>
                <w:color w:val="1F2937"/>
                <w:sz w:val="18"/>
              </w:rPr>
              <w:t>vision.md</w:t>
            </w:r>
          </w:p>
        </w:tc>
        <w:tc>
          <w:tcPr>
            <w:tcW w:type="dxa" w:w="4703"/>
          </w:tcPr>
          <w:p>
            <w:r/>
            <w:r>
              <w:rPr>
                <w:color w:val="1F2937"/>
                <w:sz w:val="18"/>
              </w:rPr>
              <w:t>Declaración de visión</w:t>
            </w:r>
          </w:p>
        </w:tc>
      </w:tr>
      <w:tr>
        <w:tc>
          <w:tcPr>
            <w:tcW w:type="dxa" w:w="4703"/>
            <w:shd w:fill="EBF4FF"/>
          </w:tcPr>
          <w:p>
            <w:r/>
            <w:r>
              <w:rPr>
                <w:color w:val="1F2937"/>
                <w:sz w:val="18"/>
              </w:rPr>
              <w:t>values.md</w:t>
            </w:r>
          </w:p>
        </w:tc>
        <w:tc>
          <w:tcPr>
            <w:tcW w:type="dxa" w:w="4703"/>
            <w:shd w:fill="EBF4FF"/>
          </w:tcPr>
          <w:p>
            <w:r/>
            <w:r>
              <w:rPr>
                <w:color w:val="1F2937"/>
                <w:sz w:val="18"/>
              </w:rPr>
              <w:t>Valores fundamentales</w:t>
            </w:r>
          </w:p>
        </w:tc>
      </w:tr>
      <w:tr>
        <w:tc>
          <w:tcPr>
            <w:tcW w:type="dxa" w:w="4703"/>
          </w:tcPr>
          <w:p>
            <w:r/>
            <w:r>
              <w:rPr>
                <w:color w:val="1F2937"/>
                <w:sz w:val="18"/>
              </w:rPr>
              <w:t>Strategy.md</w:t>
            </w:r>
          </w:p>
        </w:tc>
        <w:tc>
          <w:tcPr>
            <w:tcW w:type="dxa" w:w="4703"/>
          </w:tcPr>
          <w:p>
            <w:r/>
            <w:r>
              <w:rPr>
                <w:color w:val="1F2937"/>
                <w:sz w:val="18"/>
              </w:rPr>
              <w:t>Estrategia general de comunicación</w:t>
            </w:r>
          </w:p>
        </w:tc>
      </w:tr>
      <w:tr>
        <w:tc>
          <w:tcPr>
            <w:tcW w:type="dxa" w:w="4703"/>
            <w:shd w:fill="EBF4FF"/>
          </w:tcPr>
          <w:p>
            <w:r/>
            <w:r>
              <w:rPr>
                <w:color w:val="1F2937"/>
                <w:sz w:val="18"/>
              </w:rPr>
              <w:t>Website_Guidelines.md</w:t>
            </w:r>
          </w:p>
        </w:tc>
        <w:tc>
          <w:tcPr>
            <w:tcW w:type="dxa" w:w="4703"/>
            <w:shd w:fill="EBF4FF"/>
          </w:tcPr>
          <w:p>
            <w:r/>
            <w:r>
              <w:rPr>
                <w:color w:val="1F2937"/>
                <w:sz w:val="18"/>
              </w:rPr>
              <w:t>Directrices para el sitio web</w:t>
            </w:r>
          </w:p>
        </w:tc>
      </w:tr>
      <w:tr>
        <w:tc>
          <w:tcPr>
            <w:tcW w:type="dxa" w:w="4703"/>
          </w:tcPr>
          <w:p>
            <w:r/>
            <w:r>
              <w:rPr>
                <w:color w:val="1F2937"/>
                <w:sz w:val="18"/>
              </w:rPr>
              <w:t>Klar_Analytics_Logo.svg</w:t>
            </w:r>
          </w:p>
        </w:tc>
        <w:tc>
          <w:tcPr>
            <w:tcW w:type="dxa" w:w="4703"/>
          </w:tcPr>
          <w:p>
            <w:r/>
            <w:r>
              <w:rPr>
                <w:color w:val="1F2937"/>
                <w:sz w:val="18"/>
              </w:rPr>
              <w:t>Logotipo oficial en formato vectorial</w:t>
            </w:r>
          </w:p>
        </w:tc>
      </w:tr>
      <w:tr>
        <w:tc>
          <w:tcPr>
            <w:tcW w:type="dxa" w:w="4703"/>
            <w:shd w:fill="EBF4FF"/>
          </w:tcPr>
          <w:p>
            <w:r/>
            <w:r>
              <w:rPr>
                <w:color w:val="1F2937"/>
                <w:sz w:val="18"/>
              </w:rPr>
              <w:t>Klar_Analytics_Favicon.svg</w:t>
            </w:r>
          </w:p>
        </w:tc>
        <w:tc>
          <w:tcPr>
            <w:tcW w:type="dxa" w:w="4703"/>
            <w:shd w:fill="EBF4FF"/>
          </w:tcPr>
          <w:p>
            <w:r/>
            <w:r>
              <w:rPr>
                <w:color w:val="1F2937"/>
                <w:sz w:val="18"/>
              </w:rPr>
              <w:t>Favicon oficial</w:t>
            </w:r>
          </w:p>
        </w:tc>
      </w:tr>
    </w:tbl>
    <w:p/>
    <w:p>
      <w:pPr>
        <w:spacing w:before="320" w:after="160"/>
      </w:pPr>
      <w:r>
        <w:rPr>
          <w:b/>
          <w:color w:val="1A5A9E"/>
          <w:sz w:val="30"/>
        </w:rPr>
        <w:t>4.2  Paleta de Color Principal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34078"/>
          </w:tcPr>
          <w:p>
            <w:pPr>
              <w:jc w:val="center"/>
            </w:pPr>
            <w:r/>
            <w:r>
              <w:rPr>
                <w:b/>
                <w:color w:val="FFFFFF"/>
                <w:sz w:val="18"/>
              </w:rPr>
              <w:t>Color</w:t>
            </w:r>
          </w:p>
        </w:tc>
        <w:tc>
          <w:tcPr>
            <w:tcW w:type="dxa" w:w="3135"/>
            <w:shd w:fill="134078"/>
          </w:tcPr>
          <w:p>
            <w:pPr>
              <w:jc w:val="center"/>
            </w:pPr>
            <w:r/>
            <w:r>
              <w:rPr>
                <w:b/>
                <w:color w:val="FFFFFF"/>
                <w:sz w:val="18"/>
              </w:rPr>
              <w:t>HEX</w:t>
            </w:r>
          </w:p>
        </w:tc>
        <w:tc>
          <w:tcPr>
            <w:tcW w:type="dxa" w:w="3135"/>
            <w:shd w:fill="134078"/>
          </w:tcPr>
          <w:p>
            <w:pPr>
              <w:jc w:val="center"/>
            </w:pPr>
            <w:r/>
            <w:r>
              <w:rPr>
                <w:b/>
                <w:color w:val="FFFFFF"/>
                <w:sz w:val="18"/>
              </w:rPr>
              <w:t>Uso</w:t>
            </w:r>
          </w:p>
        </w:tc>
      </w:tr>
      <w:tr>
        <w:tc>
          <w:tcPr>
            <w:tcW w:type="dxa" w:w="3135"/>
          </w:tcPr>
          <w:p>
            <w:r/>
            <w:r>
              <w:rPr>
                <w:color w:val="1F2937"/>
                <w:sz w:val="18"/>
              </w:rPr>
              <w:t>Azul Profundo</w:t>
            </w:r>
          </w:p>
        </w:tc>
        <w:tc>
          <w:tcPr>
            <w:tcW w:type="dxa" w:w="3135"/>
          </w:tcPr>
          <w:p>
            <w:r/>
            <w:r>
              <w:rPr>
                <w:color w:val="1F2937"/>
                <w:sz w:val="18"/>
              </w:rPr>
              <w:t>#0A2540</w:t>
            </w:r>
          </w:p>
        </w:tc>
        <w:tc>
          <w:tcPr>
            <w:tcW w:type="dxa" w:w="3135"/>
          </w:tcPr>
          <w:p>
            <w:r/>
            <w:r>
              <w:rPr>
                <w:color w:val="1F2937"/>
                <w:sz w:val="18"/>
              </w:rPr>
              <w:t>Fondos oscuros, contraste máximo</w:t>
            </w:r>
          </w:p>
        </w:tc>
      </w:tr>
      <w:tr>
        <w:tc>
          <w:tcPr>
            <w:tcW w:type="dxa" w:w="3135"/>
            <w:shd w:fill="EBF4FF"/>
          </w:tcPr>
          <w:p>
            <w:r/>
            <w:r>
              <w:rPr>
                <w:color w:val="1F2937"/>
                <w:sz w:val="18"/>
              </w:rPr>
              <w:t>Azul Corporativo</w:t>
            </w:r>
          </w:p>
        </w:tc>
        <w:tc>
          <w:tcPr>
            <w:tcW w:type="dxa" w:w="3135"/>
            <w:shd w:fill="EBF4FF"/>
          </w:tcPr>
          <w:p>
            <w:r/>
            <w:r>
              <w:rPr>
                <w:color w:val="1F2937"/>
                <w:sz w:val="18"/>
              </w:rPr>
              <w:t>#134078</w:t>
            </w:r>
          </w:p>
        </w:tc>
        <w:tc>
          <w:tcPr>
            <w:tcW w:type="dxa" w:w="3135"/>
            <w:shd w:fill="EBF4FF"/>
          </w:tcPr>
          <w:p>
            <w:r/>
            <w:r>
              <w:rPr>
                <w:color w:val="1F2937"/>
                <w:sz w:val="18"/>
              </w:rPr>
              <w:t>Títulos, botones primarios</w:t>
            </w:r>
          </w:p>
        </w:tc>
      </w:tr>
      <w:tr>
        <w:tc>
          <w:tcPr>
            <w:tcW w:type="dxa" w:w="3135"/>
          </w:tcPr>
          <w:p>
            <w:r/>
            <w:r>
              <w:rPr>
                <w:color w:val="1F2937"/>
                <w:sz w:val="18"/>
              </w:rPr>
              <w:t>Azul Medio</w:t>
            </w:r>
          </w:p>
        </w:tc>
        <w:tc>
          <w:tcPr>
            <w:tcW w:type="dxa" w:w="3135"/>
          </w:tcPr>
          <w:p>
            <w:r/>
            <w:r>
              <w:rPr>
                <w:color w:val="1F2937"/>
                <w:sz w:val="18"/>
              </w:rPr>
              <w:t>#3182CE</w:t>
            </w:r>
          </w:p>
        </w:tc>
        <w:tc>
          <w:tcPr>
            <w:tcW w:type="dxa" w:w="3135"/>
          </w:tcPr>
          <w:p>
            <w:r/>
            <w:r>
              <w:rPr>
                <w:color w:val="1F2937"/>
                <w:sz w:val="18"/>
              </w:rPr>
              <w:t>Íconos, links, gráficos</w:t>
            </w:r>
          </w:p>
        </w:tc>
      </w:tr>
      <w:tr>
        <w:tc>
          <w:tcPr>
            <w:tcW w:type="dxa" w:w="3135"/>
            <w:shd w:fill="EBF4FF"/>
          </w:tcPr>
          <w:p>
            <w:r/>
            <w:r>
              <w:rPr>
                <w:color w:val="1F2937"/>
                <w:sz w:val="18"/>
              </w:rPr>
              <w:t>Teal Acento</w:t>
            </w:r>
          </w:p>
        </w:tc>
        <w:tc>
          <w:tcPr>
            <w:tcW w:type="dxa" w:w="3135"/>
            <w:shd w:fill="EBF4FF"/>
          </w:tcPr>
          <w:p>
            <w:r/>
            <w:r>
              <w:rPr>
                <w:color w:val="1F2937"/>
                <w:sz w:val="18"/>
              </w:rPr>
              <w:t>#14B8A6</w:t>
            </w:r>
          </w:p>
        </w:tc>
        <w:tc>
          <w:tcPr>
            <w:tcW w:type="dxa" w:w="3135"/>
            <w:shd w:fill="EBF4FF"/>
          </w:tcPr>
          <w:p>
            <w:r/>
            <w:r>
              <w:rPr>
                <w:color w:val="1F2937"/>
                <w:sz w:val="18"/>
              </w:rPr>
              <w:t>CTAs, indicadores positivos</w:t>
            </w:r>
          </w:p>
        </w:tc>
      </w:tr>
      <w:tr>
        <w:tc>
          <w:tcPr>
            <w:tcW w:type="dxa" w:w="3135"/>
          </w:tcPr>
          <w:p>
            <w:r/>
            <w:r>
              <w:rPr>
                <w:color w:val="1F2937"/>
                <w:sz w:val="18"/>
              </w:rPr>
              <w:t>Gris Cuerpo</w:t>
            </w:r>
          </w:p>
        </w:tc>
        <w:tc>
          <w:tcPr>
            <w:tcW w:type="dxa" w:w="3135"/>
          </w:tcPr>
          <w:p>
            <w:r/>
            <w:r>
              <w:rPr>
                <w:color w:val="1F2937"/>
                <w:sz w:val="18"/>
              </w:rPr>
              <w:t>#4B5563</w:t>
            </w:r>
          </w:p>
        </w:tc>
        <w:tc>
          <w:tcPr>
            <w:tcW w:type="dxa" w:w="3135"/>
          </w:tcPr>
          <w:p>
            <w:r/>
            <w:r>
              <w:rPr>
                <w:color w:val="1F2937"/>
                <w:sz w:val="18"/>
              </w:rPr>
              <w:t>Texto corporal</w:t>
            </w:r>
          </w:p>
        </w:tc>
      </w:tr>
      <w:tr>
        <w:tc>
          <w:tcPr>
            <w:tcW w:type="dxa" w:w="3135"/>
            <w:shd w:fill="EBF4FF"/>
          </w:tcPr>
          <w:p>
            <w:r/>
            <w:r>
              <w:rPr>
                <w:color w:val="1F2937"/>
                <w:sz w:val="18"/>
              </w:rPr>
              <w:t>Gris Título</w:t>
            </w:r>
          </w:p>
        </w:tc>
        <w:tc>
          <w:tcPr>
            <w:tcW w:type="dxa" w:w="3135"/>
            <w:shd w:fill="EBF4FF"/>
          </w:tcPr>
          <w:p>
            <w:r/>
            <w:r>
              <w:rPr>
                <w:color w:val="1F2937"/>
                <w:sz w:val="18"/>
              </w:rPr>
              <w:t>#1F2937</w:t>
            </w:r>
          </w:p>
        </w:tc>
        <w:tc>
          <w:tcPr>
            <w:tcW w:type="dxa" w:w="3135"/>
            <w:shd w:fill="EBF4FF"/>
          </w:tcPr>
          <w:p>
            <w:r/>
            <w:r>
              <w:rPr>
                <w:color w:val="1F2937"/>
                <w:sz w:val="18"/>
              </w:rPr>
              <w:t>Títulos y encabezados</w:t>
            </w:r>
          </w:p>
        </w:tc>
      </w:tr>
    </w:tbl>
    <w:p/>
    <w:p>
      <w:pPr>
        <w:spacing w:before="320" w:after="160"/>
      </w:pPr>
      <w:r>
        <w:rPr>
          <w:b/>
          <w:color w:val="1A5A9E"/>
          <w:sz w:val="30"/>
        </w:rPr>
        <w:t>4.3  Logotipo</w:t>
      </w:r>
    </w:p>
    <w:p>
      <w:pPr>
        <w:spacing w:before="0" w:after="120"/>
      </w:pPr>
      <w:r>
        <w:rPr>
          <w:b w:val="0"/>
          <w:color w:val="1F2937"/>
          <w:sz w:val="22"/>
        </w:rPr>
        <w:t>El logotipo oficial es el concepto Señal / Indicador: una gráfica con línea de base que detecta un pico preciso, rematado por un punto sólido Azul 800 con un punto interior Teal 500. Representa el acto de diagnosticar: detectar la anomalía, señalar con exactitud el hallazgo.</w:t>
      </w:r>
    </w:p>
    <w:p>
      <w:r>
        <w:br w:type="page"/>
      </w:r>
    </w:p>
    <w:p>
      <w:pPr>
        <w:spacing w:before="480" w:after="240"/>
        <w:pBdr>
          <w:bottom w:val="single" w:sz="6" w:space="1" w:color="134078"/>
        </w:pBdr>
      </w:pPr>
      <w:r>
        <w:rPr>
          <w:b/>
          <w:color w:val="134078"/>
          <w:sz w:val="40"/>
        </w:rPr>
        <w:t>5. Knowledge — Frameworks y Patrones</w:t>
      </w:r>
    </w:p>
    <w:p>
      <w:pPr>
        <w:spacing w:before="0" w:after="120"/>
      </w:pPr>
      <w:r>
        <w:rPr>
          <w:b w:val="0"/>
          <w:color w:val="1F2937"/>
          <w:sz w:val="22"/>
        </w:rPr>
        <w:t>El directorio Knowledge/ es la base de conocimiento organizacional. Contiene frameworks, patrones y metodologías que los agentes utilizan para diagnosticar cada dimensión del negocio.</w:t>
      </w:r>
    </w:p>
    <w:p>
      <w:pPr>
        <w:spacing w:before="320" w:after="160"/>
      </w:pPr>
      <w:r>
        <w:rPr>
          <w:b/>
          <w:color w:val="1A5A9E"/>
          <w:sz w:val="30"/>
        </w:rPr>
        <w:t>5.1  Estructura de Knowledge/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34078"/>
          </w:tcPr>
          <w:p>
            <w:pPr>
              <w:jc w:val="center"/>
            </w:pPr>
            <w:r/>
            <w:r>
              <w:rPr>
                <w:b/>
                <w:color w:val="FFFFFF"/>
                <w:sz w:val="18"/>
              </w:rPr>
              <w:t>Subdirectorio</w:t>
            </w:r>
          </w:p>
        </w:tc>
        <w:tc>
          <w:tcPr>
            <w:tcW w:type="dxa" w:w="3135"/>
            <w:shd w:fill="134078"/>
          </w:tcPr>
          <w:p>
            <w:pPr>
              <w:jc w:val="center"/>
            </w:pPr>
            <w:r/>
            <w:r>
              <w:rPr>
                <w:b/>
                <w:color w:val="FFFFFF"/>
                <w:sz w:val="18"/>
              </w:rPr>
              <w:t>Archivos</w:t>
            </w:r>
          </w:p>
        </w:tc>
        <w:tc>
          <w:tcPr>
            <w:tcW w:type="dxa" w:w="3135"/>
            <w:shd w:fill="134078"/>
          </w:tcPr>
          <w:p>
            <w:pPr>
              <w:jc w:val="center"/>
            </w:pPr>
            <w:r/>
            <w:r>
              <w:rPr>
                <w:b/>
                <w:color w:val="FFFFFF"/>
                <w:sz w:val="18"/>
              </w:rPr>
              <w:t>Contenido</w:t>
            </w:r>
          </w:p>
        </w:tc>
      </w:tr>
      <w:tr>
        <w:tc>
          <w:tcPr>
            <w:tcW w:type="dxa" w:w="3135"/>
          </w:tcPr>
          <w:p>
            <w:r/>
            <w:r>
              <w:rPr>
                <w:color w:val="1F2937"/>
                <w:sz w:val="18"/>
              </w:rPr>
              <w:t>Knowledge/CORE/</w:t>
            </w:r>
          </w:p>
        </w:tc>
        <w:tc>
          <w:tcPr>
            <w:tcW w:type="dxa" w:w="3135"/>
          </w:tcPr>
          <w:p>
            <w:r/>
            <w:r>
              <w:rPr>
                <w:color w:val="1F2937"/>
                <w:sz w:val="18"/>
              </w:rPr>
              <w:t>10</w:t>
            </w:r>
          </w:p>
        </w:tc>
        <w:tc>
          <w:tcPr>
            <w:tcW w:type="dxa" w:w="3135"/>
          </w:tcPr>
          <w:p>
            <w:r/>
            <w:r>
              <w:rPr>
                <w:color w:val="1F2937"/>
                <w:sz w:val="18"/>
              </w:rPr>
              <w:t>Patrones transversales de negocio por dimensión</w:t>
            </w:r>
          </w:p>
        </w:tc>
      </w:tr>
      <w:tr>
        <w:tc>
          <w:tcPr>
            <w:tcW w:type="dxa" w:w="3135"/>
            <w:shd w:fill="EBF4FF"/>
          </w:tcPr>
          <w:p>
            <w:r/>
            <w:r>
              <w:rPr>
                <w:color w:val="1F2937"/>
                <w:sz w:val="18"/>
              </w:rPr>
              <w:t>Knowledge/Finance/</w:t>
            </w:r>
          </w:p>
        </w:tc>
        <w:tc>
          <w:tcPr>
            <w:tcW w:type="dxa" w:w="3135"/>
            <w:shd w:fill="EBF4FF"/>
          </w:tcPr>
          <w:p>
            <w:r/>
            <w:r>
              <w:rPr>
                <w:color w:val="1F2937"/>
                <w:sz w:val="18"/>
              </w:rPr>
              <w:t>2</w:t>
            </w:r>
          </w:p>
        </w:tc>
        <w:tc>
          <w:tcPr>
            <w:tcW w:type="dxa" w:w="3135"/>
            <w:shd w:fill="EBF4FF"/>
          </w:tcPr>
          <w:p>
            <w:r/>
            <w:r>
              <w:rPr>
                <w:color w:val="1F2937"/>
                <w:sz w:val="18"/>
              </w:rPr>
              <w:t>Frameworks de flujo de caja y rentabilidad</w:t>
            </w:r>
          </w:p>
        </w:tc>
      </w:tr>
      <w:tr>
        <w:tc>
          <w:tcPr>
            <w:tcW w:type="dxa" w:w="3135"/>
          </w:tcPr>
          <w:p>
            <w:r/>
            <w:r>
              <w:rPr>
                <w:color w:val="1F2937"/>
                <w:sz w:val="18"/>
              </w:rPr>
              <w:t>Knowledge/Operations/</w:t>
            </w:r>
          </w:p>
        </w:tc>
        <w:tc>
          <w:tcPr>
            <w:tcW w:type="dxa" w:w="3135"/>
          </w:tcPr>
          <w:p>
            <w:r/>
            <w:r>
              <w:rPr>
                <w:color w:val="1F2937"/>
                <w:sz w:val="18"/>
              </w:rPr>
              <w:t>3</w:t>
            </w:r>
          </w:p>
        </w:tc>
        <w:tc>
          <w:tcPr>
            <w:tcW w:type="dxa" w:w="3135"/>
          </w:tcPr>
          <w:p>
            <w:r/>
            <w:r>
              <w:rPr>
                <w:color w:val="1F2937"/>
                <w:sz w:val="18"/>
              </w:rPr>
              <w:t>Frameworks 7S, evaluación de procesos, reporting</w:t>
            </w:r>
          </w:p>
        </w:tc>
      </w:tr>
      <w:tr>
        <w:tc>
          <w:tcPr>
            <w:tcW w:type="dxa" w:w="3135"/>
            <w:shd w:fill="EBF4FF"/>
          </w:tcPr>
          <w:p>
            <w:r/>
            <w:r>
              <w:rPr>
                <w:color w:val="1F2937"/>
                <w:sz w:val="18"/>
              </w:rPr>
              <w:t>Knowledge/Risk/</w:t>
            </w:r>
          </w:p>
        </w:tc>
        <w:tc>
          <w:tcPr>
            <w:tcW w:type="dxa" w:w="3135"/>
            <w:shd w:fill="EBF4FF"/>
          </w:tcPr>
          <w:p>
            <w:r/>
            <w:r>
              <w:rPr>
                <w:color w:val="1F2937"/>
                <w:sz w:val="18"/>
              </w:rPr>
              <w:t>1</w:t>
            </w:r>
          </w:p>
        </w:tc>
        <w:tc>
          <w:tcPr>
            <w:tcW w:type="dxa" w:w="3135"/>
            <w:shd w:fill="EBF4FF"/>
          </w:tcPr>
          <w:p>
            <w:r/>
            <w:r>
              <w:rPr>
                <w:color w:val="1F2937"/>
                <w:sz w:val="18"/>
              </w:rPr>
              <w:t>Framework ISO 31000 de gestión de riesgos</w:t>
            </w:r>
          </w:p>
        </w:tc>
      </w:tr>
      <w:tr>
        <w:tc>
          <w:tcPr>
            <w:tcW w:type="dxa" w:w="3135"/>
          </w:tcPr>
          <w:p>
            <w:r/>
            <w:r>
              <w:rPr>
                <w:color w:val="1F2937"/>
                <w:sz w:val="18"/>
              </w:rPr>
              <w:t>Knowledge/Strategy/</w:t>
            </w:r>
          </w:p>
        </w:tc>
        <w:tc>
          <w:tcPr>
            <w:tcW w:type="dxa" w:w="3135"/>
          </w:tcPr>
          <w:p>
            <w:r/>
            <w:r>
              <w:rPr>
                <w:color w:val="1F2937"/>
                <w:sz w:val="18"/>
              </w:rPr>
              <w:t>4</w:t>
            </w:r>
          </w:p>
        </w:tc>
        <w:tc>
          <w:tcPr>
            <w:tcW w:type="dxa" w:w="3135"/>
          </w:tcPr>
          <w:p>
            <w:r/>
            <w:r>
              <w:rPr>
                <w:color w:val="1F2937"/>
                <w:sz w:val="18"/>
              </w:rPr>
              <w:t>Frameworks Océano Azul, BMC, JTBD, template</w:t>
            </w:r>
          </w:p>
        </w:tc>
      </w:tr>
    </w:tbl>
    <w:p/>
    <w:p>
      <w:pPr>
        <w:spacing w:before="320" w:after="160"/>
      </w:pPr>
      <w:r>
        <w:rPr>
          <w:b/>
          <w:color w:val="1A5A9E"/>
          <w:sz w:val="30"/>
        </w:rPr>
        <w:t>5.2  Cómo usar Knowledge/</w:t>
      </w:r>
    </w:p>
    <w:p>
      <w:pPr>
        <w:spacing w:before="0" w:after="120"/>
      </w:pPr>
      <w:r>
        <w:rPr>
          <w:b w:val="0"/>
          <w:color w:val="1F2937"/>
          <w:sz w:val="22"/>
        </w:rPr>
        <w:t>Cada archivo de Knowledge sigue una estructura consistente:</w:t>
      </w:r>
    </w:p>
    <w:p>
      <w:pPr>
        <w:pStyle w:val="ListBullet"/>
        <w:spacing w:after="40"/>
      </w:pPr>
      <w:r>
        <w:t>Título y versión del framework</w:t>
      </w:r>
    </w:p>
    <w:p>
      <w:pPr>
        <w:pStyle w:val="ListBullet"/>
        <w:spacing w:after="40"/>
      </w:pPr>
      <w:r>
        <w:t>Propósito: qué problema resuelve este framework</w:t>
      </w:r>
    </w:p>
    <w:p>
      <w:pPr>
        <w:pStyle w:val="ListBullet"/>
        <w:spacing w:after="40"/>
      </w:pPr>
      <w:r>
        <w:t>Metodología: pasos para aplicar el framework</w:t>
      </w:r>
    </w:p>
    <w:p>
      <w:pPr>
        <w:pStyle w:val="ListBullet"/>
        <w:spacing w:after="40"/>
      </w:pPr>
      <w:r>
        <w:t>Indicadores: qué métricas evaluar</w:t>
      </w:r>
    </w:p>
    <w:p>
      <w:pPr>
        <w:pStyle w:val="ListBullet"/>
        <w:spacing w:after="40"/>
      </w:pPr>
      <w:r>
        <w:t>Interpretación: cómo leer los resultados</w:t>
      </w:r>
    </w:p>
    <w:p>
      <w:pPr>
        <w:pStyle w:val="ListBullet"/>
        <w:spacing w:after="40"/>
      </w:pPr>
      <w:r>
        <w:t>Ejemplo: caso práctico de aplicación</w:t>
      </w:r>
    </w:p>
    <w:p>
      <w:pPr>
        <w:pStyle w:val="ListBullet"/>
        <w:spacing w:after="40"/>
      </w:pPr>
      <w:r>
        <w:t>Referencias: fuentes y autores</w:t>
      </w:r>
    </w:p>
    <w:p>
      <w:r>
        <w:br w:type="page"/>
      </w:r>
    </w:p>
    <w:p>
      <w:pPr>
        <w:spacing w:before="480" w:after="240"/>
        <w:pBdr>
          <w:bottom w:val="single" w:sz="6" w:space="1" w:color="134078"/>
        </w:pBdr>
      </w:pPr>
      <w:r>
        <w:rPr>
          <w:b/>
          <w:color w:val="134078"/>
          <w:sz w:val="40"/>
        </w:rPr>
        <w:t>6. Operations — Sistema Operativo</w:t>
      </w:r>
    </w:p>
    <w:p>
      <w:pPr>
        <w:spacing w:before="0" w:after="120"/>
      </w:pPr>
      <w:r>
        <w:rPr>
          <w:b w:val="0"/>
          <w:color w:val="1F2937"/>
          <w:sz w:val="22"/>
        </w:rPr>
        <w:t>El directorio Operations/ es el sistema nervioso de Klar Analytics. Contiene todos los procesos, modelos de datos, indicadores y manuales que gobiernan la operación diaria de la consultora.</w:t>
      </w:r>
    </w:p>
    <w:p>
      <w:pPr>
        <w:spacing w:before="320" w:after="160"/>
      </w:pPr>
      <w:r>
        <w:rPr>
          <w:b/>
          <w:color w:val="1A5A9E"/>
          <w:sz w:val="30"/>
        </w:rPr>
        <w:t>6.1  Los 11 Archivos del Sistema Operativo</w:t>
      </w:r>
    </w:p>
    <w:p>
      <w:pPr>
        <w:spacing w:before="0" w:after="120"/>
      </w:pPr>
      <w:r>
        <w:rPr>
          <w:b/>
          <w:color w:val="1F2937"/>
          <w:sz w:val="22"/>
        </w:rPr>
        <w:t>Process_Map.md — Mapa integral de procesos</w:t>
      </w:r>
    </w:p>
    <w:p>
      <w:pPr>
        <w:spacing w:before="0" w:after="120"/>
      </w:pPr>
      <w:r>
        <w:rPr>
          <w:b w:val="0"/>
          <w:color w:val="1F2937"/>
          <w:sz w:val="22"/>
        </w:rPr>
        <w:t>Define 5 macroprocesos (Comercial, Delivery, Conocimiento, CS, Administración) y 26 subprocesos con matriz RACI de responsabilidades.</w:t>
      </w:r>
    </w:p>
    <w:p>
      <w:pPr>
        <w:spacing w:before="0" w:after="120"/>
      </w:pPr>
      <w:r>
        <w:rPr>
          <w:b/>
          <w:color w:val="1F2937"/>
          <w:sz w:val="22"/>
        </w:rPr>
        <w:t>Sales_Process.md — Proceso comercial</w:t>
      </w:r>
    </w:p>
    <w:p>
      <w:pPr>
        <w:spacing w:before="0" w:after="120"/>
      </w:pPr>
      <w:r>
        <w:rPr>
          <w:b w:val="0"/>
          <w:color w:val="1F2937"/>
          <w:sz w:val="22"/>
        </w:rPr>
        <w:t>Pipeline de 6 fases (Generación de Leads → Calificación → Descubrimiento → Propuesta → Cierre → Onboarding) con criterios BANT, lead scoring, pricing y 12 KPIs.</w:t>
      </w:r>
    </w:p>
    <w:p>
      <w:pPr>
        <w:spacing w:before="0" w:after="120"/>
      </w:pPr>
      <w:r>
        <w:rPr>
          <w:b/>
          <w:color w:val="1F2937"/>
          <w:sz w:val="22"/>
        </w:rPr>
        <w:t>Delivery_Process.md — Prestación del servicio</w:t>
      </w:r>
    </w:p>
    <w:p>
      <w:pPr>
        <w:spacing w:before="0" w:after="120"/>
      </w:pPr>
      <w:r>
        <w:rPr>
          <w:b w:val="0"/>
          <w:color w:val="1F2937"/>
          <w:sz w:val="22"/>
        </w:rPr>
        <w:t>Proceso completo de diagnóstico multi-agente: kickoff, orquestación de agentes, generación de informe, revisión de calidad, presentación al cliente y post-entrega.</w:t>
      </w:r>
    </w:p>
    <w:p>
      <w:pPr>
        <w:spacing w:before="0" w:after="120"/>
      </w:pPr>
      <w:r>
        <w:rPr>
          <w:b/>
          <w:color w:val="1F2937"/>
          <w:sz w:val="22"/>
        </w:rPr>
        <w:t>Knowledge_Process.md — Ciclo de aprendizaje</w:t>
      </w:r>
    </w:p>
    <w:p>
      <w:pPr>
        <w:spacing w:before="0" w:after="120"/>
      </w:pPr>
      <w:r>
        <w:rPr>
          <w:b w:val="0"/>
          <w:color w:val="1F2937"/>
          <w:sz w:val="22"/>
        </w:rPr>
        <w:t>Sistema de gestión del conocimiento: adquisición, almacenamiento, distribución, aplicación, revisión y mejora continua. Define roles y gobernanza.</w:t>
      </w:r>
    </w:p>
    <w:p>
      <w:pPr>
        <w:spacing w:before="0" w:after="120"/>
      </w:pPr>
      <w:r>
        <w:rPr>
          <w:b/>
          <w:color w:val="1F2937"/>
          <w:sz w:val="22"/>
        </w:rPr>
        <w:t>Client_Success_Process.md — Éxito del cliente</w:t>
      </w:r>
    </w:p>
    <w:p>
      <w:pPr>
        <w:spacing w:before="0" w:after="120"/>
      </w:pPr>
      <w:r>
        <w:rPr>
          <w:b w:val="0"/>
          <w:color w:val="1F2937"/>
          <w:sz w:val="22"/>
        </w:rPr>
        <w:t>Programa de seguimiento post-diagnóstico: check-ins programados, gestión de NPS, upsell/cross-sell, prevención de churn y manejo de quejas.</w:t>
      </w:r>
    </w:p>
    <w:p>
      <w:pPr>
        <w:spacing w:before="0" w:after="120"/>
      </w:pPr>
      <w:r>
        <w:rPr>
          <w:b/>
          <w:color w:val="1F2937"/>
          <w:sz w:val="22"/>
        </w:rPr>
        <w:t>Administration_Process.md — Gestión administrativa</w:t>
      </w:r>
    </w:p>
    <w:p>
      <w:pPr>
        <w:spacing w:before="0" w:after="120"/>
      </w:pPr>
      <w:r>
        <w:rPr>
          <w:b w:val="0"/>
          <w:color w:val="1F2937"/>
          <w:sz w:val="22"/>
        </w:rPr>
        <w:t>Onboarding de clientes, facturación, cobranzas, contratos, gestión de proveedores, contabilidad, reporting financiero y cumplimiento fiscal.</w:t>
      </w:r>
    </w:p>
    <w:p>
      <w:pPr>
        <w:spacing w:before="0" w:after="120"/>
      </w:pPr>
      <w:r>
        <w:rPr>
          <w:b/>
          <w:color w:val="1F2937"/>
          <w:sz w:val="22"/>
        </w:rPr>
        <w:t>Database_Model.md — Modelo de datos</w:t>
      </w:r>
    </w:p>
    <w:p>
      <w:pPr>
        <w:spacing w:before="0" w:after="120"/>
      </w:pPr>
      <w:r>
        <w:rPr>
          <w:b w:val="0"/>
          <w:color w:val="1F2937"/>
          <w:sz w:val="22"/>
        </w:rPr>
        <w:t>13 tablas (Company, Contact, Contract, Diagnosis, Finding, Recommendation, Invoice, Payment, AgentOutput, KpiLog, Knowledge, Interaction, User) con diccionario de datos completo. Incluye plan de migración de Google Sheets a PostgreSQL.</w:t>
      </w:r>
    </w:p>
    <w:p>
      <w:pPr>
        <w:spacing w:before="0" w:after="120"/>
      </w:pPr>
      <w:r>
        <w:rPr>
          <w:b/>
          <w:color w:val="1F2937"/>
          <w:sz w:val="22"/>
        </w:rPr>
        <w:t>CRM_Model.md — Diseño del CRM</w:t>
      </w:r>
    </w:p>
    <w:p>
      <w:pPr>
        <w:spacing w:before="0" w:after="120"/>
      </w:pPr>
      <w:r>
        <w:rPr>
          <w:b w:val="0"/>
          <w:color w:val="1F2937"/>
          <w:sz w:val="22"/>
        </w:rPr>
        <w:t>Pipeline de ventas, gestión de contactos y oportunidades, secuencias de comunicación automatizadas, dashboards y plan de migración a CRM profesional.</w:t>
      </w:r>
    </w:p>
    <w:p>
      <w:pPr>
        <w:spacing w:before="0" w:after="120"/>
      </w:pPr>
      <w:r>
        <w:rPr>
          <w:b/>
          <w:color w:val="1F2937"/>
          <w:sz w:val="22"/>
        </w:rPr>
        <w:t>ERP_Blueprint.md — Blueprint del ERP</w:t>
      </w:r>
    </w:p>
    <w:p>
      <w:pPr>
        <w:spacing w:before="0" w:after="120"/>
      </w:pPr>
      <w:r>
        <w:rPr>
          <w:b w:val="0"/>
          <w:color w:val="1F2937"/>
          <w:sz w:val="22"/>
        </w:rPr>
        <w:t>Arquitectura de 6 módulos (Finance, Clients, Projects, HR, Reporting, Automation), stack tecnológico recomendado, integraciones y plan de implementación por fases.</w:t>
      </w:r>
    </w:p>
    <w:p>
      <w:pPr>
        <w:spacing w:before="0" w:after="120"/>
      </w:pPr>
      <w:r>
        <w:rPr>
          <w:b/>
          <w:color w:val="1F2937"/>
          <w:sz w:val="22"/>
        </w:rPr>
        <w:t>KPI_System.md — Sistema de indicadores</w:t>
      </w:r>
    </w:p>
    <w:p>
      <w:pPr>
        <w:spacing w:before="0" w:after="120"/>
      </w:pPr>
      <w:r>
        <w:rPr>
          <w:b w:val="0"/>
          <w:color w:val="1F2937"/>
          <w:sz w:val="22"/>
        </w:rPr>
        <w:t>55 KPIs organizados por perspectiva (Comercial, Delivery, CS, Administrativo, Conocimiento, Estratégico) con fórmulas, metas, semáforos y health score compuesto.</w:t>
      </w:r>
    </w:p>
    <w:p>
      <w:pPr>
        <w:spacing w:before="0" w:after="120"/>
      </w:pPr>
      <w:r>
        <w:rPr>
          <w:b/>
          <w:color w:val="1F2937"/>
          <w:sz w:val="22"/>
        </w:rPr>
        <w:t>Operating_System_Manual.md — Manual consolidado</w:t>
      </w:r>
    </w:p>
    <w:p>
      <w:pPr>
        <w:spacing w:before="0" w:after="120"/>
      </w:pPr>
      <w:r>
        <w:rPr>
          <w:b w:val="0"/>
          <w:color w:val="1F2937"/>
          <w:sz w:val="22"/>
        </w:rPr>
        <w:t>Manual maestro que integra todo el sistema operativo: arquitectura, ritmos de gestión (daily/weekly/monthly/quarterly), órganos de gobierno, plan de contingencia y glosario.</w:t>
      </w:r>
    </w:p>
    <w:p>
      <w:r>
        <w:br w:type="page"/>
      </w:r>
    </w:p>
    <w:p>
      <w:pPr>
        <w:spacing w:before="480" w:after="240"/>
        <w:pBdr>
          <w:bottom w:val="single" w:sz="6" w:space="1" w:color="134078"/>
        </w:pBdr>
      </w:pPr>
      <w:r>
        <w:rPr>
          <w:b/>
          <w:color w:val="134078"/>
          <w:sz w:val="40"/>
        </w:rPr>
        <w:t>7. Playbooks — Procedimientos Operativos</w:t>
      </w:r>
    </w:p>
    <w:p>
      <w:pPr>
        <w:spacing w:before="0" w:after="120"/>
      </w:pPr>
      <w:r>
        <w:rPr>
          <w:b w:val="0"/>
          <w:color w:val="1F2937"/>
          <w:sz w:val="22"/>
        </w:rPr>
        <w:t>Los playbooks son procedimientos operativos estándar (SOPs) detallados que guían la ejecución de los procesos clave de Klar Analytics.</w:t>
      </w:r>
    </w:p>
    <w:p>
      <w:pPr>
        <w:spacing w:before="0" w:after="120"/>
      </w:pPr>
      <w:r>
        <w:rPr>
          <w:b/>
          <w:color w:val="1F2937"/>
          <w:sz w:val="22"/>
        </w:rPr>
        <w:t>Discovery_Interview.md</w:t>
      </w:r>
    </w:p>
    <w:p>
      <w:pPr>
        <w:spacing w:before="0" w:after="120"/>
      </w:pPr>
      <w:r>
        <w:rPr>
          <w:b w:val="0"/>
          <w:color w:val="1F2937"/>
          <w:sz w:val="22"/>
        </w:rPr>
        <w:t>Protocolo completo para realizar la entrevista de descubrimiento con el cliente. Incluye preparación, guía de preguntas por dimensión, técnicas de escucha activa, documentación de hallazgos y mejores prácticas.</w:t>
      </w:r>
    </w:p>
    <w:p>
      <w:pPr>
        <w:spacing w:before="0" w:after="120"/>
      </w:pPr>
      <w:r>
        <w:rPr>
          <w:b/>
          <w:color w:val="1F2937"/>
          <w:sz w:val="22"/>
        </w:rPr>
        <w:t>Full_Business_Diagnosis.md</w:t>
      </w:r>
    </w:p>
    <w:p>
      <w:pPr>
        <w:spacing w:before="0" w:after="120"/>
      </w:pPr>
      <w:r>
        <w:rPr>
          <w:b w:val="0"/>
          <w:color w:val="1F2937"/>
          <w:sz w:val="22"/>
        </w:rPr>
        <w:t>Procedimiento completo de diagnóstico empresarial multi-dimensión. Abarca desde la recepción del brief hasta la entrega del informe final, con pasos detallados para cada agente y fase.</w:t>
      </w:r>
    </w:p>
    <w:p>
      <w:pPr>
        <w:spacing w:before="0" w:after="120"/>
      </w:pPr>
      <w:r>
        <w:rPr>
          <w:b/>
          <w:color w:val="1F2937"/>
          <w:sz w:val="22"/>
        </w:rPr>
        <w:t>Knowledge_Consolidation.md</w:t>
      </w:r>
    </w:p>
    <w:p>
      <w:pPr>
        <w:spacing w:before="0" w:after="120"/>
      </w:pPr>
      <w:r>
        <w:rPr>
          <w:b w:val="0"/>
          <w:color w:val="1F2937"/>
          <w:sz w:val="22"/>
        </w:rPr>
        <w:t>Procedimiento para consolidar el conocimiento generado durante cada diagnóstico. Define cómo capturar lecciones aprendidas, actualizar patrones y frameworks, y retroalimentar el sistema.</w:t>
      </w:r>
    </w:p>
    <w:p>
      <w:r>
        <w:br w:type="page"/>
      </w:r>
    </w:p>
    <w:p>
      <w:pPr>
        <w:spacing w:before="480" w:after="240"/>
        <w:pBdr>
          <w:bottom w:val="single" w:sz="6" w:space="1" w:color="134078"/>
        </w:pBdr>
      </w:pPr>
      <w:r>
        <w:rPr>
          <w:b/>
          <w:color w:val="134078"/>
          <w:sz w:val="40"/>
        </w:rPr>
        <w:t>8. Skills — Capacidades de Diagnóstico</w:t>
      </w:r>
    </w:p>
    <w:p>
      <w:pPr>
        <w:spacing w:before="0" w:after="120"/>
      </w:pPr>
      <w:r>
        <w:rPr>
          <w:b w:val="0"/>
          <w:color w:val="1F2937"/>
          <w:sz w:val="22"/>
        </w:rPr>
        <w:t>Las skills son fichas técnicas que definen capacidades específicas de diagnóstico. Cada skill describe un área de evaluación con sus indicadores, metodología y criterios de puntuación.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34078"/>
          </w:tcPr>
          <w:p>
            <w:pPr>
              <w:jc w:val="center"/>
            </w:pPr>
            <w:r/>
            <w:r>
              <w:rPr>
                <w:b/>
                <w:color w:val="FFFFFF"/>
                <w:sz w:val="18"/>
              </w:rPr>
              <w:t>#</w:t>
            </w:r>
          </w:p>
        </w:tc>
        <w:tc>
          <w:tcPr>
            <w:tcW w:type="dxa" w:w="2351"/>
            <w:shd w:fill="134078"/>
          </w:tcPr>
          <w:p>
            <w:pPr>
              <w:jc w:val="center"/>
            </w:pPr>
            <w:r/>
            <w:r>
              <w:rPr>
                <w:b/>
                <w:color w:val="FFFFFF"/>
                <w:sz w:val="18"/>
              </w:rPr>
              <w:t>Skill</w:t>
            </w:r>
          </w:p>
        </w:tc>
        <w:tc>
          <w:tcPr>
            <w:tcW w:type="dxa" w:w="2351"/>
            <w:shd w:fill="134078"/>
          </w:tcPr>
          <w:p>
            <w:pPr>
              <w:jc w:val="center"/>
            </w:pPr>
            <w:r/>
            <w:r>
              <w:rPr>
                <w:b/>
                <w:color w:val="FFFFFF"/>
                <w:sz w:val="18"/>
              </w:rPr>
              <w:t>Dimensión</w:t>
            </w:r>
          </w:p>
        </w:tc>
        <w:tc>
          <w:tcPr>
            <w:tcW w:type="dxa" w:w="2351"/>
            <w:shd w:fill="134078"/>
          </w:tcPr>
          <w:p>
            <w:pPr>
              <w:jc w:val="center"/>
            </w:pPr>
            <w:r/>
            <w:r>
              <w:rPr>
                <w:b/>
                <w:color w:val="FFFFFF"/>
                <w:sz w:val="18"/>
              </w:rPr>
              <w:t>Indicadores Clave</w:t>
            </w:r>
          </w:p>
        </w:tc>
      </w:tr>
      <w:tr>
        <w:tc>
          <w:tcPr>
            <w:tcW w:type="dxa" w:w="2351"/>
          </w:tcPr>
          <w:p>
            <w:r/>
            <w:r>
              <w:rPr>
                <w:color w:val="1F2937"/>
                <w:sz w:val="18"/>
              </w:rPr>
              <w:t>1</w:t>
            </w:r>
          </w:p>
        </w:tc>
        <w:tc>
          <w:tcPr>
            <w:tcW w:type="dxa" w:w="2351"/>
          </w:tcPr>
          <w:p>
            <w:r/>
            <w:r>
              <w:rPr>
                <w:color w:val="1F2937"/>
                <w:sz w:val="18"/>
              </w:rPr>
              <w:t>Blue_Ocean_Assessment</w:t>
            </w:r>
          </w:p>
        </w:tc>
        <w:tc>
          <w:tcPr>
            <w:tcW w:type="dxa" w:w="2351"/>
          </w:tcPr>
          <w:p>
            <w:r/>
            <w:r>
              <w:rPr>
                <w:color w:val="1F2937"/>
                <w:sz w:val="18"/>
              </w:rPr>
              <w:t>Estrategia</w:t>
            </w:r>
          </w:p>
        </w:tc>
        <w:tc>
          <w:tcPr>
            <w:tcW w:type="dxa" w:w="2351"/>
          </w:tcPr>
          <w:p>
            <w:r/>
            <w:r>
              <w:rPr>
                <w:color w:val="1F2937"/>
                <w:sz w:val="18"/>
              </w:rPr>
              <w:t>Innovación en valor, curva de valor</w:t>
            </w:r>
          </w:p>
        </w:tc>
      </w:tr>
      <w:tr>
        <w:tc>
          <w:tcPr>
            <w:tcW w:type="dxa" w:w="2351"/>
            <w:shd w:fill="EBF4FF"/>
          </w:tcPr>
          <w:p>
            <w:r/>
            <w:r>
              <w:rPr>
                <w:color w:val="1F2937"/>
                <w:sz w:val="18"/>
              </w:rPr>
              <w:t>2</w:t>
            </w:r>
          </w:p>
        </w:tc>
        <w:tc>
          <w:tcPr>
            <w:tcW w:type="dxa" w:w="2351"/>
            <w:shd w:fill="EBF4FF"/>
          </w:tcPr>
          <w:p>
            <w:r/>
            <w:r>
              <w:rPr>
                <w:color w:val="1F2937"/>
                <w:sz w:val="18"/>
              </w:rPr>
              <w:t>Business_Model_Assessment</w:t>
            </w:r>
          </w:p>
        </w:tc>
        <w:tc>
          <w:tcPr>
            <w:tcW w:type="dxa" w:w="2351"/>
            <w:shd w:fill="EBF4FF"/>
          </w:tcPr>
          <w:p>
            <w:r/>
            <w:r>
              <w:rPr>
                <w:color w:val="1F2937"/>
                <w:sz w:val="18"/>
              </w:rPr>
              <w:t>Modelo de Negocio</w:t>
            </w:r>
          </w:p>
        </w:tc>
        <w:tc>
          <w:tcPr>
            <w:tcW w:type="dxa" w:w="2351"/>
            <w:shd w:fill="EBF4FF"/>
          </w:tcPr>
          <w:p>
            <w:r/>
            <w:r>
              <w:rPr>
                <w:color w:val="1F2937"/>
                <w:sz w:val="18"/>
              </w:rPr>
              <w:t>BMC, propuesta de valor, flujo de ingresos</w:t>
            </w:r>
          </w:p>
        </w:tc>
      </w:tr>
      <w:tr>
        <w:tc>
          <w:tcPr>
            <w:tcW w:type="dxa" w:w="2351"/>
          </w:tcPr>
          <w:p>
            <w:r/>
            <w:r>
              <w:rPr>
                <w:color w:val="1F2937"/>
                <w:sz w:val="18"/>
              </w:rPr>
              <w:t>3</w:t>
            </w:r>
          </w:p>
        </w:tc>
        <w:tc>
          <w:tcPr>
            <w:tcW w:type="dxa" w:w="2351"/>
          </w:tcPr>
          <w:p>
            <w:r/>
            <w:r>
              <w:rPr>
                <w:color w:val="1F2937"/>
                <w:sz w:val="18"/>
              </w:rPr>
              <w:t>CashFlow_Assessment</w:t>
            </w:r>
          </w:p>
        </w:tc>
        <w:tc>
          <w:tcPr>
            <w:tcW w:type="dxa" w:w="2351"/>
          </w:tcPr>
          <w:p>
            <w:r/>
            <w:r>
              <w:rPr>
                <w:color w:val="1F2937"/>
                <w:sz w:val="18"/>
              </w:rPr>
              <w:t>Finanzas</w:t>
            </w:r>
          </w:p>
        </w:tc>
        <w:tc>
          <w:tcPr>
            <w:tcW w:type="dxa" w:w="2351"/>
          </w:tcPr>
          <w:p>
            <w:r/>
            <w:r>
              <w:rPr>
                <w:color w:val="1F2937"/>
                <w:sz w:val="18"/>
              </w:rPr>
              <w:t>Ciclo de caja, liquidez, capital de trabajo</w:t>
            </w:r>
          </w:p>
        </w:tc>
      </w:tr>
      <w:tr>
        <w:tc>
          <w:tcPr>
            <w:tcW w:type="dxa" w:w="2351"/>
            <w:shd w:fill="EBF4FF"/>
          </w:tcPr>
          <w:p>
            <w:r/>
            <w:r>
              <w:rPr>
                <w:color w:val="1F2937"/>
                <w:sz w:val="18"/>
              </w:rPr>
              <w:t>4</w:t>
            </w:r>
          </w:p>
        </w:tc>
        <w:tc>
          <w:tcPr>
            <w:tcW w:type="dxa" w:w="2351"/>
            <w:shd w:fill="EBF4FF"/>
          </w:tcPr>
          <w:p>
            <w:r/>
            <w:r>
              <w:rPr>
                <w:color w:val="1F2937"/>
                <w:sz w:val="18"/>
              </w:rPr>
              <w:t>JTBD_Assessment</w:t>
            </w:r>
          </w:p>
        </w:tc>
        <w:tc>
          <w:tcPr>
            <w:tcW w:type="dxa" w:w="2351"/>
            <w:shd w:fill="EBF4FF"/>
          </w:tcPr>
          <w:p>
            <w:r/>
            <w:r>
              <w:rPr>
                <w:color w:val="1F2937"/>
                <w:sz w:val="18"/>
              </w:rPr>
              <w:t>Cliente/Mercado</w:t>
            </w:r>
          </w:p>
        </w:tc>
        <w:tc>
          <w:tcPr>
            <w:tcW w:type="dxa" w:w="2351"/>
            <w:shd w:fill="EBF4FF"/>
          </w:tcPr>
          <w:p>
            <w:r/>
            <w:r>
              <w:rPr>
                <w:color w:val="1F2937"/>
                <w:sz w:val="18"/>
              </w:rPr>
              <w:t>Jobs principales, satisfacción, alternativas</w:t>
            </w:r>
          </w:p>
        </w:tc>
      </w:tr>
      <w:tr>
        <w:tc>
          <w:tcPr>
            <w:tcW w:type="dxa" w:w="2351"/>
          </w:tcPr>
          <w:p>
            <w:r/>
            <w:r>
              <w:rPr>
                <w:color w:val="1F2937"/>
                <w:sz w:val="18"/>
              </w:rPr>
              <w:t>5</w:t>
            </w:r>
          </w:p>
        </w:tc>
        <w:tc>
          <w:tcPr>
            <w:tcW w:type="dxa" w:w="2351"/>
          </w:tcPr>
          <w:p>
            <w:r/>
            <w:r>
              <w:rPr>
                <w:color w:val="1F2937"/>
                <w:sz w:val="18"/>
              </w:rPr>
              <w:t>Process_Assessment</w:t>
            </w:r>
          </w:p>
        </w:tc>
        <w:tc>
          <w:tcPr>
            <w:tcW w:type="dxa" w:w="2351"/>
          </w:tcPr>
          <w:p>
            <w:r/>
            <w:r>
              <w:rPr>
                <w:color w:val="1F2937"/>
                <w:sz w:val="18"/>
              </w:rPr>
              <w:t>Operaciones</w:t>
            </w:r>
          </w:p>
        </w:tc>
        <w:tc>
          <w:tcPr>
            <w:tcW w:type="dxa" w:w="2351"/>
          </w:tcPr>
          <w:p>
            <w:r/>
            <w:r>
              <w:rPr>
                <w:color w:val="1F2937"/>
                <w:sz w:val="18"/>
              </w:rPr>
              <w:t>Eficiencia, cuellos de botella, calidad</w:t>
            </w:r>
          </w:p>
        </w:tc>
      </w:tr>
      <w:tr>
        <w:tc>
          <w:tcPr>
            <w:tcW w:type="dxa" w:w="2351"/>
            <w:shd w:fill="EBF4FF"/>
          </w:tcPr>
          <w:p>
            <w:r/>
            <w:r>
              <w:rPr>
                <w:color w:val="1F2937"/>
                <w:sz w:val="18"/>
              </w:rPr>
              <w:t>6</w:t>
            </w:r>
          </w:p>
        </w:tc>
        <w:tc>
          <w:tcPr>
            <w:tcW w:type="dxa" w:w="2351"/>
            <w:shd w:fill="EBF4FF"/>
          </w:tcPr>
          <w:p>
            <w:r/>
            <w:r>
              <w:rPr>
                <w:color w:val="1F2937"/>
                <w:sz w:val="18"/>
              </w:rPr>
              <w:t>Profitability_Assessment</w:t>
            </w:r>
          </w:p>
        </w:tc>
        <w:tc>
          <w:tcPr>
            <w:tcW w:type="dxa" w:w="2351"/>
            <w:shd w:fill="EBF4FF"/>
          </w:tcPr>
          <w:p>
            <w:r/>
            <w:r>
              <w:rPr>
                <w:color w:val="1F2937"/>
                <w:sz w:val="18"/>
              </w:rPr>
              <w:t>Finanzas</w:t>
            </w:r>
          </w:p>
        </w:tc>
        <w:tc>
          <w:tcPr>
            <w:tcW w:type="dxa" w:w="2351"/>
            <w:shd w:fill="EBF4FF"/>
          </w:tcPr>
          <w:p>
            <w:r/>
            <w:r>
              <w:rPr>
                <w:color w:val="1F2937"/>
                <w:sz w:val="18"/>
              </w:rPr>
              <w:t>Márgenes, rentabilidad, Dupont</w:t>
            </w:r>
          </w:p>
        </w:tc>
      </w:tr>
      <w:tr>
        <w:tc>
          <w:tcPr>
            <w:tcW w:type="dxa" w:w="2351"/>
          </w:tcPr>
          <w:p>
            <w:r/>
            <w:r>
              <w:rPr>
                <w:color w:val="1F2937"/>
                <w:sz w:val="18"/>
              </w:rPr>
              <w:t>7</w:t>
            </w:r>
          </w:p>
        </w:tc>
        <w:tc>
          <w:tcPr>
            <w:tcW w:type="dxa" w:w="2351"/>
          </w:tcPr>
          <w:p>
            <w:r/>
            <w:r>
              <w:rPr>
                <w:color w:val="1F2937"/>
                <w:sz w:val="18"/>
              </w:rPr>
              <w:t>Risk_Assessment</w:t>
            </w:r>
          </w:p>
        </w:tc>
        <w:tc>
          <w:tcPr>
            <w:tcW w:type="dxa" w:w="2351"/>
          </w:tcPr>
          <w:p>
            <w:r/>
            <w:r>
              <w:rPr>
                <w:color w:val="1F2937"/>
                <w:sz w:val="18"/>
              </w:rPr>
              <w:t>Riesgos</w:t>
            </w:r>
          </w:p>
        </w:tc>
        <w:tc>
          <w:tcPr>
            <w:tcW w:type="dxa" w:w="2351"/>
          </w:tcPr>
          <w:p>
            <w:r/>
            <w:r>
              <w:rPr>
                <w:color w:val="1F2937"/>
                <w:sz w:val="18"/>
              </w:rPr>
              <w:t>Matriz de riesgo, probabilidad, impacto</w:t>
            </w:r>
          </w:p>
        </w:tc>
      </w:tr>
      <w:tr>
        <w:tc>
          <w:tcPr>
            <w:tcW w:type="dxa" w:w="2351"/>
            <w:shd w:fill="EBF4FF"/>
          </w:tcPr>
          <w:p>
            <w:r/>
            <w:r>
              <w:rPr>
                <w:color w:val="1F2937"/>
                <w:sz w:val="18"/>
              </w:rPr>
              <w:t>8</w:t>
            </w:r>
          </w:p>
        </w:tc>
        <w:tc>
          <w:tcPr>
            <w:tcW w:type="dxa" w:w="2351"/>
            <w:shd w:fill="EBF4FF"/>
          </w:tcPr>
          <w:p>
            <w:r/>
            <w:r>
              <w:rPr>
                <w:color w:val="1F2937"/>
                <w:sz w:val="18"/>
              </w:rPr>
              <w:t>SevenS_Assessment</w:t>
            </w:r>
          </w:p>
        </w:tc>
        <w:tc>
          <w:tcPr>
            <w:tcW w:type="dxa" w:w="2351"/>
            <w:shd w:fill="EBF4FF"/>
          </w:tcPr>
          <w:p>
            <w:r/>
            <w:r>
              <w:rPr>
                <w:color w:val="1F2937"/>
                <w:sz w:val="18"/>
              </w:rPr>
              <w:t>Organización</w:t>
            </w:r>
          </w:p>
        </w:tc>
        <w:tc>
          <w:tcPr>
            <w:tcW w:type="dxa" w:w="2351"/>
            <w:shd w:fill="EBF4FF"/>
          </w:tcPr>
          <w:p>
            <w:r/>
            <w:r>
              <w:rPr>
                <w:color w:val="1F2937"/>
                <w:sz w:val="18"/>
              </w:rPr>
              <w:t>7S: estructura, sistemas, estilo, skills</w:t>
            </w:r>
          </w:p>
        </w:tc>
      </w:tr>
    </w:tbl>
    <w:p/>
    <w:p>
      <w:r>
        <w:br w:type="page"/>
      </w:r>
    </w:p>
    <w:p>
      <w:pPr>
        <w:spacing w:before="480" w:after="240"/>
        <w:pBdr>
          <w:bottom w:val="single" w:sz="6" w:space="1" w:color="134078"/>
        </w:pBdr>
      </w:pPr>
      <w:r>
        <w:rPr>
          <w:b/>
          <w:color w:val="134078"/>
          <w:sz w:val="40"/>
        </w:rPr>
        <w:t>9. templates — Plantillas</w:t>
      </w:r>
    </w:p>
    <w:p>
      <w:pPr>
        <w:spacing w:before="0" w:after="120"/>
      </w:pPr>
      <w:r>
        <w:rPr>
          <w:b w:val="0"/>
          <w:color w:val="1F2937"/>
          <w:sz w:val="22"/>
        </w:rPr>
        <w:t>El directorio templates/ contiene plantillas reutilizables para estandarizar la generación de documentos.</w:t>
      </w:r>
    </w:p>
    <w:p>
      <w:pPr>
        <w:spacing w:before="0" w:after="120"/>
      </w:pPr>
      <w:r>
        <w:rPr>
          <w:b/>
          <w:color w:val="1F2937"/>
          <w:sz w:val="22"/>
        </w:rPr>
        <w:t>Executive_Report_Template.md</w:t>
      </w:r>
    </w:p>
    <w:p>
      <w:pPr>
        <w:spacing w:before="0" w:after="120"/>
      </w:pPr>
      <w:r>
        <w:rPr>
          <w:b w:val="0"/>
          <w:color w:val="1F2937"/>
          <w:sz w:val="22"/>
        </w:rPr>
        <w:t>Plantilla para informes ejecutivos de diagnóstico. Estructura predefinida con secciones para resumen ejecutivo, hallazgos por dimensión, matriz de priorización, plan de 90 días y roadmap 12 meses.</w:t>
      </w:r>
    </w:p>
    <w:p>
      <w:r>
        <w:br w:type="page"/>
      </w:r>
    </w:p>
    <w:p>
      <w:pPr>
        <w:spacing w:before="480" w:after="240"/>
        <w:pBdr>
          <w:bottom w:val="single" w:sz="6" w:space="1" w:color="134078"/>
        </w:pBdr>
      </w:pPr>
      <w:r>
        <w:rPr>
          <w:b/>
          <w:color w:val="134078"/>
          <w:sz w:val="40"/>
        </w:rPr>
        <w:t>10. Cómo Navegar el Sistema</w:t>
      </w:r>
    </w:p>
    <w:p>
      <w:pPr>
        <w:spacing w:before="320" w:after="160"/>
      </w:pPr>
      <w:r>
        <w:rPr>
          <w:b/>
          <w:color w:val="1A5A9E"/>
          <w:sz w:val="30"/>
        </w:rPr>
        <w:t>10.1  Para directores y líderes</w:t>
      </w:r>
    </w:p>
    <w:p>
      <w:pPr>
        <w:spacing w:before="0" w:after="120"/>
      </w:pPr>
      <w:r>
        <w:rPr>
          <w:b w:val="0"/>
          <w:color w:val="1F2937"/>
          <w:sz w:val="22"/>
        </w:rPr>
        <w:t>Comience por Operations/Operating_System_Manual.md para entender la arquitectura completa. Luego revise KPI_System.md para conocer los indicadores de gestión. Finalmente explore Process_Map.md para el mapa de procesos.</w:t>
      </w:r>
    </w:p>
    <w:p>
      <w:pPr>
        <w:spacing w:before="320" w:after="160"/>
      </w:pPr>
      <w:r>
        <w:rPr>
          <w:b/>
          <w:color w:val="1A5A9E"/>
          <w:sz w:val="30"/>
        </w:rPr>
        <w:t>10.2  Para el equipo de ventas</w:t>
      </w:r>
    </w:p>
    <w:p>
      <w:pPr>
        <w:spacing w:before="0" w:after="120"/>
      </w:pPr>
      <w:r>
        <w:rPr>
          <w:b w:val="0"/>
          <w:color w:val="1F2937"/>
          <w:sz w:val="22"/>
        </w:rPr>
        <w:t>Lea Sales_Process.md y CRM_Model.md. Consulte Brand/Brand_Strategy.md y Tone_Of_Voice.md para alinear la comunicación con la marca.</w:t>
      </w:r>
    </w:p>
    <w:p>
      <w:pPr>
        <w:spacing w:before="320" w:after="160"/>
      </w:pPr>
      <w:r>
        <w:rPr>
          <w:b/>
          <w:color w:val="1A5A9E"/>
          <w:sz w:val="30"/>
        </w:rPr>
        <w:t>10.3  Para el equipo de delivery (diagnóstico)</w:t>
      </w:r>
    </w:p>
    <w:p>
      <w:pPr>
        <w:spacing w:before="0" w:after="120"/>
      </w:pPr>
      <w:r>
        <w:rPr>
          <w:b w:val="0"/>
          <w:color w:val="1F2937"/>
          <w:sz w:val="22"/>
        </w:rPr>
        <w:t>Comience por Delivery_Process.md y el Playbook Full_Business_Diagnosis.md. Explore Agents/ para conocer cada agente y Skills/ para las capacidades disponibles. Use Knowledge/ para los frameworks.</w:t>
      </w:r>
    </w:p>
    <w:p>
      <w:pPr>
        <w:spacing w:before="320" w:after="160"/>
      </w:pPr>
      <w:r>
        <w:rPr>
          <w:b/>
          <w:color w:val="1A5A9E"/>
          <w:sz w:val="30"/>
        </w:rPr>
        <w:t>10.4  Para el equipo de customer success</w:t>
      </w:r>
    </w:p>
    <w:p>
      <w:pPr>
        <w:spacing w:before="0" w:after="120"/>
      </w:pPr>
      <w:r>
        <w:rPr>
          <w:b w:val="0"/>
          <w:color w:val="1F2937"/>
          <w:sz w:val="22"/>
        </w:rPr>
        <w:t>Lea Client_Success_Process.md y Knowledge_Process.md. Consulte KPI_System.md sección de CS.</w:t>
      </w:r>
    </w:p>
    <w:p>
      <w:pPr>
        <w:spacing w:before="320" w:after="160"/>
      </w:pPr>
      <w:r>
        <w:rPr>
          <w:b/>
          <w:color w:val="1A5A9E"/>
          <w:sz w:val="30"/>
        </w:rPr>
        <w:t>10.5  Para administración</w:t>
      </w:r>
    </w:p>
    <w:p>
      <w:pPr>
        <w:spacing w:before="0" w:after="120"/>
      </w:pPr>
      <w:r>
        <w:rPr>
          <w:b w:val="0"/>
          <w:color w:val="1F2937"/>
          <w:sz w:val="22"/>
        </w:rPr>
        <w:t>Lea Administration_Process.md, Database_Model.md y ERP_Blueprint.md. Configure los procesos según CRM_Model.md.</w:t>
      </w:r>
    </w:p>
    <w:p>
      <w:pPr>
        <w:spacing w:before="320" w:after="160"/>
      </w:pPr>
      <w:r>
        <w:rPr>
          <w:b/>
          <w:color w:val="1A5A9E"/>
          <w:sz w:val="30"/>
        </w:rPr>
        <w:t>10.6  Para nuevos integrantes</w:t>
      </w:r>
    </w:p>
    <w:p>
      <w:pPr>
        <w:spacing w:before="0" w:after="120"/>
      </w:pPr>
      <w:r>
        <w:rPr>
          <w:b w:val="0"/>
          <w:color w:val="1F2937"/>
          <w:sz w:val="22"/>
        </w:rPr>
        <w:t>Lea este manual completo. Luego explore Process_Map.md para la visión general. Finalmente profundice en el área que le corresponda.</w:t>
      </w:r>
    </w:p>
    <w:p>
      <w:r>
        <w:br w:type="page"/>
      </w:r>
    </w:p>
    <w:p>
      <w:pPr>
        <w:spacing w:before="480" w:after="240"/>
        <w:pBdr>
          <w:bottom w:val="single" w:sz="6" w:space="1" w:color="134078"/>
        </w:pBdr>
      </w:pPr>
      <w:r>
        <w:rPr>
          <w:b/>
          <w:color w:val="134078"/>
          <w:sz w:val="40"/>
        </w:rPr>
        <w:t>11. Flujo de Trabajo Completo</w:t>
      </w:r>
    </w:p>
    <w:p>
      <w:pPr>
        <w:spacing w:before="0" w:after="120"/>
      </w:pPr>
      <w:r>
        <w:rPr>
          <w:b w:val="0"/>
          <w:color w:val="1F2937"/>
          <w:sz w:val="22"/>
        </w:rPr>
        <w:t>El siguiente diagrama muestra el flujo de trabajo completo de principio a fin, conectando todos los componentes del sistema:</w:t>
      </w:r>
    </w:p>
    <w:p>
      <w:pPr>
        <w:spacing w:before="0" w:after="120"/>
      </w:pPr>
      <w:r>
        <w:rPr>
          <w:b/>
          <w:color w:val="1F2937"/>
          <w:sz w:val="22"/>
        </w:rPr>
        <w:t>FASE 1 — Comercial (Sales_Process.md)</w:t>
      </w:r>
    </w:p>
    <w:p>
      <w:pPr>
        <w:pStyle w:val="ListBullet"/>
        <w:spacing w:after="40"/>
      </w:pPr>
      <w:r>
        <w:t>Lead generado → Calificación BANT → Discovery Call → Propuesta → Cierre → Onboarding</w:t>
      </w:r>
    </w:p>
    <w:p>
      <w:pPr>
        <w:pStyle w:val="ListBullet"/>
        <w:spacing w:after="40"/>
      </w:pPr>
      <w:r>
        <w:t>Herramientas: CRM (CRM_Model.md), Pipeline tracking</w:t>
      </w:r>
    </w:p>
    <w:p>
      <w:pPr>
        <w:spacing w:before="0" w:after="120"/>
      </w:pPr>
      <w:r>
        <w:rPr>
          <w:b/>
          <w:color w:val="1F2937"/>
          <w:sz w:val="22"/>
        </w:rPr>
        <w:t>FASE 2 — Delivery (Delivery_Process.md)</w:t>
      </w:r>
    </w:p>
    <w:p>
      <w:pPr>
        <w:pStyle w:val="ListBullet"/>
        <w:spacing w:after="40"/>
      </w:pPr>
      <w:r>
        <w:t>Kickoff → Brief empresa → Pool de agentes (Agents/) → Entrevistas → Hallazgos → Informe → QA → Presentación</w:t>
      </w:r>
    </w:p>
    <w:p>
      <w:pPr>
        <w:pStyle w:val="ListBullet"/>
        <w:spacing w:after="40"/>
      </w:pPr>
      <w:r>
        <w:t>Agentes usan Skills/ y Knowledge/ para diagnosticar</w:t>
      </w:r>
    </w:p>
    <w:p>
      <w:pPr>
        <w:pStyle w:val="ListBullet"/>
        <w:spacing w:after="40"/>
      </w:pPr>
      <w:r>
        <w:t>Playbooks/ guían la ejecución</w:t>
      </w:r>
    </w:p>
    <w:p>
      <w:pPr>
        <w:spacing w:before="0" w:after="120"/>
      </w:pPr>
      <w:r>
        <w:rPr>
          <w:b/>
          <w:color w:val="1F2937"/>
          <w:sz w:val="22"/>
        </w:rPr>
        <w:t>FASE 3 — Post-Entrega (Client_Success_Process.md)</w:t>
      </w:r>
    </w:p>
    <w:p>
      <w:pPr>
        <w:pStyle w:val="ListBullet"/>
        <w:spacing w:after="40"/>
      </w:pPr>
      <w:r>
        <w:t>NPS → Check-ins → Revisión 90 días → Encuesta impacto → Upsell/Retención</w:t>
      </w:r>
    </w:p>
    <w:p>
      <w:pPr>
        <w:pStyle w:val="ListBullet"/>
        <w:spacing w:after="40"/>
      </w:pPr>
      <w:r>
        <w:t>Lecciones aprendidas → Knowledge_Process.md</w:t>
      </w:r>
    </w:p>
    <w:p>
      <w:pPr>
        <w:spacing w:before="0" w:after="120"/>
      </w:pPr>
      <w:r>
        <w:rPr>
          <w:b/>
          <w:color w:val="1F2937"/>
          <w:sz w:val="22"/>
        </w:rPr>
        <w:t>FASE 4 — Conocimiento (Knowledge_Process.md)</w:t>
      </w:r>
    </w:p>
    <w:p>
      <w:pPr>
        <w:pStyle w:val="ListBullet"/>
        <w:spacing w:after="40"/>
      </w:pPr>
      <w:r>
        <w:t>Capturar aprendizajes → Documentar en Knowledge/ → Publicar → Aplicar en próximos diagnósticos → Revisar y mejorar</w:t>
      </w:r>
    </w:p>
    <w:p>
      <w:pPr>
        <w:spacing w:before="0" w:after="120"/>
      </w:pPr>
      <w:r>
        <w:rPr>
          <w:b/>
          <w:color w:val="1F2937"/>
          <w:sz w:val="22"/>
        </w:rPr>
        <w:t>FASE 5 — Medición (KPI_System.md)</w:t>
      </w:r>
    </w:p>
    <w:p>
      <w:pPr>
        <w:pStyle w:val="ListBullet"/>
        <w:spacing w:after="40"/>
      </w:pPr>
      <w:r>
        <w:t>Todos los procesos generan KPIs que alimentan el dashboard</w:t>
      </w:r>
    </w:p>
    <w:p>
      <w:pPr>
        <w:pStyle w:val="ListBullet"/>
        <w:spacing w:after="40"/>
      </w:pPr>
      <w:r>
        <w:t>Los semáforos indican la salud del negocio en tiempo real</w:t>
      </w:r>
    </w:p>
    <w:p>
      <w:r>
        <w:br w:type="page"/>
      </w:r>
    </w:p>
    <w:p>
      <w:pPr>
        <w:spacing w:before="480" w:after="240"/>
        <w:pBdr>
          <w:bottom w:val="single" w:sz="6" w:space="1" w:color="134078"/>
        </w:pBdr>
      </w:pPr>
      <w:r>
        <w:rPr>
          <w:b/>
          <w:color w:val="134078"/>
          <w:sz w:val="40"/>
        </w:rPr>
        <w:t>12. Glosario de Términos</w:t>
      </w:r>
    </w:p>
    <w:tbl>
      <w:tblPr>
        <w:tblStyle w:val="TableGrid"/>
        <w:tblW w:type="auto" w:w="0"/>
        <w:jc w:val="center"/>
        <w:tblLook w:firstColumn="1" w:firstRow="1" w:lastColumn="0" w:lastRow="0" w:noHBand="0" w:noVBand="1" w:val="04A0"/>
      </w:tblPr>
      <w:tblGrid>
        <w:gridCol w:w="4703"/>
        <w:gridCol w:w="4703"/>
      </w:tblGrid>
      <w:tr>
        <w:tc>
          <w:tcPr>
            <w:tcW w:type="dxa" w:w="4703"/>
            <w:shd w:fill="134078"/>
          </w:tcPr>
          <w:p>
            <w:pPr>
              <w:jc w:val="center"/>
            </w:pPr>
            <w:r/>
            <w:r>
              <w:rPr>
                <w:b/>
                <w:color w:val="FFFFFF"/>
                <w:sz w:val="18"/>
              </w:rPr>
              <w:t>Término</w:t>
            </w:r>
          </w:p>
        </w:tc>
        <w:tc>
          <w:tcPr>
            <w:tcW w:type="dxa" w:w="4703"/>
            <w:shd w:fill="134078"/>
          </w:tcPr>
          <w:p>
            <w:pPr>
              <w:jc w:val="center"/>
            </w:pPr>
            <w:r/>
            <w:r>
              <w:rPr>
                <w:b/>
                <w:color w:val="FFFFFF"/>
                <w:sz w:val="18"/>
              </w:rPr>
              <w:t>Definición</w:t>
            </w:r>
          </w:p>
        </w:tc>
      </w:tr>
      <w:tr>
        <w:tc>
          <w:tcPr>
            <w:tcW w:type="dxa" w:w="4703"/>
          </w:tcPr>
          <w:p>
            <w:r/>
            <w:r>
              <w:rPr>
                <w:color w:val="1F2937"/>
                <w:sz w:val="18"/>
              </w:rPr>
              <w:t>Agente</w:t>
            </w:r>
          </w:p>
        </w:tc>
        <w:tc>
          <w:tcPr>
            <w:tcW w:type="dxa" w:w="4703"/>
          </w:tcPr>
          <w:p>
            <w:r/>
            <w:r>
              <w:rPr>
                <w:color w:val="1F2937"/>
                <w:sz w:val="18"/>
              </w:rPr>
              <w:t>Sistema de IA especializado en una dimensión del diagnóstico empresarial</w:t>
            </w:r>
          </w:p>
        </w:tc>
      </w:tr>
      <w:tr>
        <w:tc>
          <w:tcPr>
            <w:tcW w:type="dxa" w:w="4703"/>
            <w:shd w:fill="EBF4FF"/>
          </w:tcPr>
          <w:p>
            <w:r/>
            <w:r>
              <w:rPr>
                <w:color w:val="1F2937"/>
                <w:sz w:val="18"/>
              </w:rPr>
              <w:t>BANT</w:t>
            </w:r>
          </w:p>
        </w:tc>
        <w:tc>
          <w:tcPr>
            <w:tcW w:type="dxa" w:w="4703"/>
            <w:shd w:fill="EBF4FF"/>
          </w:tcPr>
          <w:p>
            <w:r/>
            <w:r>
              <w:rPr>
                <w:color w:val="1F2937"/>
                <w:sz w:val="18"/>
              </w:rPr>
              <w:t>Budget, Authority, Need, Timeline — criterios de calificación de leads</w:t>
            </w:r>
          </w:p>
        </w:tc>
      </w:tr>
      <w:tr>
        <w:tc>
          <w:tcPr>
            <w:tcW w:type="dxa" w:w="4703"/>
          </w:tcPr>
          <w:p>
            <w:r/>
            <w:r>
              <w:rPr>
                <w:color w:val="1F2937"/>
                <w:sz w:val="18"/>
              </w:rPr>
              <w:t>BMC</w:t>
            </w:r>
          </w:p>
        </w:tc>
        <w:tc>
          <w:tcPr>
            <w:tcW w:type="dxa" w:w="4703"/>
          </w:tcPr>
          <w:p>
            <w:r/>
            <w:r>
              <w:rPr>
                <w:color w:val="1F2937"/>
                <w:sz w:val="18"/>
              </w:rPr>
              <w:t>Business Model Canvas — framework de modelo de negocio</w:t>
            </w:r>
          </w:p>
        </w:tc>
      </w:tr>
      <w:tr>
        <w:tc>
          <w:tcPr>
            <w:tcW w:type="dxa" w:w="4703"/>
            <w:shd w:fill="EBF4FF"/>
          </w:tcPr>
          <w:p>
            <w:r/>
            <w:r>
              <w:rPr>
                <w:color w:val="1F2937"/>
                <w:sz w:val="18"/>
              </w:rPr>
              <w:t>CRM</w:t>
            </w:r>
          </w:p>
        </w:tc>
        <w:tc>
          <w:tcPr>
            <w:tcW w:type="dxa" w:w="4703"/>
            <w:shd w:fill="EBF4FF"/>
          </w:tcPr>
          <w:p>
            <w:r/>
            <w:r>
              <w:rPr>
                <w:color w:val="1F2937"/>
                <w:sz w:val="18"/>
              </w:rPr>
              <w:t>Customer Relationship Management — gestión de relaciones con clientes</w:t>
            </w:r>
          </w:p>
        </w:tc>
      </w:tr>
      <w:tr>
        <w:tc>
          <w:tcPr>
            <w:tcW w:type="dxa" w:w="4703"/>
          </w:tcPr>
          <w:p>
            <w:r/>
            <w:r>
              <w:rPr>
                <w:color w:val="1F2937"/>
                <w:sz w:val="18"/>
              </w:rPr>
              <w:t>CS</w:t>
            </w:r>
          </w:p>
        </w:tc>
        <w:tc>
          <w:tcPr>
            <w:tcW w:type="dxa" w:w="4703"/>
          </w:tcPr>
          <w:p>
            <w:r/>
            <w:r>
              <w:rPr>
                <w:color w:val="1F2937"/>
                <w:sz w:val="18"/>
              </w:rPr>
              <w:t>Customer Success — gestión del éxito del cliente post-venta</w:t>
            </w:r>
          </w:p>
        </w:tc>
      </w:tr>
      <w:tr>
        <w:tc>
          <w:tcPr>
            <w:tcW w:type="dxa" w:w="4703"/>
            <w:shd w:fill="EBF4FF"/>
          </w:tcPr>
          <w:p>
            <w:r/>
            <w:r>
              <w:rPr>
                <w:color w:val="1F2937"/>
                <w:sz w:val="18"/>
              </w:rPr>
              <w:t>Delivery Lead</w:t>
            </w:r>
          </w:p>
        </w:tc>
        <w:tc>
          <w:tcPr>
            <w:tcW w:type="dxa" w:w="4703"/>
            <w:shd w:fill="EBF4FF"/>
          </w:tcPr>
          <w:p>
            <w:r/>
            <w:r>
              <w:rPr>
                <w:color w:val="1F2937"/>
                <w:sz w:val="18"/>
              </w:rPr>
              <w:t>Líder de entrega del diagnóstico, orquestador de agentes</w:t>
            </w:r>
          </w:p>
        </w:tc>
      </w:tr>
      <w:tr>
        <w:tc>
          <w:tcPr>
            <w:tcW w:type="dxa" w:w="4703"/>
          </w:tcPr>
          <w:p>
            <w:r/>
            <w:r>
              <w:rPr>
                <w:color w:val="1F2937"/>
                <w:sz w:val="18"/>
              </w:rPr>
              <w:t>ERP</w:t>
            </w:r>
          </w:p>
        </w:tc>
        <w:tc>
          <w:tcPr>
            <w:tcW w:type="dxa" w:w="4703"/>
          </w:tcPr>
          <w:p>
            <w:r/>
            <w:r>
              <w:rPr>
                <w:color w:val="1F2937"/>
                <w:sz w:val="18"/>
              </w:rPr>
              <w:t>Enterprise Resource Planning — sistema de planificación de recursos</w:t>
            </w:r>
          </w:p>
        </w:tc>
      </w:tr>
      <w:tr>
        <w:tc>
          <w:tcPr>
            <w:tcW w:type="dxa" w:w="4703"/>
            <w:shd w:fill="EBF4FF"/>
          </w:tcPr>
          <w:p>
            <w:r/>
            <w:r>
              <w:rPr>
                <w:color w:val="1F2937"/>
                <w:sz w:val="18"/>
              </w:rPr>
              <w:t>Framework</w:t>
            </w:r>
          </w:p>
        </w:tc>
        <w:tc>
          <w:tcPr>
            <w:tcW w:type="dxa" w:w="4703"/>
            <w:shd w:fill="EBF4FF"/>
          </w:tcPr>
          <w:p>
            <w:r/>
            <w:r>
              <w:rPr>
                <w:color w:val="1F2937"/>
                <w:sz w:val="18"/>
              </w:rPr>
              <w:t>Metodología estructurada para analizar una dimensión del negocio</w:t>
            </w:r>
          </w:p>
        </w:tc>
      </w:tr>
      <w:tr>
        <w:tc>
          <w:tcPr>
            <w:tcW w:type="dxa" w:w="4703"/>
          </w:tcPr>
          <w:p>
            <w:r/>
            <w:r>
              <w:rPr>
                <w:color w:val="1F2937"/>
                <w:sz w:val="18"/>
              </w:rPr>
              <w:t>KPI</w:t>
            </w:r>
          </w:p>
        </w:tc>
        <w:tc>
          <w:tcPr>
            <w:tcW w:type="dxa" w:w="4703"/>
          </w:tcPr>
          <w:p>
            <w:r/>
            <w:r>
              <w:rPr>
                <w:color w:val="1F2937"/>
                <w:sz w:val="18"/>
              </w:rPr>
              <w:t>Key Performance Indicator — indicador clave de rendimiento</w:t>
            </w:r>
          </w:p>
        </w:tc>
      </w:tr>
      <w:tr>
        <w:tc>
          <w:tcPr>
            <w:tcW w:type="dxa" w:w="4703"/>
            <w:shd w:fill="EBF4FF"/>
          </w:tcPr>
          <w:p>
            <w:r/>
            <w:r>
              <w:rPr>
                <w:color w:val="1F2937"/>
                <w:sz w:val="18"/>
              </w:rPr>
              <w:t>MQL</w:t>
            </w:r>
          </w:p>
        </w:tc>
        <w:tc>
          <w:tcPr>
            <w:tcW w:type="dxa" w:w="4703"/>
            <w:shd w:fill="EBF4FF"/>
          </w:tcPr>
          <w:p>
            <w:r/>
            <w:r>
              <w:rPr>
                <w:color w:val="1F2937"/>
                <w:sz w:val="18"/>
              </w:rPr>
              <w:t>Marketing Qualified Lead — lead calificado por marketing</w:t>
            </w:r>
          </w:p>
        </w:tc>
      </w:tr>
      <w:tr>
        <w:tc>
          <w:tcPr>
            <w:tcW w:type="dxa" w:w="4703"/>
          </w:tcPr>
          <w:p>
            <w:r/>
            <w:r>
              <w:rPr>
                <w:color w:val="1F2937"/>
                <w:sz w:val="18"/>
              </w:rPr>
              <w:t>MRR</w:t>
            </w:r>
          </w:p>
        </w:tc>
        <w:tc>
          <w:tcPr>
            <w:tcW w:type="dxa" w:w="4703"/>
          </w:tcPr>
          <w:p>
            <w:r/>
            <w:r>
              <w:rPr>
                <w:color w:val="1F2937"/>
                <w:sz w:val="18"/>
              </w:rPr>
              <w:t>Monthly Recurring Revenue — ingresos recurrentes mensuales</w:t>
            </w:r>
          </w:p>
        </w:tc>
      </w:tr>
      <w:tr>
        <w:tc>
          <w:tcPr>
            <w:tcW w:type="dxa" w:w="4703"/>
            <w:shd w:fill="EBF4FF"/>
          </w:tcPr>
          <w:p>
            <w:r/>
            <w:r>
              <w:rPr>
                <w:color w:val="1F2937"/>
                <w:sz w:val="18"/>
              </w:rPr>
              <w:t>NPS</w:t>
            </w:r>
          </w:p>
        </w:tc>
        <w:tc>
          <w:tcPr>
            <w:tcW w:type="dxa" w:w="4703"/>
            <w:shd w:fill="EBF4FF"/>
          </w:tcPr>
          <w:p>
            <w:r/>
            <w:r>
              <w:rPr>
                <w:color w:val="1F2937"/>
                <w:sz w:val="18"/>
              </w:rPr>
              <w:t>Net Promoter Score — métrica de satisfacción del cliente</w:t>
            </w:r>
          </w:p>
        </w:tc>
      </w:tr>
      <w:tr>
        <w:tc>
          <w:tcPr>
            <w:tcW w:type="dxa" w:w="4703"/>
          </w:tcPr>
          <w:p>
            <w:r/>
            <w:r>
              <w:rPr>
                <w:color w:val="1F2937"/>
                <w:sz w:val="18"/>
              </w:rPr>
              <w:t>OPP</w:t>
            </w:r>
          </w:p>
        </w:tc>
        <w:tc>
          <w:tcPr>
            <w:tcW w:type="dxa" w:w="4703"/>
          </w:tcPr>
          <w:p>
            <w:r/>
            <w:r>
              <w:rPr>
                <w:color w:val="1F2937"/>
                <w:sz w:val="18"/>
              </w:rPr>
              <w:t>Oportunidad comercial en el pipeline de ventas</w:t>
            </w:r>
          </w:p>
        </w:tc>
      </w:tr>
      <w:tr>
        <w:tc>
          <w:tcPr>
            <w:tcW w:type="dxa" w:w="4703"/>
            <w:shd w:fill="EBF4FF"/>
          </w:tcPr>
          <w:p>
            <w:r/>
            <w:r>
              <w:rPr>
                <w:color w:val="1F2937"/>
                <w:sz w:val="18"/>
              </w:rPr>
              <w:t>PyME</w:t>
            </w:r>
          </w:p>
        </w:tc>
        <w:tc>
          <w:tcPr>
            <w:tcW w:type="dxa" w:w="4703"/>
            <w:shd w:fill="EBF4FF"/>
          </w:tcPr>
          <w:p>
            <w:r/>
            <w:r>
              <w:rPr>
                <w:color w:val="1F2937"/>
                <w:sz w:val="18"/>
              </w:rPr>
              <w:t>Pequeña y Mediana Empresa</w:t>
            </w:r>
          </w:p>
        </w:tc>
      </w:tr>
      <w:tr>
        <w:tc>
          <w:tcPr>
            <w:tcW w:type="dxa" w:w="4703"/>
          </w:tcPr>
          <w:p>
            <w:r/>
            <w:r>
              <w:rPr>
                <w:color w:val="1F2937"/>
                <w:sz w:val="18"/>
              </w:rPr>
              <w:t>QA</w:t>
            </w:r>
          </w:p>
        </w:tc>
        <w:tc>
          <w:tcPr>
            <w:tcW w:type="dxa" w:w="4703"/>
          </w:tcPr>
          <w:p>
            <w:r/>
            <w:r>
              <w:rPr>
                <w:color w:val="1F2937"/>
                <w:sz w:val="18"/>
              </w:rPr>
              <w:t>Quality Assurance — aseguramiento de calidad del informe</w:t>
            </w:r>
          </w:p>
        </w:tc>
      </w:tr>
      <w:tr>
        <w:tc>
          <w:tcPr>
            <w:tcW w:type="dxa" w:w="4703"/>
            <w:shd w:fill="EBF4FF"/>
          </w:tcPr>
          <w:p>
            <w:r/>
            <w:r>
              <w:rPr>
                <w:color w:val="1F2937"/>
                <w:sz w:val="18"/>
              </w:rPr>
              <w:t>RACI</w:t>
            </w:r>
          </w:p>
        </w:tc>
        <w:tc>
          <w:tcPr>
            <w:tcW w:type="dxa" w:w="4703"/>
            <w:shd w:fill="EBF4FF"/>
          </w:tcPr>
          <w:p>
            <w:r/>
            <w:r>
              <w:rPr>
                <w:color w:val="1F2937"/>
                <w:sz w:val="18"/>
              </w:rPr>
              <w:t>Matriz de responsabilidades: Responsible, Accountable, Consulted, Informed</w:t>
            </w:r>
          </w:p>
        </w:tc>
      </w:tr>
      <w:tr>
        <w:tc>
          <w:tcPr>
            <w:tcW w:type="dxa" w:w="4703"/>
          </w:tcPr>
          <w:p>
            <w:r/>
            <w:r>
              <w:rPr>
                <w:color w:val="1F2937"/>
                <w:sz w:val="18"/>
              </w:rPr>
              <w:t>SOP</w:t>
            </w:r>
          </w:p>
        </w:tc>
        <w:tc>
          <w:tcPr>
            <w:tcW w:type="dxa" w:w="4703"/>
          </w:tcPr>
          <w:p>
            <w:r/>
            <w:r>
              <w:rPr>
                <w:color w:val="1F2937"/>
                <w:sz w:val="18"/>
              </w:rPr>
              <w:t>Standard Operating Procedure — procedimiento operativo estándar</w:t>
            </w:r>
          </w:p>
        </w:tc>
      </w:tr>
      <w:tr>
        <w:tc>
          <w:tcPr>
            <w:tcW w:type="dxa" w:w="4703"/>
            <w:shd w:fill="EBF4FF"/>
          </w:tcPr>
          <w:p>
            <w:r/>
            <w:r>
              <w:rPr>
                <w:color w:val="1F2937"/>
                <w:sz w:val="18"/>
              </w:rPr>
              <w:t>SQL</w:t>
            </w:r>
          </w:p>
        </w:tc>
        <w:tc>
          <w:tcPr>
            <w:tcW w:type="dxa" w:w="4703"/>
            <w:shd w:fill="EBF4FF"/>
          </w:tcPr>
          <w:p>
            <w:r/>
            <w:r>
              <w:rPr>
                <w:color w:val="1F2937"/>
                <w:sz w:val="18"/>
              </w:rPr>
              <w:t>Sales Qualified Lead — lead calificado por ventas</w:t>
            </w:r>
          </w:p>
        </w:tc>
      </w:tr>
      <w:tr>
        <w:tc>
          <w:tcPr>
            <w:tcW w:type="dxa" w:w="4703"/>
          </w:tcPr>
          <w:p>
            <w:r/>
            <w:r>
              <w:rPr>
                <w:color w:val="1F2937"/>
                <w:sz w:val="18"/>
              </w:rPr>
              <w:t>Skill</w:t>
            </w:r>
          </w:p>
        </w:tc>
        <w:tc>
          <w:tcPr>
            <w:tcW w:type="dxa" w:w="4703"/>
          </w:tcPr>
          <w:p>
            <w:r/>
            <w:r>
              <w:rPr>
                <w:color w:val="1F2937"/>
                <w:sz w:val="18"/>
              </w:rPr>
              <w:t>Capacidad específica de diagnóstico (ficha técnica)</w:t>
            </w:r>
          </w:p>
        </w:tc>
      </w:tr>
      <w:tr>
        <w:tc>
          <w:tcPr>
            <w:tcW w:type="dxa" w:w="4703"/>
            <w:shd w:fill="EBF4FF"/>
          </w:tcPr>
          <w:p>
            <w:r/>
            <w:r>
              <w:rPr>
                <w:color w:val="1F2937"/>
                <w:sz w:val="18"/>
              </w:rPr>
              <w:t>7S</w:t>
            </w:r>
          </w:p>
        </w:tc>
        <w:tc>
          <w:tcPr>
            <w:tcW w:type="dxa" w:w="4703"/>
            <w:shd w:fill="EBF4FF"/>
          </w:tcPr>
          <w:p>
            <w:r/>
            <w:r>
              <w:rPr>
                <w:color w:val="1F2937"/>
                <w:sz w:val="18"/>
              </w:rPr>
              <w:t>Framework McKinsey: Strategy, Structure, Systems, Skills, Staff, Style, Shared Values</w:t>
            </w:r>
          </w:p>
        </w:tc>
      </w:tr>
    </w:tbl>
    <w:p/>
    <w:p/>
    <w:p>
      <w:pPr>
        <w:jc w:val="center"/>
      </w:pPr>
      <w:r>
        <w:rPr>
          <w:color w:val="14B8A6"/>
        </w:rPr>
        <w:t>────────────────────────────────────────</w:t>
      </w:r>
    </w:p>
    <w:p>
      <w:pPr>
        <w:spacing w:before="240" w:after="120"/>
        <w:jc w:val="center"/>
      </w:pPr>
      <w:r>
        <w:rPr>
          <w:b/>
          <w:color w:val="134078"/>
          <w:sz w:val="28"/>
        </w:rPr>
        <w:t>Klar Analytics</w:t>
      </w:r>
    </w:p>
    <w:p>
      <w:pPr>
        <w:spacing w:before="0" w:after="120"/>
        <w:jc w:val="center"/>
      </w:pPr>
      <w:r>
        <w:rPr>
          <w:b w:val="0"/>
          <w:color w:val="9CA3AF"/>
          <w:sz w:val="22"/>
        </w:rPr>
        <w:t>Claridad que transforma decisiones</w:t>
      </w:r>
    </w:p>
    <w:p>
      <w:pPr>
        <w:spacing w:before="0" w:after="120"/>
        <w:jc w:val="center"/>
      </w:pPr>
      <w:r>
        <w:rPr>
          <w:b w:val="0"/>
          <w:color w:val="9CA3AF"/>
          <w:sz w:val="20"/>
        </w:rPr>
        <w:t>Manual de Usuario v1.0 — Junio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