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A7" w:rsidRPr="00640CA7" w:rsidRDefault="00640CA7" w:rsidP="00640CA7">
      <w:pPr>
        <w:shd w:val="clear" w:color="auto" w:fill="F4F7FC"/>
        <w:spacing w:line="240" w:lineRule="auto"/>
        <w:outlineLvl w:val="0"/>
        <w:rPr>
          <w:rFonts w:ascii="Verdana" w:eastAsia="Times New Roman" w:hAnsi="Verdana" w:cs="Times New Roman"/>
          <w:b/>
          <w:bCs/>
          <w:color w:val="111111"/>
          <w:kern w:val="36"/>
          <w:sz w:val="24"/>
          <w:szCs w:val="24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kern w:val="36"/>
          <w:sz w:val="24"/>
          <w:szCs w:val="24"/>
          <w:lang w:eastAsia="ru-RU"/>
        </w:rPr>
        <w:t>https://testengineer.ru/chto-takoe-test-plan-i-kak-ego-napisat/</w:t>
      </w:r>
    </w:p>
    <w:p w:rsidR="00640CA7" w:rsidRPr="00640CA7" w:rsidRDefault="00640CA7" w:rsidP="00640CA7">
      <w:pPr>
        <w:shd w:val="clear" w:color="auto" w:fill="F4F7FC"/>
        <w:spacing w:line="240" w:lineRule="auto"/>
        <w:outlineLvl w:val="0"/>
        <w:rPr>
          <w:rFonts w:ascii="Verdana" w:eastAsia="Times New Roman" w:hAnsi="Verdana" w:cs="Times New Roman"/>
          <w:b/>
          <w:bCs/>
          <w:color w:val="111111"/>
          <w:kern w:val="36"/>
          <w:sz w:val="62"/>
          <w:szCs w:val="62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kern w:val="36"/>
          <w:sz w:val="62"/>
          <w:szCs w:val="62"/>
          <w:lang w:eastAsia="ru-RU"/>
        </w:rPr>
        <w:t>Что такое тест план и как его написать?</w:t>
      </w:r>
    </w:p>
    <w:p w:rsidR="00640CA7" w:rsidRPr="00640CA7" w:rsidRDefault="00640CA7" w:rsidP="00640CA7">
      <w:pPr>
        <w:shd w:val="clear" w:color="auto" w:fill="F4F7FC"/>
        <w:spacing w:after="0" w:line="420" w:lineRule="atLeast"/>
        <w:textAlignment w:val="top"/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  <w:t>АВТОР</w:t>
      </w:r>
    </w:p>
    <w:p w:rsidR="00640CA7" w:rsidRPr="00640CA7" w:rsidRDefault="00640CA7" w:rsidP="00640CA7">
      <w:pPr>
        <w:shd w:val="clear" w:color="auto" w:fill="F4F7FC"/>
        <w:spacing w:line="450" w:lineRule="atLeast"/>
        <w:textAlignment w:val="center"/>
        <w:rPr>
          <w:rFonts w:ascii="Arial" w:eastAsia="Times New Roman" w:hAnsi="Arial" w:cs="Arial"/>
          <w:color w:val="444444"/>
          <w:sz w:val="17"/>
          <w:szCs w:val="17"/>
          <w:lang w:eastAsia="ru-RU"/>
        </w:rPr>
      </w:pPr>
      <w:hyperlink r:id="rId5" w:history="1">
        <w:r w:rsidRPr="00640CA7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ru-RU"/>
          </w:rPr>
          <w:t xml:space="preserve">Екатерина </w:t>
        </w:r>
        <w:proofErr w:type="spellStart"/>
        <w:r w:rsidRPr="00640CA7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ru-RU"/>
          </w:rPr>
          <w:t>Жогаль</w:t>
        </w:r>
        <w:proofErr w:type="spellEnd"/>
      </w:hyperlink>
    </w:p>
    <w:p w:rsidR="00640CA7" w:rsidRPr="00640CA7" w:rsidRDefault="00640CA7" w:rsidP="00640CA7">
      <w:pPr>
        <w:shd w:val="clear" w:color="auto" w:fill="F4F7FC"/>
        <w:spacing w:after="0" w:line="420" w:lineRule="atLeast"/>
        <w:textAlignment w:val="top"/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  <w:t>ДАТА</w:t>
      </w:r>
    </w:p>
    <w:p w:rsidR="00640CA7" w:rsidRPr="00640CA7" w:rsidRDefault="00640CA7" w:rsidP="00640CA7">
      <w:pPr>
        <w:shd w:val="clear" w:color="auto" w:fill="F4F7FC"/>
        <w:spacing w:after="0" w:line="450" w:lineRule="atLeast"/>
        <w:textAlignment w:val="center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20 января, 2022</w:t>
      </w:r>
    </w:p>
    <w:p w:rsidR="00640CA7" w:rsidRPr="00640CA7" w:rsidRDefault="00640CA7" w:rsidP="00640CA7">
      <w:pPr>
        <w:shd w:val="clear" w:color="auto" w:fill="F4F7FC"/>
        <w:spacing w:after="0" w:line="420" w:lineRule="atLeast"/>
        <w:textAlignment w:val="top"/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828489"/>
          <w:sz w:val="21"/>
          <w:szCs w:val="21"/>
          <w:lang w:eastAsia="ru-RU"/>
        </w:rPr>
        <w:t>КАТЕГОРИЯ</w:t>
      </w:r>
    </w:p>
    <w:p w:rsidR="00640CA7" w:rsidRPr="00640CA7" w:rsidRDefault="00640CA7" w:rsidP="00640CA7">
      <w:pPr>
        <w:shd w:val="clear" w:color="auto" w:fill="F4F7FC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640CA7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ОБУЧЕНИЕ</w:t>
        </w:r>
      </w:hyperlink>
      <w:hyperlink r:id="rId7" w:history="1">
        <w:r w:rsidRPr="00640CA7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ПРОЦЕССЫ И МЕТОДОЛОГИИ</w:t>
        </w:r>
      </w:hyperlink>
      <w:hyperlink r:id="rId8" w:history="1">
        <w:r w:rsidRPr="00640CA7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РУЧНОЕ ТЕСТИРОВАНИЕ</w:t>
        </w:r>
      </w:hyperlink>
      <w:hyperlink r:id="rId9" w:history="1">
        <w:r w:rsidRPr="00640CA7">
          <w:rPr>
            <w:rFonts w:ascii="Arial" w:eastAsia="Times New Roman" w:hAnsi="Arial" w:cs="Arial"/>
            <w:color w:val="0000FF"/>
            <w:sz w:val="21"/>
            <w:szCs w:val="21"/>
            <w:lang w:eastAsia="ru-RU"/>
          </w:rPr>
          <w:t>СОБЕСЕДОВАНИЕ</w:t>
        </w:r>
      </w:hyperlink>
    </w:p>
    <w:bookmarkStart w:id="0" w:name="_GoBack"/>
    <w:bookmarkEnd w:id="0"/>
    <w:p w:rsidR="00640CA7" w:rsidRPr="00640CA7" w:rsidRDefault="00640CA7" w:rsidP="00640CA7">
      <w:pPr>
        <w:shd w:val="clear" w:color="auto" w:fill="F4F7FC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begin"/>
      </w: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instrText xml:space="preserve"> HYPERLINK "https://testengineer.ru/wp-content/uploads/2023/03/%D1%82%D0%B5%D1%81%D1%82-%D1%81%D1%8C%D1%8E%D1%82-min.png" </w:instrText>
      </w: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separate"/>
      </w:r>
      <w:r w:rsidRPr="00640CA7">
        <w:rPr>
          <w:rFonts w:ascii="Verdana" w:eastAsia="Times New Roman" w:hAnsi="Verdana" w:cs="Times New Roman"/>
          <w:noProof/>
          <w:color w:val="EA6A56"/>
          <w:sz w:val="21"/>
          <w:szCs w:val="21"/>
          <w:lang w:eastAsia="ru-RU"/>
        </w:rPr>
        <w:drawing>
          <wp:inline distT="0" distB="0" distL="0" distR="0" wp14:anchorId="7F4AD4FD" wp14:editId="7D2954E8">
            <wp:extent cx="6629400" cy="4695825"/>
            <wp:effectExtent l="0" t="0" r="0" b="9525"/>
            <wp:docPr id="1" name="Рисунок 1" descr="Тест-план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ест-план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CA7">
        <w:rPr>
          <w:rFonts w:ascii="Verdana" w:eastAsia="Times New Roman" w:hAnsi="Verdana" w:cs="Times New Roman"/>
          <w:color w:val="EA6A56"/>
          <w:sz w:val="21"/>
          <w:szCs w:val="21"/>
          <w:lang w:eastAsia="ru-RU"/>
        </w:rPr>
        <w:t>Тест-план</w:t>
      </w: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fldChar w:fldCharType="end"/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Согласно </w:t>
      </w:r>
      <w:proofErr w:type="gram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стандарту</w:t>
      </w:r>
      <w:proofErr w:type="gram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IEEE 829, тест план должен состоять из 19 пунктов:</w:t>
      </w:r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2" w:anchor="1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Идентификатор тест плана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3" w:anchor="2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Ссылки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4" w:anchor="3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Введение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5" w:anchor="4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Объекты тестирования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6" w:anchor="5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Проблемы и риски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7" w:anchor="6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Функции, которые нужно протестировать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8" w:anchor="7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Функции, которые НЕ нужно тестировать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19" w:anchor="8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Подходы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0" w:anchor="9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Критерии прохождения тестов для объектов тестирования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1" w:anchor="10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Критерии остановки и требования для возобновления тестирования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2" w:anchor="11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Результаты тестирования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3" w:anchor="12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Оставшиеся задачи тестирования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4" w:anchor="13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Требования среды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5" w:anchor="14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Требования по части кадров и их обучения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6" w:anchor="15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Распределение обязанностей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7" w:anchor="16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Расписание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8" w:anchor="17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Планирование рисков и непредвиденных обстоятельств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29" w:anchor="18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Утверждение</w:t>
        </w:r>
      </w:hyperlink>
    </w:p>
    <w:p w:rsidR="00640CA7" w:rsidRPr="00640CA7" w:rsidRDefault="00640CA7" w:rsidP="00640CA7">
      <w:pPr>
        <w:numPr>
          <w:ilvl w:val="0"/>
          <w:numId w:val="1"/>
        </w:numPr>
        <w:shd w:val="clear" w:color="auto" w:fill="F4F7FC"/>
        <w:spacing w:before="100" w:beforeAutospacing="1" w:after="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hyperlink r:id="rId30" w:anchor="19" w:history="1">
        <w:r w:rsidRPr="00640CA7">
          <w:rPr>
            <w:rFonts w:ascii="Verdana" w:eastAsia="Times New Roman" w:hAnsi="Verdana" w:cs="Times New Roman"/>
            <w:color w:val="EA6A56"/>
            <w:sz w:val="21"/>
            <w:szCs w:val="21"/>
            <w:lang w:eastAsia="ru-RU"/>
          </w:rPr>
          <w:t>Глоссарий</w:t>
        </w:r>
      </w:hyperlink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Хорошо написанная документация — залог эффективного тестирования. Она структурирует тестирование и привносит в него определенную логику. В некотором смысле документация объединяет членов команды вокруг поставленной цели, обеспечивая четкое понимание иерархии, задач и ожидаемых результатов.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Одна из важных частей документации — тест план.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этой статье мы рассмотрим: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что из себя представляет тест план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чем он отличается от стратегии тестирования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какова его роль в проекте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какие виды тест планов бывают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зачем команде нужен тест план</w:t>
      </w:r>
    </w:p>
    <w:p w:rsidR="00640CA7" w:rsidRPr="00640CA7" w:rsidRDefault="00640CA7" w:rsidP="00640CA7">
      <w:pPr>
        <w:numPr>
          <w:ilvl w:val="0"/>
          <w:numId w:val="2"/>
        </w:numPr>
        <w:shd w:val="clear" w:color="auto" w:fill="F4F7FC"/>
        <w:spacing w:before="100" w:beforeAutospacing="1" w:after="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и, самое главное, как его составить.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Прежде чем приступить к определениям и объяснениям, мы хотели бы объяснить еще один важный термин из сферы QA — </w:t>
      </w:r>
      <w:r w:rsidRPr="00640CA7">
        <w:rPr>
          <w:rFonts w:ascii="Verdana" w:eastAsia="Times New Roman" w:hAnsi="Verdana" w:cs="Times New Roman"/>
          <w:i/>
          <w:iCs/>
          <w:color w:val="444444"/>
          <w:sz w:val="21"/>
          <w:szCs w:val="21"/>
          <w:lang w:eastAsia="ru-RU"/>
        </w:rPr>
        <w:t>артефакт тестирования</w:t>
      </w: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 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Артефакты тестирования — побочные продукты, генерируемые </w:t>
      </w:r>
      <w:proofErr w:type="gram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процесса</w:t>
      </w:r>
      <w:proofErr w:type="gram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тестирования ПО и использующиеся совместно с командой проекта. Проще говоря, это документы, которые помогают наладить коммуникацию между всеми участниками проекта. 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 теперь давайте перейдем непосредственно к тест плану.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lastRenderedPageBreak/>
        <w:t>Что такое тест план?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 план — это артефакт тестирования, описывающий действия, которые будут происходить в процессе тестирования — от разработки стратегии до критериев поиска ошибок. Он также описывает логику завершения задач и оценку рисков со сценариями их разрешения.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Структура тест плана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 план имеет четкую структуру, установленную IEEE 829 — отраслевым стандартом для документации тестирования программ и систем. Это значит, что вы можете подготовить шаблон и использовать его для любого проекта, заполняя конкретными данными.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Создание тест плана в соответствии со стандартом IEEE 829 дает много преимуществ. Прежде всего, когда структура документа всем известна, такой документ и составлять легче, и пользоваться им проще. Стандарт IEEE 829 устраняет любые бесполезные дебаты относительно того, что включать в тест план и в каком порядке. Вместо этого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тестировщики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могут сосредоточиться на других, более важных вещах.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1. Идентификатор тест плана 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этом разделе мы указываем название и логотип компании, проводящей тестирование, название документа, его версию и год создания. Это титульная страница вашего тест плана.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2. Ссылки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Дальше идет история документа. Добавьте таблицу изменений со следующими столбцами:</w:t>
      </w:r>
    </w:p>
    <w:p w:rsidR="00640CA7" w:rsidRPr="00640CA7" w:rsidRDefault="00640CA7" w:rsidP="00640CA7">
      <w:pPr>
        <w:numPr>
          <w:ilvl w:val="0"/>
          <w:numId w:val="3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дата</w:t>
      </w:r>
    </w:p>
    <w:p w:rsidR="00640CA7" w:rsidRPr="00640CA7" w:rsidRDefault="00640CA7" w:rsidP="00640CA7">
      <w:pPr>
        <w:numPr>
          <w:ilvl w:val="0"/>
          <w:numId w:val="3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версия</w:t>
      </w:r>
    </w:p>
    <w:p w:rsidR="00640CA7" w:rsidRPr="00640CA7" w:rsidRDefault="00640CA7" w:rsidP="00640CA7">
      <w:pPr>
        <w:numPr>
          <w:ilvl w:val="0"/>
          <w:numId w:val="3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описание</w:t>
      </w:r>
    </w:p>
    <w:p w:rsidR="00640CA7" w:rsidRPr="00640CA7" w:rsidRDefault="00640CA7" w:rsidP="00640CA7">
      <w:pPr>
        <w:numPr>
          <w:ilvl w:val="0"/>
          <w:numId w:val="3"/>
        </w:numPr>
        <w:shd w:val="clear" w:color="auto" w:fill="F4F7FC"/>
        <w:spacing w:before="100" w:beforeAutospacing="1" w:after="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автор.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 помощью этой таблицы команда сможет эффективно фиксировать и отслеживать изменения в документе и процессе, который он описывает.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3. Введение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Здесь мы кратко обозначаем, что собираемся делать. Введение — это пояснительная записка для клиента. В паре предложений опишите, какие услуги предоставит команда QA и зачем. </w:t>
      </w:r>
      <w:proofErr w:type="gram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Например</w:t>
      </w:r>
      <w:proofErr w:type="gram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: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«Наша компания осуществляет функциональное и UI-тестирование для выявления ошибок в программном продукте до выпуска. Мы выполняем тщательное тестирование заявленных функциональных возможностей, чтобы помочь достичь заданных целей бизнеса для вашего программного продукта».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Включите все виды тестирования, которые вы согласились осуществить, но не входите в детали. На этом этапе достаточно обозначить все в общих чертах.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4. Объекты тестирования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Объекты тестирования — это общие функциональные возможности, которые будут протестированы. Например, установка программы, регистрация в системе, оформление заказа и т. д. По сути, это краткое содержание тест плана. В дальнейшем каждый из объектов будет описан отдельно. Список может быть расширен или сокращен в зависимости от задач или типа тестирования.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5. Проблемы и риски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В этом разделе мы описываем проблемы, с которыми команда может столкнуться во время тестирования. Например, если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дедлайн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установлен на летний период, разумно предположить, что люди могут уйти в отпуск, из-за чего возможны задержки. Здесь нужно упомянуть все значимые проблемы и риски: как связанные с кадрами, так и технологические аспекты.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6. Функции, которые нужно протестировать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Эта часть охватывает то, что, по мнению большинства людей, и должно быть в тест плане: подробный список функций для проверки и время, за которое они должны быть проверены.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Например, в «Объектах тестирования» мы упомянули функциональное тестирование. Тогда в функциях, которые необходимо протестировать, мы должны перечислить отдельные компоненты потока: ввод информации о доставке, выбор способа оплаты, подтверждение заказа и т. д. Что касается времени, клиент и компания, проводящая тестирование, обсуждают его до написания документации.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7. Функции, которые не нужно тестировать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Здесь вы перечисляете функции, которые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тестировщики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 каким-то причинам не будут тестировать. Неважно, почему вы не покрываете тестами эти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фичи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Просто не забудьте указать, какие именно функции не охватываются тестированием и остаются в зоне ответственности клиента.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lastRenderedPageBreak/>
        <w:t>8. Подходы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Затем мы описываем методы и виды тестирования, которые будем применять. В этот раздел также включаются тест-кейсы. Благодаря этому клиент может получить полную картину действий по тестированию.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9. Критерии прохождения тестов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Каждый тест-кейс будет обозначен как «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Pass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» (пройден) или «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Fail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» (провален) в зависимости от двух критериев:</w:t>
      </w:r>
    </w:p>
    <w:p w:rsidR="00640CA7" w:rsidRPr="00640CA7" w:rsidRDefault="00640CA7" w:rsidP="00640CA7">
      <w:pPr>
        <w:numPr>
          <w:ilvl w:val="0"/>
          <w:numId w:val="4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Наличие и серьезность багов</w:t>
      </w:r>
    </w:p>
    <w:p w:rsidR="00640CA7" w:rsidRPr="00640CA7" w:rsidRDefault="00640CA7" w:rsidP="00640CA7">
      <w:pPr>
        <w:numPr>
          <w:ilvl w:val="0"/>
          <w:numId w:val="4"/>
        </w:numPr>
        <w:shd w:val="clear" w:color="auto" w:fill="F4F7FC"/>
        <w:spacing w:before="100" w:beforeAutospacing="1" w:after="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Уровень успешно выполненных требований.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И не забудьте определить критерии начала и окончания тестирования. 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Критерии начала — то, что должно быть и что нужно сделать до начала тестирования. Например, вам могут понадобиться:</w:t>
      </w:r>
    </w:p>
    <w:p w:rsidR="00640CA7" w:rsidRPr="00640CA7" w:rsidRDefault="00640CA7" w:rsidP="00640CA7">
      <w:pPr>
        <w:numPr>
          <w:ilvl w:val="0"/>
          <w:numId w:val="5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законченная справочная документация</w:t>
      </w:r>
    </w:p>
    <w:p w:rsidR="00640CA7" w:rsidRPr="00640CA7" w:rsidRDefault="00640CA7" w:rsidP="00640CA7">
      <w:pPr>
        <w:numPr>
          <w:ilvl w:val="0"/>
          <w:numId w:val="5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программный продукт в том виде, в котором его будут получать клиенты</w:t>
      </w:r>
    </w:p>
    <w:p w:rsidR="00640CA7" w:rsidRPr="00640CA7" w:rsidRDefault="00640CA7" w:rsidP="00640CA7">
      <w:pPr>
        <w:numPr>
          <w:ilvl w:val="0"/>
          <w:numId w:val="5"/>
        </w:numPr>
        <w:shd w:val="clear" w:color="auto" w:fill="F4F7FC"/>
        <w:spacing w:before="100" w:beforeAutospacing="1" w:after="15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специальные программные утилиты, конфигурационные файлы или данные</w:t>
      </w:r>
    </w:p>
    <w:p w:rsidR="00640CA7" w:rsidRPr="00640CA7" w:rsidRDefault="00640CA7" w:rsidP="00640CA7">
      <w:pPr>
        <w:numPr>
          <w:ilvl w:val="0"/>
          <w:numId w:val="5"/>
        </w:numPr>
        <w:shd w:val="clear" w:color="auto" w:fill="F4F7FC"/>
        <w:spacing w:before="100" w:beforeAutospacing="1" w:after="0" w:line="240" w:lineRule="auto"/>
        <w:ind w:left="-285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требования к продукту и прочая документация и т.д.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Критерии начала тестирования служат для определения готовности или неготовности к тестированию. Будет полезно составить список того, что будет использоваться в качестве входных данных, и запросить материалы, необходимые для выполнения тестов.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Критерии окончания тестирования — это то, что вы считаете необходимым для завершения процесса тестирования.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Тестировщики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часто стараются сделать критерии окончания тестирования условием для поставки ПО, но это не реально. Это решение принимает собственник продукта (или другое ответственное лицо).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Пример критериев окончания тестирования: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«Все запланированные тесты проведены, все исправленные баги отмечены, сделаны уведомления обо всех новых обнаруженных багах. Все точки отказа (например, провал определенного набора тестов из-за неисправности железа) задокументированы».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10. Критерии остановки и требования для возобновления тестирования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Критерии остановки/возобновления описывают ситуацию, когда тестирование невозможно продолжать из-за найденных багов. Другими словами, если дела идут </w:t>
      </w: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так плохо, что запланированные тесты нельзя провести, тестирование нужно остановить до устранения блокирующих багов.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11. Результаты тестирования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Чтобы засвидетельствовать результаты проведенной работы, мы отправляем их клиенту. Обычно результаты тестирования оформляют при помощи различных показателей: количество завершенных тестов, найденные баги и т.д. В некотором смысле эти показатели — индикаторы качества тестирования, хотя и не должны быть единственным критерием для оценки проделанной работы.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12. Оставшиеся задачи тестирования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Жизненный </w:t>
      </w:r>
      <w:proofErr w:type="gram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цикл  ПО</w:t>
      </w:r>
      <w:proofErr w:type="gram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может быть непредсказуемым.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разделе можно описать масштаб необходимой работы на случай, если все задачи будут закрыты до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дедлайна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13. Требования среды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целом, в этом разделе описывается, что нужно для тестирования по части аппаратного обеспечения. Здесь мы перечисляем и инструменты, используемые для тестирования. 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При необходимости вы можете описать какое-то особое оборудование и его функционал. Например, если в связи со спецификой проекта вам потребуется использовать комплект VR или какие-то специфические устройства, которые нужно приобрести.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14. Требования по части кадров и их обучения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Если мы получим задачу тестирования ПО для ядерных реакторов, вполне вероятно, что команда не будет полностью понимать специфику. Это, конечно, преувеличение. Но если команда должна протестировать проект из сферы, с которой они не знакомы, имеет смысл провести лекцию или краткий обучающий курс от экспертов. Это поможет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тестировщикам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понять особенности проекта и сделает их работу более эффективной.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15. Обязанности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В этом разделе описываются сферы ответственности каждого члена команды QA. Удобно составить таблицу с тремя столбцами — имя, должность и обязанности.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16. Расписание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Тест план должен также включать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дедлайны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. Команде нужно как-то оценивать скорость работы. Для этого им нужно знать, сколько времени отводится на тестирование. Если есть несколько этапов тестирования, нужно расписать их порядок и сроки.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17. Планирование рисков и непредвиденных обстоятельств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Этот раздел перекликается с п. 5 «Проблемы и риски». Здесь, в дополнение к перечню рисков, мы предоставляем разъяснения о том, как справиться с этими рисками, и что делать в случае форс-мажорных обстоятельств.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18. Утверждение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Каждый тест план должен содержать информацию о том, кто его составлял (имя, должность), и о том, кто его должен одобрить и дать команде зеленый свет на его использование.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19. Глоссарий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этом разделе вы можете пояснить основные термины, используемые при написании тест плана. Глоссарий помогает предотвратить неправильное толкование используемой терминологии.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Виды тест планов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Несмотря на стандартную структуру, существует несколько типов тестовых планов. Они отличаются особенностями описанных задач и объемом работ. QA-команды, как правило, используют следующую классификацию: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Тест планы по уровням — планы модульного, интеграционного, системного, приемочного тестирования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Тест планы по типам — планы функционального тестирования, тестирования производительности или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юзабилити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, план автоматизированного тестирования и т.д.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lastRenderedPageBreak/>
        <w:t>Мастер тест план — это комплексный план тестирования. Включает высокоуровневую информацию, которая не часто меняется в ходе тестирования и требования к которой не часто пересматриваются.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По сравнению с простым тест планом мастер тест план более статичен. Это ключевое различие. Как правило, команда проекта использует один мастер тест план и несколько более подробных тест планов для разных уровней или типов тестирования, в которых описываются отдельные модули одного приложения.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Вы можете создать тест план любого типа без использования каких-то особых инструментов. Вам может повстречаться выражение «Инструменты управления тест планами», но это неточная формулировка. Тест план — это документ, и единственный инструмент, который вам нужен для управления им, это текстовый редактор. Обычно речь идет об </w:t>
      </w:r>
      <w:proofErr w:type="gram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инструментах  управления</w:t>
      </w:r>
      <w:proofErr w:type="gram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тестированием, таких как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TestRail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TestPad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Qmetry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, </w:t>
      </w:r>
      <w:proofErr w:type="spellStart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KualItee</w:t>
      </w:r>
      <w:proofErr w:type="spellEnd"/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 xml:space="preserve"> и т. д. 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Тест план и стратегия тестирования — в чем разница?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Многие считают, что разграничить тест план и стратегию тестирования сложно. Тем не менее, это два разных документа. Тест план более подробный и охватывает больше аспектов, чем стратегия тестирования. Последняя часто используется на организационном уровне и редко меняется. Между тем тест план более динамичен и используется на уровне проекта. Стратегия обычно является частью плана.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Существует также QA-стратегия, которая выходит за пределы тестирования и охватывает другие виды деятельности и методологии обеспечения качества. </w:t>
      </w:r>
    </w:p>
    <w:p w:rsidR="00640CA7" w:rsidRPr="00640CA7" w:rsidRDefault="00640CA7" w:rsidP="00640CA7">
      <w:pPr>
        <w:shd w:val="clear" w:color="auto" w:fill="F4F7FC"/>
        <w:spacing w:before="450" w:after="300" w:line="570" w:lineRule="atLeast"/>
        <w:textAlignment w:val="baseline"/>
        <w:outlineLvl w:val="1"/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</w:pPr>
      <w:r w:rsidRPr="00640CA7">
        <w:rPr>
          <w:rFonts w:ascii="Verdana" w:eastAsia="Times New Roman" w:hAnsi="Verdana" w:cs="Times New Roman"/>
          <w:b/>
          <w:bCs/>
          <w:color w:val="111111"/>
          <w:sz w:val="41"/>
          <w:szCs w:val="41"/>
          <w:lang w:eastAsia="ru-RU"/>
        </w:rPr>
        <w:t>Итоги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Как видите, тест план — объемный, часто сложный в написании, но очень важный артефакт тестирования. Он хорошо структурирует процесс тестирования, предотвращая много стрессовых ситуаций и недоразумений. Более того, тест план помогает всем членам команды быть в курсе происходящего, поскольку все заинтересованные стороны имеют к нему доступ.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Написание тест плана требует сильных аналитических навыков, внимания к деталям, а также способности продумывать действия на несколько шагов вперед. Но результат стоит свеч.</w:t>
      </w:r>
    </w:p>
    <w:p w:rsidR="00640CA7" w:rsidRPr="00640CA7" w:rsidRDefault="00640CA7" w:rsidP="00640CA7">
      <w:pPr>
        <w:shd w:val="clear" w:color="auto" w:fill="F4F7FC"/>
        <w:spacing w:after="39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640CA7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В общем, даже если написание документации кажется менее интересным, чем тестирование, только вместе они делают процесс QA эффективным.</w:t>
      </w:r>
    </w:p>
    <w:p w:rsidR="00093E99" w:rsidRDefault="00093E99"/>
    <w:sectPr w:rsidR="0009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C89"/>
    <w:multiLevelType w:val="multilevel"/>
    <w:tmpl w:val="A18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0336"/>
    <w:multiLevelType w:val="multilevel"/>
    <w:tmpl w:val="B59C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B480B"/>
    <w:multiLevelType w:val="multilevel"/>
    <w:tmpl w:val="2794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16A64"/>
    <w:multiLevelType w:val="multilevel"/>
    <w:tmpl w:val="775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76751"/>
    <w:multiLevelType w:val="multilevel"/>
    <w:tmpl w:val="DCA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7"/>
    <w:rsid w:val="00093E99"/>
    <w:rsid w:val="00640CA7"/>
    <w:rsid w:val="0095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3BAE"/>
  <w15:chartTrackingRefBased/>
  <w15:docId w15:val="{B6281687-9F0B-4BD1-A8C8-A1A715CF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53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783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5633">
          <w:marLeft w:val="-210"/>
          <w:marRight w:val="-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283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0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38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16378">
          <w:marLeft w:val="-600"/>
          <w:marRight w:val="-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7341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7131">
                              <w:marLeft w:val="-45"/>
                              <w:marRight w:val="-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7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engineer.ru/category/obuchenie-testirovanie/manual-testing/" TargetMode="External"/><Relationship Id="rId13" Type="http://schemas.openxmlformats.org/officeDocument/2006/relationships/hyperlink" Target="https://testengineer.ru/chto-takoe-test-plan-i-kak-ego-napisat/" TargetMode="External"/><Relationship Id="rId18" Type="http://schemas.openxmlformats.org/officeDocument/2006/relationships/hyperlink" Target="https://testengineer.ru/chto-takoe-test-plan-i-kak-ego-napisat/" TargetMode="External"/><Relationship Id="rId26" Type="http://schemas.openxmlformats.org/officeDocument/2006/relationships/hyperlink" Target="https://testengineer.ru/chto-takoe-test-plan-i-kak-ego-napisa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engineer.ru/chto-takoe-test-plan-i-kak-ego-napisat/" TargetMode="External"/><Relationship Id="rId7" Type="http://schemas.openxmlformats.org/officeDocument/2006/relationships/hyperlink" Target="https://testengineer.ru/category/obuchenie-testirovanie/methodologies/" TargetMode="External"/><Relationship Id="rId12" Type="http://schemas.openxmlformats.org/officeDocument/2006/relationships/hyperlink" Target="https://testengineer.ru/chto-takoe-test-plan-i-kak-ego-napisat/" TargetMode="External"/><Relationship Id="rId17" Type="http://schemas.openxmlformats.org/officeDocument/2006/relationships/hyperlink" Target="https://testengineer.ru/chto-takoe-test-plan-i-kak-ego-napisat/" TargetMode="External"/><Relationship Id="rId25" Type="http://schemas.openxmlformats.org/officeDocument/2006/relationships/hyperlink" Target="https://testengineer.ru/chto-takoe-test-plan-i-kak-ego-napis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engineer.ru/chto-takoe-test-plan-i-kak-ego-napisat/" TargetMode="External"/><Relationship Id="rId20" Type="http://schemas.openxmlformats.org/officeDocument/2006/relationships/hyperlink" Target="https://testengineer.ru/chto-takoe-test-plan-i-kak-ego-napisat/" TargetMode="External"/><Relationship Id="rId29" Type="http://schemas.openxmlformats.org/officeDocument/2006/relationships/hyperlink" Target="https://testengineer.ru/chto-takoe-test-plan-i-kak-ego-napisa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engineer.ru/category/obuchenie-testirovanie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testengineer.ru/chto-takoe-test-plan-i-kak-ego-napisa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estengineer.ru/author/katya-zhogal/" TargetMode="External"/><Relationship Id="rId15" Type="http://schemas.openxmlformats.org/officeDocument/2006/relationships/hyperlink" Target="https://testengineer.ru/chto-takoe-test-plan-i-kak-ego-napisat/" TargetMode="External"/><Relationship Id="rId23" Type="http://schemas.openxmlformats.org/officeDocument/2006/relationships/hyperlink" Target="https://testengineer.ru/chto-takoe-test-plan-i-kak-ego-napisat/" TargetMode="External"/><Relationship Id="rId28" Type="http://schemas.openxmlformats.org/officeDocument/2006/relationships/hyperlink" Target="https://testengineer.ru/chto-takoe-test-plan-i-kak-ego-napisat/" TargetMode="External"/><Relationship Id="rId10" Type="http://schemas.openxmlformats.org/officeDocument/2006/relationships/hyperlink" Target="https://testengineer.ru/wp-content/uploads/2023/03/%D1%82%D0%B5%D1%81%D1%82-%D1%81%D1%8C%D1%8E%D1%82-min.png" TargetMode="External"/><Relationship Id="rId19" Type="http://schemas.openxmlformats.org/officeDocument/2006/relationships/hyperlink" Target="https://testengineer.ru/chto-takoe-test-plan-i-kak-ego-napisat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engineer.ru/category/sobesedovanie/" TargetMode="External"/><Relationship Id="rId14" Type="http://schemas.openxmlformats.org/officeDocument/2006/relationships/hyperlink" Target="https://testengineer.ru/chto-takoe-test-plan-i-kak-ego-napisat/" TargetMode="External"/><Relationship Id="rId22" Type="http://schemas.openxmlformats.org/officeDocument/2006/relationships/hyperlink" Target="https://testengineer.ru/chto-takoe-test-plan-i-kak-ego-napisat/" TargetMode="External"/><Relationship Id="rId27" Type="http://schemas.openxmlformats.org/officeDocument/2006/relationships/hyperlink" Target="https://testengineer.ru/chto-takoe-test-plan-i-kak-ego-napisat/" TargetMode="External"/><Relationship Id="rId30" Type="http://schemas.openxmlformats.org/officeDocument/2006/relationships/hyperlink" Target="https://testengineer.ru/chto-takoe-test-plan-i-kak-ego-napis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Яматина</dc:creator>
  <cp:keywords/>
  <dc:description/>
  <cp:lastModifiedBy>Татьяна Яматина</cp:lastModifiedBy>
  <cp:revision>2</cp:revision>
  <dcterms:created xsi:type="dcterms:W3CDTF">2023-08-16T13:51:00Z</dcterms:created>
  <dcterms:modified xsi:type="dcterms:W3CDTF">2023-08-16T13:52:00Z</dcterms:modified>
</cp:coreProperties>
</file>