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2304A"/>
          <w:sz w:val="48"/>
        </w:rPr>
        <w:t>PRÉSENTATION DE L’ENTREPRISE</w:t>
      </w:r>
    </w:p>
    <w:p>
      <w:pPr>
        <w:jc w:val="center"/>
      </w:pPr>
      <w:r>
        <w:rPr>
          <w:b/>
          <w:color w:val="007C91"/>
          <w:sz w:val="60"/>
        </w:rPr>
        <w:t>ECO EBURNIE</w:t>
      </w:r>
    </w:p>
    <w:p>
      <w:pPr>
        <w:spacing w:before="300"/>
        <w:jc w:val="center"/>
      </w:pPr>
      <w:r>
        <w:rPr>
          <w:b/>
        </w:rPr>
        <w:t>Secteur : gestion des déchets et propreté urbaine</w:t>
        <w:br/>
      </w:r>
      <w:r>
        <w:t>Projet d’Atelier de Génie Logiciel — Licence 3</w:t>
        <w:br/>
      </w:r>
      <w:r>
        <w:t>Institut Ivoirien de Technologie (IIT)</w:t>
      </w:r>
    </w:p>
    <w:p>
      <w:pPr>
        <w:spacing w:before="700"/>
        <w:jc w:val="center"/>
      </w:pPr>
      <w:r>
        <w:rPr>
          <w:i/>
          <w:color w:val="64748B"/>
        </w:rPr>
        <w:t>Dossier de présentation</w:t>
      </w:r>
    </w:p>
    <w:p>
      <w:r>
        <w:br w:type="page"/>
      </w:r>
    </w:p>
    <w:p>
      <w:pPr>
        <w:pStyle w:val="Heading1"/>
      </w:pPr>
      <w:r>
        <w:t>1. Identification générale</w:t>
      </w:r>
    </w:p>
    <w:p>
      <w:r>
        <w:t>ECO EBURNIE est une entreprise opérant dans le secteur de la gestion des déchets solides ménagers et assimilés et de la propreté urbaine en Côte d’Ivoire. Les informations publiques la présentent comme une filiale du groupe portugais MOTA-ENGIL.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2304A"/>
          </w:tcPr>
          <w:p>
            <w:pPr>
              <w:spacing w:after="20"/>
            </w:pPr>
            <w:r/>
            <w:r>
              <w:rPr>
                <w:rFonts w:ascii="Aptos" w:hAnsi="Aptos"/>
                <w:b/>
                <w:color w:val="FFFFFF"/>
                <w:sz w:val="17"/>
              </w:rPr>
              <w:t>Élément</w:t>
            </w:r>
          </w:p>
        </w:tc>
        <w:tc>
          <w:tcPr>
            <w:tcW w:type="dxa" w:w="4997"/>
            <w:vAlign w:val="center"/>
            <w:shd w:fill="12304A"/>
          </w:tcPr>
          <w:p>
            <w:pPr>
              <w:spacing w:after="20"/>
            </w:pPr>
            <w:r/>
            <w:r>
              <w:rPr>
                <w:rFonts w:ascii="Aptos" w:hAnsi="Aptos"/>
                <w:b/>
                <w:color w:val="FFFFFF"/>
                <w:sz w:val="17"/>
              </w:rPr>
              <w:t>Information issue des sources publiques</w:t>
            </w:r>
          </w:p>
        </w:tc>
      </w:tr>
      <w:tr>
        <w:tc>
          <w:tcPr>
            <w:tcW w:type="dxa" w:w="4997"/>
            <w:vAlign w:val="center"/>
          </w:tcPr>
          <w:p>
            <w:pPr>
              <w:spacing w:after="20"/>
            </w:pPr>
            <w:r/>
            <w:r>
              <w:rPr>
                <w:rFonts w:ascii="Aptos" w:hAnsi="Aptos"/>
                <w:b/>
                <w:sz w:val="17"/>
              </w:rPr>
              <w:t>Dénomination</w:t>
            </w:r>
          </w:p>
        </w:tc>
        <w:tc>
          <w:tcPr>
            <w:tcW w:type="dxa" w:w="4997"/>
            <w:vAlign w:val="center"/>
          </w:tcPr>
          <w:p>
            <w:pPr>
              <w:spacing w:after="20"/>
            </w:pPr>
            <w:r/>
            <w:r>
              <w:rPr>
                <w:rFonts w:ascii="Aptos" w:hAnsi="Aptos"/>
                <w:b w:val="0"/>
                <w:sz w:val="17"/>
              </w:rPr>
              <w:t>ECO EBURNIE (également écrit ECO-EBURNIE ou ECO Éburnie)</w:t>
            </w:r>
          </w:p>
        </w:tc>
      </w:tr>
      <w:tr>
        <w:tc>
          <w:tcPr>
            <w:tcW w:type="dxa" w:w="4997"/>
            <w:vAlign w:val="center"/>
          </w:tcPr>
          <w:p>
            <w:pPr>
              <w:spacing w:after="20"/>
            </w:pPr>
            <w:r/>
            <w:r>
              <w:rPr>
                <w:rFonts w:ascii="Aptos" w:hAnsi="Aptos"/>
                <w:b/>
                <w:sz w:val="17"/>
              </w:rPr>
              <w:t>Secteur d’activité</w:t>
            </w:r>
          </w:p>
        </w:tc>
        <w:tc>
          <w:tcPr>
            <w:tcW w:type="dxa" w:w="4997"/>
            <w:vAlign w:val="center"/>
          </w:tcPr>
          <w:p>
            <w:pPr>
              <w:spacing w:after="20"/>
            </w:pPr>
            <w:r/>
            <w:r>
              <w:rPr>
                <w:rFonts w:ascii="Aptos" w:hAnsi="Aptos"/>
                <w:b w:val="0"/>
                <w:sz w:val="17"/>
              </w:rPr>
              <w:t>Collecte et précollecte des déchets solides ménagers et assimilés ; transport et services de propreté urbaine.</w:t>
            </w:r>
          </w:p>
        </w:tc>
      </w:tr>
      <w:tr>
        <w:tc>
          <w:tcPr>
            <w:tcW w:type="dxa" w:w="4997"/>
            <w:vAlign w:val="center"/>
          </w:tcPr>
          <w:p>
            <w:pPr>
              <w:spacing w:after="20"/>
            </w:pPr>
            <w:r/>
            <w:r>
              <w:rPr>
                <w:rFonts w:ascii="Aptos" w:hAnsi="Aptos"/>
                <w:b/>
                <w:sz w:val="17"/>
              </w:rPr>
              <w:t>Zone d’intervention connue</w:t>
            </w:r>
          </w:p>
        </w:tc>
        <w:tc>
          <w:tcPr>
            <w:tcW w:type="dxa" w:w="4997"/>
            <w:vAlign w:val="center"/>
          </w:tcPr>
          <w:p>
            <w:pPr>
              <w:spacing w:after="20"/>
            </w:pPr>
            <w:r/>
            <w:r>
              <w:rPr>
                <w:rFonts w:ascii="Aptos" w:hAnsi="Aptos"/>
                <w:b w:val="0"/>
                <w:sz w:val="17"/>
              </w:rPr>
              <w:t>Agglomération d’Abidjan, notamment les secteurs Nord-Ouest et Sud dans le cadre de la délégation de service public.</w:t>
            </w:r>
          </w:p>
        </w:tc>
      </w:tr>
      <w:tr>
        <w:tc>
          <w:tcPr>
            <w:tcW w:type="dxa" w:w="4997"/>
            <w:vAlign w:val="center"/>
          </w:tcPr>
          <w:p>
            <w:pPr>
              <w:spacing w:after="20"/>
            </w:pPr>
            <w:r/>
            <w:r>
              <w:rPr>
                <w:rFonts w:ascii="Aptos" w:hAnsi="Aptos"/>
                <w:b/>
                <w:sz w:val="17"/>
              </w:rPr>
              <w:t>Groupe de rattachement</w:t>
            </w:r>
          </w:p>
        </w:tc>
        <w:tc>
          <w:tcPr>
            <w:tcW w:type="dxa" w:w="4997"/>
            <w:vAlign w:val="center"/>
          </w:tcPr>
          <w:p>
            <w:pPr>
              <w:spacing w:after="20"/>
            </w:pPr>
            <w:r/>
            <w:r>
              <w:rPr>
                <w:rFonts w:ascii="Aptos" w:hAnsi="Aptos"/>
                <w:b w:val="0"/>
                <w:sz w:val="17"/>
              </w:rPr>
              <w:t>MOTA-ENGIL, selon les sources institutionnelles et professionnelles consultées.</w:t>
            </w:r>
          </w:p>
        </w:tc>
      </w:tr>
      <w:tr>
        <w:tc>
          <w:tcPr>
            <w:tcW w:type="dxa" w:w="4997"/>
            <w:vAlign w:val="center"/>
          </w:tcPr>
          <w:p>
            <w:pPr>
              <w:spacing w:after="20"/>
            </w:pPr>
            <w:r/>
            <w:r>
              <w:rPr>
                <w:rFonts w:ascii="Aptos" w:hAnsi="Aptos"/>
                <w:b/>
                <w:sz w:val="17"/>
              </w:rPr>
              <w:t>Site web</w:t>
            </w:r>
          </w:p>
        </w:tc>
        <w:tc>
          <w:tcPr>
            <w:tcW w:type="dxa" w:w="4997"/>
            <w:vAlign w:val="center"/>
          </w:tcPr>
          <w:p>
            <w:pPr>
              <w:spacing w:after="20"/>
            </w:pPr>
            <w:r/>
            <w:r>
              <w:rPr>
                <w:rFonts w:ascii="Aptos" w:hAnsi="Aptos"/>
                <w:b w:val="0"/>
                <w:sz w:val="17"/>
              </w:rPr>
              <w:t>https://eco-eburnie.ci/</w:t>
            </w:r>
          </w:p>
        </w:tc>
      </w:tr>
      <w:tr>
        <w:tc>
          <w:tcPr>
            <w:tcW w:type="dxa" w:w="4997"/>
            <w:vAlign w:val="center"/>
          </w:tcPr>
          <w:p>
            <w:pPr>
              <w:spacing w:after="20"/>
            </w:pPr>
            <w:r/>
            <w:r>
              <w:rPr>
                <w:rFonts w:ascii="Aptos" w:hAnsi="Aptos"/>
                <w:b/>
                <w:sz w:val="17"/>
              </w:rPr>
              <w:t>Coordonnées publiées</w:t>
            </w:r>
          </w:p>
        </w:tc>
        <w:tc>
          <w:tcPr>
            <w:tcW w:type="dxa" w:w="4997"/>
            <w:vAlign w:val="center"/>
          </w:tcPr>
          <w:p>
            <w:pPr>
              <w:spacing w:after="20"/>
            </w:pPr>
            <w:r/>
            <w:r>
              <w:rPr>
                <w:rFonts w:ascii="Aptos" w:hAnsi="Aptos"/>
                <w:b w:val="0"/>
                <w:sz w:val="17"/>
              </w:rPr>
              <w:t>Adresse de bureau répertoriée : Immeuble Orchidée, 7e étage, Danga, Cocody, Abidjan. Téléphone indiqué par un annuaire professionnel : +225 27 23 53 22 00. Les coordonnées doivent être confirmées directement auprès de l’entreprise.</w:t>
            </w:r>
          </w:p>
        </w:tc>
      </w:tr>
    </w:tbl>
    <w:p>
      <w:pPr>
        <w:pStyle w:val="Heading1"/>
      </w:pPr>
      <w:r>
        <w:t>2. Historique et positionnement</w:t>
      </w:r>
    </w:p>
    <w:p>
      <w:r>
        <w:t>Selon le site du groupe MOTA-ENGIL, les activités d’ECO EBURNIE dans la collecte des déchets et le nettoyage urbain à Abidjan ont débuté en 2017. L’entreprise intervient dans une chaîne de service public qui mobilise les collectivités, les autorités de régulation et différents opérateurs.</w:t>
      </w:r>
    </w:p>
    <w:p>
      <w:r>
        <w:t>Les sources institutionnelles indiquent que l’État ivoirien a confié à ECO EBURNIE, dans le cadre d’une délégation de service public, des missions de propreté pour les secteurs n° 2 et n° 3 de l’agglomération d’Abidjan. Les périmètres cités comprennent notamment Adjamé, Attécoubé, Yopougon, Songon, Koumassi, Marcory, Port-Bouët et Treichville. Les périmètres contractuels peuvent évoluer : cette liste décrit les informations relevées dans les sources consultées, et non une garantie de périmètre actuel.</w:t>
      </w:r>
    </w:p>
    <w:p>
      <w:pPr>
        <w:pStyle w:val="Heading1"/>
      </w:pPr>
      <w:r>
        <w:t>3. Activités principales documentées</w:t>
      </w:r>
    </w:p>
    <w:p>
      <w:pPr>
        <w:pStyle w:val="ListBullet"/>
        <w:spacing w:after="40"/>
      </w:pPr>
      <w:r>
        <w:t>Précollecte et collecte des déchets solides ménagers et assimilés.</w:t>
      </w:r>
    </w:p>
    <w:p>
      <w:pPr>
        <w:pStyle w:val="ListBullet"/>
        <w:spacing w:after="40"/>
      </w:pPr>
      <w:r>
        <w:t>Transport des déchets vers les installations ou sites de transfert et de traitement prévus dans la chaîne opérationnelle.</w:t>
      </w:r>
    </w:p>
    <w:p>
      <w:pPr>
        <w:pStyle w:val="ListBullet"/>
        <w:spacing w:after="40"/>
      </w:pPr>
      <w:r>
        <w:t>Nettoyage urbain et nettoiement des voies.</w:t>
      </w:r>
    </w:p>
    <w:p>
      <w:pPr>
        <w:pStyle w:val="ListBullet"/>
        <w:spacing w:after="40"/>
      </w:pPr>
      <w:r>
        <w:t>Balayage et curage de caniveaux, mentionnés dans un rapport public de l’entreprise.</w:t>
      </w:r>
    </w:p>
    <w:p>
      <w:pPr>
        <w:pStyle w:val="ListBullet"/>
        <w:spacing w:after="40"/>
      </w:pPr>
      <w:r>
        <w:t>Communication et sensibilisation des populations aux comportements favorables à la salubrité et au bon conditionnement des déchets.</w:t>
      </w:r>
    </w:p>
    <w:p>
      <w:pPr>
        <w:pStyle w:val="Heading1"/>
      </w:pPr>
      <w:r>
        <w:t>4. Environnement institutionnel et partenaires du secteur</w:t>
      </w:r>
    </w:p>
    <w:p>
      <w:r>
        <w:t>L’activité d’ECO EBURNIE s’inscrit dans le dispositif national de gestion des déchets. Les sources publiques mentionnent notamment le Ministère de l’Hydraulique, de l’Assainissement et de la Salubrité (MINHAS) et l’Agence Nationale de Gestion des Déchets (ANAGED). La chaîne de gestion comprend également des centres de transfert et le Centre de Valorisation et d’Enfouissement Technique (CVET) de Kossihouen.</w:t>
      </w:r>
    </w:p>
    <w:p>
      <w:r>
        <w:t>Le fonctionnement du secteur implique une coordination entre la planification des interventions, les équipes de terrain, les véhicules et équipements, les points de collecte, le transfert des déchets et le suivi des opérations. Ces éléments décrivent le contexte opérationnel général du secteur ; l’organisation interne exacte d’ECO EBURNIE devra être précisée par ses représentants.</w:t>
      </w:r>
    </w:p>
    <w:p>
      <w:pPr>
        <w:pStyle w:val="Heading1"/>
      </w:pPr>
      <w:r>
        <w:t>5. Enjeux opérationnels du secteur</w:t>
      </w:r>
    </w:p>
    <w:p>
      <w:pPr>
        <w:pStyle w:val="ListBullet"/>
        <w:spacing w:after="40"/>
      </w:pPr>
      <w:r>
        <w:t>Coordonner les interventions sur plusieurs zones et maintenir la continuité du service.</w:t>
      </w:r>
    </w:p>
    <w:p>
      <w:pPr>
        <w:pStyle w:val="ListBullet"/>
        <w:spacing w:after="40"/>
      </w:pPr>
      <w:r>
        <w:t>Affecter les ressources humaines, les véhicules et les équipements aux opérations.</w:t>
      </w:r>
    </w:p>
    <w:p>
      <w:pPr>
        <w:pStyle w:val="ListBullet"/>
        <w:spacing w:after="40"/>
      </w:pPr>
      <w:r>
        <w:t>Disposer d’informations fiables sur l’état d’avancement des interventions.</w:t>
      </w:r>
    </w:p>
    <w:p>
      <w:pPr>
        <w:pStyle w:val="ListBullet"/>
        <w:spacing w:after="40"/>
      </w:pPr>
      <w:r>
        <w:t>Tracer les opérations réalisées et faciliter la production de comptes rendus.</w:t>
      </w:r>
    </w:p>
    <w:p>
      <w:pPr>
        <w:pStyle w:val="ListBullet"/>
        <w:spacing w:after="40"/>
      </w:pPr>
      <w:r>
        <w:t>Améliorer la circulation de l’information entre les responsables et les équipes concernées.</w:t>
      </w:r>
    </w:p>
    <w:p>
      <w:pPr>
        <w:pStyle w:val="ListBullet"/>
        <w:spacing w:after="40"/>
      </w:pPr>
      <w:r>
        <w:t>Sensibiliser les populations aux pratiques de gestion des déchets et de salubrité.</w:t>
      </w:r>
    </w:p>
    <w:p>
      <w:r>
        <w:t>Ces enjeux sont généraux au secteur. Ils ne signifient pas qu’ECO EBURNIE rencontre nécessairement chacune de ces difficultés.</w:t>
      </w:r>
    </w:p>
    <w:p>
      <w:pPr>
        <w:pStyle w:val="Heading1"/>
      </w:pPr>
      <w:r>
        <w:t>6. Intérêt du partenariat dans le cadre du projet universitaire</w:t>
      </w:r>
    </w:p>
    <w:p>
      <w:r>
        <w:t>La collaboration envisagée avec ECO EBURNIE permettrait de confronter les méthodes d’analyse et de conception logicielle à un contexte professionnel réel. L’objectif est d’identifier, avec les responsables concernés, un besoin opérationnel précis et de proposer une solution informatique proportionnée au périmètre d’un projet de Licence 3.</w:t>
      </w:r>
    </w:p>
    <w:p>
      <w:pPr>
        <w:pStyle w:val="ListBullet"/>
        <w:spacing w:after="40"/>
      </w:pPr>
      <w:r>
        <w:t>Comprendre un processus métier réel au moyen d’un entretien et, si possible, d’une observation autorisée.</w:t>
      </w:r>
    </w:p>
    <w:p>
      <w:pPr>
        <w:pStyle w:val="ListBullet"/>
        <w:spacing w:after="40"/>
      </w:pPr>
      <w:r>
        <w:t>Définir des besoins fonctionnels et non fonctionnels en collaboration avec les utilisateurs concernés.</w:t>
      </w:r>
    </w:p>
    <w:p>
      <w:pPr>
        <w:pStyle w:val="ListBullet"/>
        <w:spacing w:after="40"/>
      </w:pPr>
      <w:r>
        <w:t>Concevoir un modèle de données, des maquettes et un prototype testable.</w:t>
      </w:r>
    </w:p>
    <w:p>
      <w:pPr>
        <w:pStyle w:val="ListBullet"/>
        <w:spacing w:after="40"/>
      </w:pPr>
      <w:r>
        <w:t>Évaluer la pertinence de la solution à partir de scénarios et de critères convenus.</w:t>
      </w:r>
    </w:p>
    <w:p>
      <w:pPr>
        <w:pStyle w:val="Heading1"/>
      </w:pPr>
      <w:r>
        <w:t>7. Synthèse</w:t>
      </w:r>
    </w:p>
    <w:p>
      <w:r>
        <w:t>ECO EBURNIE est un acteur du secteur de la collecte des déchets et de la propreté urbaine à Abidjan. La diversité des opérations de ce secteur rend pertinent l’examen de pistes d’amélioration numérique, notamment en matière de planification, d’affectation des ressources, de suivi des interventions et de reporting. Le choix final du problème à traiter devra toutefois découler des échanges avec l’entreprise et de ses priorités effectives.</w:t>
      </w:r>
    </w:p>
    <w:p>
      <w:pPr>
        <w:pStyle w:val="Heading1"/>
      </w:pPr>
      <w:r>
        <w:t>8. Sources documentaires</w:t>
      </w:r>
    </w:p>
    <w:p>
      <w:pPr>
        <w:pStyle w:val="ListBullet"/>
        <w:spacing w:after="40"/>
      </w:pPr>
      <w:r>
        <w:t>Site officiel de l’entreprise — https://eco-eburnie.ci/</w:t>
      </w:r>
    </w:p>
    <w:p>
      <w:pPr>
        <w:pStyle w:val="ListBullet"/>
        <w:spacing w:after="40"/>
      </w:pPr>
      <w:r>
        <w:t>Groupe MOTA-ENGIL — présence en Côte d’Ivoire et ECO EBURNIE — https://www.mota-engil.com/fr/region/costa-do-marfim-fr/</w:t>
      </w:r>
    </w:p>
    <w:p>
      <w:pPr>
        <w:pStyle w:val="ListBullet"/>
        <w:spacing w:after="40"/>
      </w:pPr>
      <w:r>
        <w:t>Ministère de l’Hydraulique, de l’Assainissement et de la Salubrité — suivi des contrats de partenariat public-privé, 19 septembre 2024 — https://salubrite.gouv.ci/actualites/salubrite-mise-en-place-du-comite-de-suivi-des-contrats-de-partenariat-public-prive-le-minhas-met-en-place-un-comite-pour-la-gestion-des-dechets-2/</w:t>
      </w:r>
    </w:p>
    <w:p>
      <w:pPr>
        <w:pStyle w:val="ListBullet"/>
        <w:spacing w:after="40"/>
      </w:pPr>
      <w:r>
        <w:t>Rapport mensuel ECO EBURNIE — février 2020 (document PDF) — https://eco-eburnie.ci/wp-content/uploads/2020/08/Synth%C3%A8se-Rapport_Mensuel_F%C3%A9vrier-2020.pdf</w:t>
      </w:r>
    </w:p>
    <w:p>
      <w:pPr>
        <w:pStyle w:val="ListBullet"/>
        <w:spacing w:after="40"/>
      </w:pPr>
      <w:r>
        <w:t>Go Africa Online — fiche professionnelle ECO EBURNIE — https://www.goafricaonline.com/ci/557254-eco-eburnie-nettoyage-entretien-abidjan-cote-ivoire</w:t>
      </w:r>
    </w:p>
    <w:p>
      <w:pPr>
        <w:pStyle w:val="ListBullet"/>
        <w:spacing w:after="40"/>
      </w:pPr>
      <w:r>
        <w:t>Ministère du Tourisme — présentation des opérateurs de la filière déchets — https://www.cnt.tourisme.gouv.ci/actualite/actudetail/en/concertation-entre-les-acteurs-du-secteur-du-tourisme-de-l-htellerie-et-les-structures-de-gestion-des-dchets-produits-par-les-etablissements-dudit-secteur222</w:t>
      </w:r>
    </w:p>
    <w:p>
      <w:r>
        <w:t>Note de méthode : les informations ci-dessus sont synthétisées à partir de sources publiques. Les données d’organisation interne, les effectifs, les procédures, les outils utilisés et les difficultés opérationnelles ne sont pas présumés et devront être demandés à l’entreprise.</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748B"/>
        <w:sz w:val="16"/>
      </w:rPr>
      <w:t>Institut Ivoirien de Technologie — Document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PRÉSENTATION DE L’ENTREPRISE  |  ECO EBURNIE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230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