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75DE8" w14:textId="00A791D6" w:rsidR="00855A4C" w:rsidRPr="006C0CEF" w:rsidRDefault="00855A4C" w:rsidP="00C80AE3">
      <w:pPr>
        <w:suppressLineNumbers/>
        <w:spacing w:after="0"/>
        <w:rPr>
          <w:rFonts w:ascii="Times New Roman" w:eastAsia="Times New Roman" w:hAnsi="Times New Roman" w:cs="Times New Roman"/>
          <w:color w:val="000000" w:themeColor="text1"/>
          <w:szCs w:val="24"/>
        </w:rPr>
      </w:pPr>
      <w:r w:rsidRPr="006C0CEF">
        <w:rPr>
          <w:rFonts w:ascii="Times New Roman" w:eastAsia="Times New Roman" w:hAnsi="Times New Roman" w:cs="Times New Roman"/>
          <w:color w:val="000000" w:themeColor="text1"/>
          <w:szCs w:val="24"/>
        </w:rPr>
        <w:t>Code: GA/</w:t>
      </w:r>
      <w:r w:rsidR="006C0CEF">
        <w:rPr>
          <w:rFonts w:ascii="Times New Roman" w:eastAsia="Times New Roman" w:hAnsi="Times New Roman" w:cs="Times New Roman"/>
          <w:color w:val="000000" w:themeColor="text1"/>
          <w:szCs w:val="24"/>
        </w:rPr>
        <w:t>1/</w:t>
      </w:r>
      <w:r w:rsidRPr="006C0CEF">
        <w:rPr>
          <w:rFonts w:ascii="Times New Roman" w:eastAsia="Times New Roman" w:hAnsi="Times New Roman" w:cs="Times New Roman"/>
          <w:color w:val="000000" w:themeColor="text1"/>
          <w:szCs w:val="24"/>
        </w:rPr>
        <w:t>2/Rubio</w:t>
      </w:r>
    </w:p>
    <w:p w14:paraId="4C5A41E1" w14:textId="53E18E21" w:rsidR="00855A4C" w:rsidRPr="006C0CEF" w:rsidRDefault="006C0CEF" w:rsidP="00C80AE3">
      <w:pPr>
        <w:suppressLineNumbers/>
        <w:spacing w:after="0"/>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Committee: General Assembly Fourth Committee</w:t>
      </w:r>
    </w:p>
    <w:p w14:paraId="3D9E4236" w14:textId="77777777" w:rsidR="00855A4C" w:rsidRPr="006C0CEF" w:rsidRDefault="00354B66" w:rsidP="00C80AE3">
      <w:pPr>
        <w:suppressLineNumbers/>
        <w:spacing w:after="0"/>
        <w:rPr>
          <w:rFonts w:ascii="Cambria" w:eastAsia="Cambria" w:hAnsi="Cambria" w:cs="Cambria"/>
          <w:color w:val="000000" w:themeColor="text1"/>
        </w:rPr>
      </w:pPr>
      <w:r w:rsidRPr="006C0CEF">
        <w:rPr>
          <w:rFonts w:ascii="Times New Roman" w:eastAsia="Times New Roman" w:hAnsi="Times New Roman" w:cs="Times New Roman"/>
          <w:color w:val="000000" w:themeColor="text1"/>
          <w:szCs w:val="24"/>
        </w:rPr>
        <w:t xml:space="preserve">Topic: </w:t>
      </w:r>
      <w:r w:rsidR="00855A4C" w:rsidRPr="006C0CEF">
        <w:rPr>
          <w:rFonts w:ascii="Cambria" w:eastAsia="Cambria" w:hAnsi="Cambria" w:cs="Cambria"/>
          <w:color w:val="000000" w:themeColor="text1"/>
        </w:rPr>
        <w:t>Disarmament of Mines in Past and Current Conflict Zones</w:t>
      </w:r>
    </w:p>
    <w:p w14:paraId="52BDD9B1" w14:textId="77777777" w:rsidR="00713121" w:rsidRPr="006C0CEF" w:rsidRDefault="00713121" w:rsidP="00354B66">
      <w:pPr>
        <w:suppressLineNumbers/>
        <w:spacing w:after="0" w:line="240" w:lineRule="auto"/>
        <w:rPr>
          <w:rFonts w:ascii="Times New Roman" w:eastAsia="Times New Roman" w:hAnsi="Times New Roman" w:cs="Times New Roman"/>
          <w:color w:val="000000" w:themeColor="text1"/>
          <w:szCs w:val="24"/>
        </w:rPr>
      </w:pPr>
    </w:p>
    <w:p w14:paraId="568B8745" w14:textId="79980A24" w:rsidR="00405308" w:rsidRDefault="00855A4C" w:rsidP="00C80AE3">
      <w:pPr>
        <w:spacing w:after="0"/>
        <w:rPr>
          <w:rFonts w:ascii="Cambria" w:eastAsia="Cambria" w:hAnsi="Cambria" w:cs="Cambria"/>
          <w:i/>
          <w:color w:val="000000" w:themeColor="text1"/>
        </w:rPr>
      </w:pPr>
      <w:r w:rsidRPr="006C0CEF">
        <w:rPr>
          <w:rFonts w:ascii="Cambria" w:eastAsia="Cambria" w:hAnsi="Cambria" w:cs="Cambria"/>
          <w:i/>
          <w:color w:val="000000" w:themeColor="text1"/>
        </w:rPr>
        <w:t>The United Nations General Assembly 4</w:t>
      </w:r>
      <w:r w:rsidR="00DA6FE0" w:rsidRPr="006C0CEF">
        <w:rPr>
          <w:rFonts w:ascii="Cambria" w:eastAsia="Cambria" w:hAnsi="Cambria" w:cs="Cambria"/>
          <w:i/>
          <w:color w:val="000000" w:themeColor="text1"/>
        </w:rPr>
        <w:t>th Committee</w:t>
      </w:r>
      <w:r w:rsidR="006C0CEF">
        <w:rPr>
          <w:rFonts w:ascii="Cambria" w:eastAsia="Cambria" w:hAnsi="Cambria" w:cs="Cambria"/>
          <w:i/>
          <w:color w:val="000000" w:themeColor="text1"/>
        </w:rPr>
        <w:t>,</w:t>
      </w:r>
    </w:p>
    <w:p w14:paraId="26BCC17C" w14:textId="77777777" w:rsidR="00C80AE3" w:rsidRPr="006C0CEF" w:rsidRDefault="00C80AE3" w:rsidP="00C80AE3">
      <w:pPr>
        <w:spacing w:after="0"/>
        <w:rPr>
          <w:color w:val="000000" w:themeColor="text1"/>
        </w:rPr>
      </w:pPr>
    </w:p>
    <w:p w14:paraId="1FE1EB78" w14:textId="06E543DD" w:rsidR="00D74158" w:rsidRDefault="00D74158"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 xml:space="preserve">Having adopted </w:t>
      </w:r>
      <w:r w:rsidRPr="006C0CEF">
        <w:rPr>
          <w:rFonts w:ascii="Cambria" w:eastAsia="Cambria" w:hAnsi="Cambria" w:cs="Cambria"/>
          <w:color w:val="000000" w:themeColor="text1"/>
        </w:rPr>
        <w:t>the term “Contracting States” as referring to all nations party to the United Nations General Assembly 4</w:t>
      </w:r>
      <w:r w:rsidRPr="006C0CEF">
        <w:rPr>
          <w:rFonts w:ascii="Cambria" w:eastAsia="Cambria" w:hAnsi="Cambria" w:cs="Cambria"/>
          <w:color w:val="000000" w:themeColor="text1"/>
          <w:vertAlign w:val="superscript"/>
        </w:rPr>
        <w:t>th</w:t>
      </w:r>
      <w:r w:rsidRPr="006C0CEF">
        <w:rPr>
          <w:rFonts w:ascii="Cambria" w:eastAsia="Cambria" w:hAnsi="Cambria" w:cs="Cambria"/>
          <w:color w:val="000000" w:themeColor="text1"/>
        </w:rPr>
        <w:t xml:space="preserve"> Committee for the purpose of this resolution,</w:t>
      </w:r>
    </w:p>
    <w:p w14:paraId="1FDC7E1E" w14:textId="77777777" w:rsidR="00C80AE3" w:rsidRPr="006C0CEF" w:rsidRDefault="00C80AE3" w:rsidP="00C80AE3">
      <w:pPr>
        <w:spacing w:after="0"/>
        <w:rPr>
          <w:rFonts w:ascii="Cambria" w:eastAsia="Cambria" w:hAnsi="Cambria" w:cs="Cambria"/>
          <w:color w:val="000000" w:themeColor="text1"/>
        </w:rPr>
      </w:pPr>
    </w:p>
    <w:p w14:paraId="1241CCF9" w14:textId="58CA05C8" w:rsidR="00405308"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Recognizing</w:t>
      </w:r>
      <w:r w:rsidRPr="006C0CEF">
        <w:rPr>
          <w:rFonts w:ascii="Cambria" w:eastAsia="Cambria" w:hAnsi="Cambria" w:cs="Cambria"/>
          <w:color w:val="000000" w:themeColor="text1"/>
        </w:rPr>
        <w:t xml:space="preserve"> that the 110 billion land mines in non-military zones threaten the lives and general health of countless people worldwide,</w:t>
      </w:r>
    </w:p>
    <w:p w14:paraId="124C815C" w14:textId="77777777" w:rsidR="00C80AE3" w:rsidRPr="006C0CEF" w:rsidRDefault="00C80AE3" w:rsidP="00C80AE3">
      <w:pPr>
        <w:spacing w:after="0"/>
        <w:rPr>
          <w:rFonts w:ascii="Cambria" w:eastAsia="Cambria" w:hAnsi="Cambria" w:cs="Cambria"/>
          <w:color w:val="000000" w:themeColor="text1"/>
        </w:rPr>
      </w:pPr>
    </w:p>
    <w:p w14:paraId="09CD3A90" w14:textId="28114ED8" w:rsidR="00405308"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Aware of</w:t>
      </w:r>
      <w:r w:rsidRPr="006C0CEF">
        <w:rPr>
          <w:rFonts w:ascii="Cambria" w:eastAsia="Cambria" w:hAnsi="Cambria" w:cs="Cambria"/>
          <w:color w:val="000000" w:themeColor="text1"/>
        </w:rPr>
        <w:t xml:space="preserve"> the intense social and economic challenges faced by those injured and/or disabled by such mines,</w:t>
      </w:r>
    </w:p>
    <w:p w14:paraId="63F250C9" w14:textId="77777777" w:rsidR="00C80AE3" w:rsidRPr="006C0CEF" w:rsidRDefault="00C80AE3" w:rsidP="00C80AE3">
      <w:pPr>
        <w:spacing w:after="0"/>
        <w:rPr>
          <w:rFonts w:ascii="Cambria" w:eastAsia="Cambria" w:hAnsi="Cambria" w:cs="Cambria"/>
          <w:color w:val="000000" w:themeColor="text1"/>
        </w:rPr>
      </w:pPr>
    </w:p>
    <w:p w14:paraId="27FD2CF2" w14:textId="7139E99E" w:rsidR="00646C56" w:rsidRPr="006C0CEF"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Taking into account</w:t>
      </w:r>
      <w:r w:rsidRPr="006C0CEF">
        <w:rPr>
          <w:rFonts w:ascii="Cambria" w:eastAsia="Cambria" w:hAnsi="Cambria" w:cs="Cambria"/>
          <w:color w:val="000000" w:themeColor="text1"/>
        </w:rPr>
        <w:t xml:space="preserve"> that some countries have placed land mines purposefully on their own soil with the intent of defending their land due to </w:t>
      </w:r>
      <w:r w:rsidR="00646C56" w:rsidRPr="006C0CEF">
        <w:rPr>
          <w:rFonts w:ascii="Cambria" w:eastAsia="Cambria" w:hAnsi="Cambria" w:cs="Cambria"/>
          <w:color w:val="000000" w:themeColor="text1"/>
        </w:rPr>
        <w:t xml:space="preserve">some </w:t>
      </w:r>
      <w:r w:rsidRPr="006C0CEF">
        <w:rPr>
          <w:rFonts w:ascii="Cambria" w:eastAsia="Cambria" w:hAnsi="Cambria" w:cs="Cambria"/>
          <w:color w:val="000000" w:themeColor="text1"/>
        </w:rPr>
        <w:t xml:space="preserve">lack of </w:t>
      </w:r>
      <w:r w:rsidR="00646C56" w:rsidRPr="006C0CEF">
        <w:rPr>
          <w:rFonts w:ascii="Cambria" w:eastAsia="Cambria" w:hAnsi="Cambria" w:cs="Cambria"/>
          <w:color w:val="000000" w:themeColor="text1"/>
        </w:rPr>
        <w:t>inability</w:t>
      </w:r>
      <w:r w:rsidR="001F208A" w:rsidRPr="006C0CEF">
        <w:rPr>
          <w:rFonts w:ascii="Cambria" w:eastAsia="Cambria" w:hAnsi="Cambria" w:cs="Cambria"/>
          <w:color w:val="000000" w:themeColor="text1"/>
        </w:rPr>
        <w:t xml:space="preserve">, as defined by individual nations, </w:t>
      </w:r>
      <w:r w:rsidRPr="006C0CEF">
        <w:rPr>
          <w:rFonts w:ascii="Cambria" w:eastAsia="Cambria" w:hAnsi="Cambria" w:cs="Cambria"/>
          <w:color w:val="000000" w:themeColor="text1"/>
        </w:rPr>
        <w:t xml:space="preserve">to find alternatives, and that </w:t>
      </w:r>
    </w:p>
    <w:p w14:paraId="07A0D75F" w14:textId="4C81A523" w:rsidR="00646C56" w:rsidRPr="006C0CEF" w:rsidRDefault="00855A4C" w:rsidP="001F208A">
      <w:pPr>
        <w:pStyle w:val="ListParagraph"/>
        <w:numPr>
          <w:ilvl w:val="0"/>
          <w:numId w:val="15"/>
        </w:numPr>
        <w:rPr>
          <w:rFonts w:ascii="Cambria" w:eastAsia="Cambria" w:hAnsi="Cambria" w:cs="Cambria"/>
          <w:color w:val="000000" w:themeColor="text1"/>
        </w:rPr>
      </w:pPr>
      <w:r w:rsidRPr="006C0CEF">
        <w:rPr>
          <w:rFonts w:ascii="Cambria" w:eastAsia="Cambria" w:hAnsi="Cambria" w:cs="Cambria"/>
          <w:color w:val="000000" w:themeColor="text1"/>
        </w:rPr>
        <w:t xml:space="preserve">these land mines can be instrumental to the security of these nations </w:t>
      </w:r>
    </w:p>
    <w:p w14:paraId="214C663B" w14:textId="2275E550" w:rsidR="00855A4C" w:rsidRPr="006C0CEF" w:rsidRDefault="00855A4C" w:rsidP="001F208A">
      <w:pPr>
        <w:pStyle w:val="ListParagraph"/>
        <w:numPr>
          <w:ilvl w:val="0"/>
          <w:numId w:val="15"/>
        </w:numPr>
        <w:rPr>
          <w:rFonts w:ascii="Cambria" w:eastAsia="Cambria" w:hAnsi="Cambria" w:cs="Cambria"/>
          <w:color w:val="000000" w:themeColor="text1"/>
        </w:rPr>
      </w:pPr>
      <w:r w:rsidRPr="006C0CEF">
        <w:rPr>
          <w:rFonts w:ascii="Cambria" w:eastAsia="Cambria" w:hAnsi="Cambria" w:cs="Cambria"/>
          <w:color w:val="000000" w:themeColor="text1"/>
        </w:rPr>
        <w:t>these countries will not remove these land mines regardless of resolutions passed,</w:t>
      </w:r>
    </w:p>
    <w:p w14:paraId="1FEB0415" w14:textId="19E73D1B" w:rsidR="001E4CD3" w:rsidRPr="006C0CEF" w:rsidRDefault="001E4CD3"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 xml:space="preserve">Affirming </w:t>
      </w:r>
      <w:r w:rsidRPr="006C0CEF">
        <w:rPr>
          <w:rFonts w:ascii="Cambria" w:eastAsia="Cambria" w:hAnsi="Cambria" w:cs="Cambria"/>
          <w:color w:val="000000" w:themeColor="text1"/>
        </w:rPr>
        <w:t>the terminology of “military” land mines or mine zones as referring to</w:t>
      </w:r>
    </w:p>
    <w:p w14:paraId="571FF9AB" w14:textId="35BAB654" w:rsidR="001E4CD3" w:rsidRPr="006C0CEF" w:rsidRDefault="001E4CD3" w:rsidP="00C80AE3">
      <w:pPr>
        <w:pStyle w:val="ListParagraph"/>
        <w:numPr>
          <w:ilvl w:val="0"/>
          <w:numId w:val="19"/>
        </w:numPr>
        <w:spacing w:after="0"/>
        <w:rPr>
          <w:rFonts w:ascii="Cambria" w:eastAsia="Cambria" w:hAnsi="Cambria" w:cs="Cambria"/>
          <w:color w:val="000000" w:themeColor="text1"/>
        </w:rPr>
      </w:pPr>
      <w:r w:rsidRPr="006C0CEF">
        <w:rPr>
          <w:rFonts w:ascii="Cambria" w:eastAsia="Cambria" w:hAnsi="Cambria" w:cs="Cambria"/>
          <w:color w:val="000000" w:themeColor="text1"/>
        </w:rPr>
        <w:t>land mines placed by governments on their own soil as explained in perambulatory clause 3</w:t>
      </w:r>
    </w:p>
    <w:p w14:paraId="0AFAA217" w14:textId="79F52345" w:rsidR="00405308" w:rsidRDefault="001E4CD3" w:rsidP="00C80AE3">
      <w:pPr>
        <w:pStyle w:val="ListParagraph"/>
        <w:numPr>
          <w:ilvl w:val="0"/>
          <w:numId w:val="19"/>
        </w:numPr>
        <w:spacing w:after="0"/>
        <w:rPr>
          <w:rFonts w:ascii="Cambria" w:eastAsia="Cambria" w:hAnsi="Cambria" w:cs="Cambria"/>
          <w:color w:val="000000" w:themeColor="text1"/>
        </w:rPr>
      </w:pPr>
      <w:r w:rsidRPr="006C0CEF">
        <w:rPr>
          <w:rFonts w:ascii="Cambria" w:eastAsia="Cambria" w:hAnsi="Cambria" w:cs="Cambria"/>
          <w:color w:val="000000" w:themeColor="text1"/>
        </w:rPr>
        <w:t>areas in which aforementioned mines have been placed,</w:t>
      </w:r>
    </w:p>
    <w:p w14:paraId="019249E6" w14:textId="77777777" w:rsidR="00C80AE3" w:rsidRPr="006C0CEF" w:rsidRDefault="00C80AE3" w:rsidP="00C80AE3">
      <w:pPr>
        <w:pStyle w:val="ListParagraph"/>
        <w:spacing w:after="0"/>
        <w:ind w:left="1080"/>
        <w:rPr>
          <w:rFonts w:ascii="Cambria" w:eastAsia="Cambria" w:hAnsi="Cambria" w:cs="Cambria"/>
          <w:color w:val="000000" w:themeColor="text1"/>
        </w:rPr>
      </w:pPr>
    </w:p>
    <w:p w14:paraId="5F034C6B" w14:textId="52C64C4E" w:rsidR="00405308"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Noting</w:t>
      </w:r>
      <w:r w:rsidRPr="006C0CEF">
        <w:rPr>
          <w:rFonts w:ascii="Cambria" w:eastAsia="Cambria" w:hAnsi="Cambria" w:cs="Cambria"/>
          <w:color w:val="000000" w:themeColor="text1"/>
        </w:rPr>
        <w:t xml:space="preserve"> that a number of countries </w:t>
      </w:r>
      <w:r w:rsidR="00FA73D2" w:rsidRPr="006C0CEF">
        <w:rPr>
          <w:rFonts w:ascii="Cambria" w:eastAsia="Cambria" w:hAnsi="Cambria" w:cs="Cambria"/>
          <w:color w:val="000000" w:themeColor="text1"/>
        </w:rPr>
        <w:t>have not signed, nor intend to sign,</w:t>
      </w:r>
      <w:r w:rsidRPr="006C0CEF">
        <w:rPr>
          <w:rFonts w:ascii="Cambria" w:eastAsia="Cambria" w:hAnsi="Cambria" w:cs="Cambria"/>
          <w:color w:val="000000" w:themeColor="text1"/>
        </w:rPr>
        <w:t xml:space="preserve"> the </w:t>
      </w:r>
      <w:r w:rsidR="00FA73D2" w:rsidRPr="006C0CEF">
        <w:rPr>
          <w:rFonts w:ascii="Cambria" w:eastAsia="Cambria" w:hAnsi="Cambria" w:cs="Cambria"/>
          <w:color w:val="000000" w:themeColor="text1"/>
        </w:rPr>
        <w:t>Ottawa Convention</w:t>
      </w:r>
      <w:r w:rsidRPr="006C0CEF">
        <w:rPr>
          <w:rFonts w:ascii="Cambria" w:eastAsia="Cambria" w:hAnsi="Cambria" w:cs="Cambria"/>
          <w:color w:val="000000" w:themeColor="text1"/>
        </w:rPr>
        <w:t>,</w:t>
      </w:r>
    </w:p>
    <w:p w14:paraId="61C2F74D" w14:textId="77777777" w:rsidR="00C80AE3" w:rsidRPr="006C0CEF" w:rsidRDefault="00C80AE3" w:rsidP="00C80AE3">
      <w:pPr>
        <w:spacing w:after="0"/>
        <w:rPr>
          <w:rFonts w:ascii="Cambria" w:eastAsia="Cambria" w:hAnsi="Cambria" w:cs="Cambria"/>
          <w:color w:val="000000" w:themeColor="text1"/>
        </w:rPr>
      </w:pPr>
    </w:p>
    <w:p w14:paraId="000682B1" w14:textId="3D98E5D0" w:rsidR="00855A4C"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Further recognizing</w:t>
      </w:r>
      <w:r w:rsidRPr="006C0CEF">
        <w:rPr>
          <w:rFonts w:ascii="Cambria" w:eastAsia="Cambria" w:hAnsi="Cambria" w:cs="Cambria"/>
          <w:color w:val="000000" w:themeColor="text1"/>
        </w:rPr>
        <w:t xml:space="preserve"> the necessity of informing citizens of the places where land mines exist in the interim of demining areas so that injury and casualty can be avoided, and of protecting citizens from land mines if the aforementioned education is not plausible,</w:t>
      </w:r>
    </w:p>
    <w:p w14:paraId="6C6E4FC2" w14:textId="77777777" w:rsidR="00C80AE3" w:rsidRPr="006C0CEF" w:rsidRDefault="00C80AE3" w:rsidP="00C80AE3">
      <w:pPr>
        <w:spacing w:after="0"/>
        <w:rPr>
          <w:color w:val="000000" w:themeColor="text1"/>
        </w:rPr>
      </w:pPr>
    </w:p>
    <w:p w14:paraId="1B5E11D3" w14:textId="338A574E" w:rsidR="00855A4C"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Understanding</w:t>
      </w:r>
      <w:r w:rsidRPr="006C0CEF">
        <w:rPr>
          <w:rFonts w:ascii="Cambria" w:eastAsia="Cambria" w:hAnsi="Cambria" w:cs="Cambria"/>
          <w:color w:val="000000" w:themeColor="text1"/>
        </w:rPr>
        <w:t xml:space="preserve"> the economic and human strain involved in financing demining in countries with non-military land mines, and the difficulty of creating an infrastructure capable of demining areas within a relatively short time frame,</w:t>
      </w:r>
    </w:p>
    <w:p w14:paraId="3D8E3570" w14:textId="77777777" w:rsidR="00C80AE3" w:rsidRPr="006C0CEF" w:rsidRDefault="00C80AE3" w:rsidP="00C80AE3">
      <w:pPr>
        <w:spacing w:after="0"/>
        <w:rPr>
          <w:color w:val="000000" w:themeColor="text1"/>
        </w:rPr>
      </w:pPr>
    </w:p>
    <w:p w14:paraId="11AE2191" w14:textId="194CE8CE" w:rsidR="00646C56" w:rsidRPr="006C0CEF"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Realizing</w:t>
      </w:r>
      <w:r w:rsidRPr="006C0CEF">
        <w:rPr>
          <w:rFonts w:ascii="Cambria" w:eastAsia="Cambria" w:hAnsi="Cambria" w:cs="Cambria"/>
          <w:color w:val="000000" w:themeColor="text1"/>
        </w:rPr>
        <w:t xml:space="preserve"> the success and efficacy of the Jordan National Committee for Demining and Rehabilitation (NCDR) in demining the entirety of the Hashemite Kingdom of Jordan over the course of only six years </w:t>
      </w:r>
      <w:r w:rsidR="00646C56" w:rsidRPr="006C0CEF">
        <w:rPr>
          <w:rFonts w:ascii="Cambria" w:eastAsia="Cambria" w:hAnsi="Cambria" w:cs="Cambria"/>
          <w:color w:val="000000" w:themeColor="text1"/>
        </w:rPr>
        <w:t xml:space="preserve">as well as </w:t>
      </w:r>
    </w:p>
    <w:p w14:paraId="3D9F1119" w14:textId="6778580E" w:rsidR="00646C56" w:rsidRPr="006C0CEF" w:rsidRDefault="00855A4C" w:rsidP="00C80AE3">
      <w:pPr>
        <w:pStyle w:val="ListParagraph"/>
        <w:numPr>
          <w:ilvl w:val="0"/>
          <w:numId w:val="16"/>
        </w:numPr>
        <w:spacing w:after="0"/>
        <w:rPr>
          <w:color w:val="000000" w:themeColor="text1"/>
        </w:rPr>
      </w:pPr>
      <w:r w:rsidRPr="006C0CEF">
        <w:rPr>
          <w:rFonts w:ascii="Cambria" w:eastAsia="Cambria" w:hAnsi="Cambria" w:cs="Cambria"/>
          <w:color w:val="000000" w:themeColor="text1"/>
        </w:rPr>
        <w:t xml:space="preserve">its </w:t>
      </w:r>
      <w:r w:rsidR="00646C56" w:rsidRPr="006C0CEF">
        <w:rPr>
          <w:rFonts w:ascii="Cambria" w:eastAsia="Cambria" w:hAnsi="Cambria" w:cs="Cambria"/>
          <w:color w:val="000000" w:themeColor="text1"/>
        </w:rPr>
        <w:t xml:space="preserve">continual work to demine other countries including Iraq, Libya, and Mauritania, and  </w:t>
      </w:r>
      <w:r w:rsidRPr="006C0CEF">
        <w:rPr>
          <w:rFonts w:ascii="Cambria" w:eastAsia="Cambria" w:hAnsi="Cambria" w:cs="Cambria"/>
          <w:color w:val="000000" w:themeColor="text1"/>
        </w:rPr>
        <w:t xml:space="preserve"> </w:t>
      </w:r>
    </w:p>
    <w:p w14:paraId="4F7FA2C0" w14:textId="4AA38801" w:rsidR="00D74158" w:rsidRPr="006C0CEF" w:rsidRDefault="00D74158" w:rsidP="00C80AE3">
      <w:pPr>
        <w:pStyle w:val="ListParagraph"/>
        <w:numPr>
          <w:ilvl w:val="0"/>
          <w:numId w:val="16"/>
        </w:numPr>
        <w:spacing w:after="0"/>
        <w:rPr>
          <w:color w:val="000000" w:themeColor="text1"/>
        </w:rPr>
      </w:pPr>
      <w:r w:rsidRPr="006C0CEF">
        <w:rPr>
          <w:rFonts w:ascii="Cambria" w:eastAsia="Cambria" w:hAnsi="Cambria" w:cs="Cambria"/>
          <w:color w:val="000000" w:themeColor="text1"/>
        </w:rPr>
        <w:t xml:space="preserve">its efforts to aid the recovery, rehabilitation, and continued socioeconomic security of land mine victims in demined and mine-affected areas </w:t>
      </w:r>
    </w:p>
    <w:p w14:paraId="773A437C" w14:textId="287AD1B3" w:rsidR="00646C56" w:rsidRPr="006C0CEF" w:rsidRDefault="00646C56" w:rsidP="00C80AE3">
      <w:pPr>
        <w:pStyle w:val="ListParagraph"/>
        <w:numPr>
          <w:ilvl w:val="0"/>
          <w:numId w:val="19"/>
        </w:numPr>
        <w:spacing w:after="0"/>
        <w:rPr>
          <w:color w:val="000000" w:themeColor="text1"/>
        </w:rPr>
      </w:pPr>
      <w:r w:rsidRPr="006C0CEF">
        <w:rPr>
          <w:rFonts w:ascii="Cambria" w:eastAsia="Cambria" w:hAnsi="Cambria" w:cs="Cambria"/>
          <w:color w:val="000000" w:themeColor="text1"/>
        </w:rPr>
        <w:t>its strategy of</w:t>
      </w:r>
      <w:r w:rsidR="00855A4C" w:rsidRPr="006C0CEF">
        <w:rPr>
          <w:rFonts w:ascii="Cambria" w:eastAsia="Cambria" w:hAnsi="Cambria" w:cs="Cambria"/>
          <w:color w:val="000000" w:themeColor="text1"/>
        </w:rPr>
        <w:t xml:space="preserve"> employing </w:t>
      </w:r>
      <w:r w:rsidRPr="006C0CEF">
        <w:rPr>
          <w:rFonts w:ascii="Cambria" w:eastAsia="Cambria" w:hAnsi="Cambria" w:cs="Cambria"/>
          <w:color w:val="000000" w:themeColor="text1"/>
        </w:rPr>
        <w:t xml:space="preserve">and training </w:t>
      </w:r>
      <w:r w:rsidR="00855A4C" w:rsidRPr="006C0CEF">
        <w:rPr>
          <w:rFonts w:ascii="Cambria" w:eastAsia="Cambria" w:hAnsi="Cambria" w:cs="Cambria"/>
          <w:color w:val="000000" w:themeColor="text1"/>
        </w:rPr>
        <w:t>citizens</w:t>
      </w:r>
      <w:r w:rsidRPr="006C0CEF">
        <w:rPr>
          <w:rFonts w:ascii="Cambria" w:eastAsia="Cambria" w:hAnsi="Cambria" w:cs="Cambria"/>
          <w:color w:val="000000" w:themeColor="text1"/>
        </w:rPr>
        <w:t xml:space="preserve"> living</w:t>
      </w:r>
      <w:r w:rsidR="00855A4C" w:rsidRPr="006C0CEF">
        <w:rPr>
          <w:rFonts w:ascii="Cambria" w:eastAsia="Cambria" w:hAnsi="Cambria" w:cs="Cambria"/>
          <w:color w:val="000000" w:themeColor="text1"/>
        </w:rPr>
        <w:t xml:space="preserve"> in mine-affected areas</w:t>
      </w:r>
      <w:r w:rsidRPr="006C0CEF">
        <w:rPr>
          <w:rFonts w:ascii="Cambria" w:eastAsia="Cambria" w:hAnsi="Cambria" w:cs="Cambria"/>
          <w:color w:val="000000" w:themeColor="text1"/>
        </w:rPr>
        <w:t xml:space="preserve"> to do demining work, and</w:t>
      </w:r>
    </w:p>
    <w:p w14:paraId="18AC5993" w14:textId="77777777" w:rsidR="00646C56" w:rsidRPr="006C0CEF" w:rsidRDefault="00646C56" w:rsidP="00C80AE3">
      <w:pPr>
        <w:pStyle w:val="ListParagraph"/>
        <w:numPr>
          <w:ilvl w:val="0"/>
          <w:numId w:val="17"/>
        </w:numPr>
        <w:spacing w:after="0"/>
        <w:rPr>
          <w:color w:val="000000" w:themeColor="text1"/>
        </w:rPr>
      </w:pPr>
      <w:r w:rsidRPr="006C0CEF">
        <w:rPr>
          <w:rFonts w:ascii="Cambria" w:eastAsia="Cambria" w:hAnsi="Cambria" w:cs="Cambria"/>
          <w:color w:val="000000" w:themeColor="text1"/>
        </w:rPr>
        <w:t>the efficacy of this strategy</w:t>
      </w:r>
    </w:p>
    <w:p w14:paraId="49E38EC8" w14:textId="77777777" w:rsidR="00646C56" w:rsidRPr="006C0CEF" w:rsidRDefault="00646C56" w:rsidP="00C80AE3">
      <w:pPr>
        <w:pStyle w:val="ListParagraph"/>
        <w:numPr>
          <w:ilvl w:val="0"/>
          <w:numId w:val="18"/>
        </w:numPr>
        <w:spacing w:after="0"/>
        <w:rPr>
          <w:color w:val="000000" w:themeColor="text1"/>
        </w:rPr>
      </w:pPr>
      <w:r w:rsidRPr="006C0CEF">
        <w:rPr>
          <w:rFonts w:ascii="Cambria" w:eastAsia="Cambria" w:hAnsi="Cambria" w:cs="Cambria"/>
          <w:color w:val="000000" w:themeColor="text1"/>
        </w:rPr>
        <w:lastRenderedPageBreak/>
        <w:t xml:space="preserve">its positive effect on the economies of these areas </w:t>
      </w:r>
    </w:p>
    <w:p w14:paraId="2CF73C27" w14:textId="37AE74C7" w:rsidR="00855A4C" w:rsidRPr="00C80AE3" w:rsidRDefault="00646C56" w:rsidP="00C80AE3">
      <w:pPr>
        <w:pStyle w:val="ListParagraph"/>
        <w:numPr>
          <w:ilvl w:val="0"/>
          <w:numId w:val="18"/>
        </w:numPr>
        <w:spacing w:after="0"/>
        <w:rPr>
          <w:color w:val="000000" w:themeColor="text1"/>
        </w:rPr>
      </w:pPr>
      <w:r w:rsidRPr="006C0CEF">
        <w:rPr>
          <w:rFonts w:ascii="Cambria" w:eastAsia="Cambria" w:hAnsi="Cambria" w:cs="Cambria"/>
          <w:color w:val="000000" w:themeColor="text1"/>
        </w:rPr>
        <w:t>the positive challenge it poses to gender roles in many of these areas through employ</w:t>
      </w:r>
      <w:r w:rsidR="00C80AE3">
        <w:rPr>
          <w:rFonts w:ascii="Cambria" w:eastAsia="Cambria" w:hAnsi="Cambria" w:cs="Cambria"/>
          <w:color w:val="000000" w:themeColor="text1"/>
        </w:rPr>
        <w:t>ing local female demining teams</w:t>
      </w:r>
      <w:r w:rsidRPr="006C0CEF">
        <w:rPr>
          <w:rFonts w:ascii="Cambria" w:eastAsia="Cambria" w:hAnsi="Cambria" w:cs="Cambria"/>
          <w:color w:val="000000" w:themeColor="text1"/>
        </w:rPr>
        <w:t>,</w:t>
      </w:r>
    </w:p>
    <w:p w14:paraId="3AC2D12E" w14:textId="77777777" w:rsidR="00C80AE3" w:rsidRPr="006C0CEF" w:rsidRDefault="00C80AE3" w:rsidP="00C80AE3">
      <w:pPr>
        <w:pStyle w:val="ListParagraph"/>
        <w:spacing w:after="0"/>
        <w:ind w:left="2880"/>
        <w:rPr>
          <w:color w:val="000000" w:themeColor="text1"/>
        </w:rPr>
      </w:pPr>
    </w:p>
    <w:p w14:paraId="4FF603AD" w14:textId="039A3385" w:rsidR="00855A4C"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Knowing</w:t>
      </w:r>
      <w:r w:rsidRPr="006C0CEF">
        <w:rPr>
          <w:rFonts w:ascii="Cambria" w:eastAsia="Cambria" w:hAnsi="Cambria" w:cs="Cambria"/>
          <w:color w:val="000000" w:themeColor="text1"/>
        </w:rPr>
        <w:t xml:space="preserve"> that the </w:t>
      </w:r>
      <w:r w:rsidR="00646C56" w:rsidRPr="006C0CEF">
        <w:rPr>
          <w:rFonts w:ascii="Cambria" w:eastAsia="Cambria" w:hAnsi="Cambria" w:cs="Cambria"/>
          <w:color w:val="000000" w:themeColor="text1"/>
        </w:rPr>
        <w:t>N</w:t>
      </w:r>
      <w:r w:rsidRPr="006C0CEF">
        <w:rPr>
          <w:rFonts w:ascii="Cambria" w:eastAsia="Cambria" w:hAnsi="Cambria" w:cs="Cambria"/>
          <w:color w:val="000000" w:themeColor="text1"/>
        </w:rPr>
        <w:t>CDR is primarily funded by the United Nations Development Programme (UNDP) and the donations of other countries,</w:t>
      </w:r>
    </w:p>
    <w:p w14:paraId="646CAFE8" w14:textId="77777777" w:rsidR="00C80AE3" w:rsidRPr="006C0CEF" w:rsidRDefault="00C80AE3" w:rsidP="00C80AE3">
      <w:pPr>
        <w:spacing w:after="0"/>
        <w:rPr>
          <w:color w:val="000000" w:themeColor="text1"/>
        </w:rPr>
      </w:pPr>
    </w:p>
    <w:p w14:paraId="629B3118" w14:textId="652F616A" w:rsidR="00855A4C" w:rsidRDefault="00855A4C" w:rsidP="00C80AE3">
      <w:pPr>
        <w:spacing w:after="0"/>
        <w:rPr>
          <w:rFonts w:ascii="Cambria" w:eastAsia="Cambria" w:hAnsi="Cambria" w:cs="Cambria"/>
          <w:color w:val="000000" w:themeColor="text1"/>
        </w:rPr>
      </w:pPr>
      <w:r w:rsidRPr="006C0CEF">
        <w:rPr>
          <w:rFonts w:ascii="Cambria" w:eastAsia="Cambria" w:hAnsi="Cambria" w:cs="Cambria"/>
          <w:i/>
          <w:color w:val="000000" w:themeColor="text1"/>
        </w:rPr>
        <w:t>Bearing in mind</w:t>
      </w:r>
      <w:r w:rsidRPr="006C0CEF">
        <w:rPr>
          <w:rFonts w:ascii="Cambria" w:eastAsia="Cambria" w:hAnsi="Cambria" w:cs="Cambria"/>
          <w:color w:val="000000" w:themeColor="text1"/>
        </w:rPr>
        <w:t xml:space="preserve"> the fact that some countries are more in need of demining aid and work than others, and that not all countries can be afforded full aid at the same time,</w:t>
      </w:r>
    </w:p>
    <w:p w14:paraId="11D737F0" w14:textId="77777777" w:rsidR="00C80AE3" w:rsidRPr="006C0CEF" w:rsidRDefault="00C80AE3" w:rsidP="00C80AE3">
      <w:pPr>
        <w:spacing w:after="0"/>
        <w:rPr>
          <w:color w:val="000000" w:themeColor="text1"/>
        </w:rPr>
      </w:pPr>
    </w:p>
    <w:p w14:paraId="71F6A11F" w14:textId="325F8B17" w:rsidR="00855A4C" w:rsidRPr="006C0CEF" w:rsidRDefault="00855A4C" w:rsidP="00C80AE3">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Implores</w:t>
      </w:r>
      <w:r w:rsidRPr="006C0CEF">
        <w:rPr>
          <w:rFonts w:ascii="Cambria" w:eastAsia="Cambria" w:hAnsi="Cambria" w:cs="Cambria"/>
          <w:color w:val="000000" w:themeColor="text1"/>
        </w:rPr>
        <w:t xml:space="preserve"> that all countries in the United Nations work together in disabling and removing land mines from non-military zones;</w:t>
      </w:r>
    </w:p>
    <w:p w14:paraId="53392321" w14:textId="77777777" w:rsidR="006C0CEF" w:rsidRPr="006C0CEF" w:rsidRDefault="006C0CEF" w:rsidP="00C80AE3">
      <w:pPr>
        <w:spacing w:after="0"/>
        <w:rPr>
          <w:color w:val="000000" w:themeColor="text1"/>
        </w:rPr>
      </w:pPr>
    </w:p>
    <w:p w14:paraId="3E7E35DB" w14:textId="606F371A" w:rsidR="00855A4C" w:rsidRPr="006C0CEF" w:rsidRDefault="00646C56" w:rsidP="00C80AE3">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Suggests</w:t>
      </w:r>
      <w:r w:rsidRPr="006C0CEF">
        <w:rPr>
          <w:rFonts w:ascii="Cambria" w:eastAsia="Cambria" w:hAnsi="Cambria" w:cs="Cambria"/>
          <w:color w:val="000000" w:themeColor="text1"/>
        </w:rPr>
        <w:t xml:space="preserve"> that aid be given to those negatively affected by land mines in non-military zones through designated </w:t>
      </w:r>
      <w:r w:rsidR="001E4CD3" w:rsidRPr="006C0CEF">
        <w:rPr>
          <w:rFonts w:ascii="Cambria" w:eastAsia="Cambria" w:hAnsi="Cambria" w:cs="Cambria"/>
          <w:color w:val="000000" w:themeColor="text1"/>
        </w:rPr>
        <w:t xml:space="preserve">international </w:t>
      </w:r>
      <w:r w:rsidRPr="006C0CEF">
        <w:rPr>
          <w:rFonts w:ascii="Cambria" w:eastAsia="Cambria" w:hAnsi="Cambria" w:cs="Cambria"/>
          <w:color w:val="000000" w:themeColor="text1"/>
        </w:rPr>
        <w:t>NGOs and UNDP efforts in order to ensure the socioeconomic security of individuals disabled by land mine accidents;</w:t>
      </w:r>
    </w:p>
    <w:p w14:paraId="7CE00F74" w14:textId="77777777" w:rsidR="006C0CEF" w:rsidRPr="006C0CEF" w:rsidRDefault="006C0CEF" w:rsidP="00C80AE3">
      <w:pPr>
        <w:spacing w:after="0"/>
        <w:rPr>
          <w:color w:val="000000" w:themeColor="text1"/>
        </w:rPr>
      </w:pPr>
    </w:p>
    <w:p w14:paraId="1CABFA06" w14:textId="6D0A9ED2" w:rsidR="00D74158" w:rsidRPr="006C0CEF" w:rsidRDefault="00D74158" w:rsidP="00C80AE3">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Emphasizes</w:t>
      </w:r>
      <w:r w:rsidR="001F208A" w:rsidRPr="006C0CEF">
        <w:rPr>
          <w:rFonts w:ascii="Cambria" w:eastAsia="Cambria" w:hAnsi="Cambria" w:cs="Cambria"/>
          <w:color w:val="000000" w:themeColor="text1"/>
        </w:rPr>
        <w:t xml:space="preserve"> that those</w:t>
      </w:r>
      <w:r w:rsidRPr="006C0CEF">
        <w:rPr>
          <w:rFonts w:ascii="Cambria" w:eastAsia="Cambria" w:hAnsi="Cambria" w:cs="Cambria"/>
          <w:color w:val="000000" w:themeColor="text1"/>
        </w:rPr>
        <w:t xml:space="preserve"> Contracting States </w:t>
      </w:r>
      <w:r w:rsidR="001F208A" w:rsidRPr="006C0CEF">
        <w:rPr>
          <w:rFonts w:ascii="Cambria" w:eastAsia="Cambria" w:hAnsi="Cambria" w:cs="Cambria"/>
          <w:color w:val="000000" w:themeColor="text1"/>
        </w:rPr>
        <w:t xml:space="preserve">who do not ratify the Ottawa Convention </w:t>
      </w:r>
      <w:r w:rsidRPr="006C0CEF">
        <w:rPr>
          <w:rFonts w:ascii="Cambria" w:eastAsia="Cambria" w:hAnsi="Cambria" w:cs="Cambria"/>
          <w:color w:val="000000" w:themeColor="text1"/>
        </w:rPr>
        <w:t xml:space="preserve">should not be forced to demine necessary military zones, and </w:t>
      </w:r>
      <w:r w:rsidR="001F208A" w:rsidRPr="006C0CEF">
        <w:rPr>
          <w:rFonts w:ascii="Cambria" w:eastAsia="Cambria" w:hAnsi="Cambria" w:cs="Cambria"/>
          <w:color w:val="000000" w:themeColor="text1"/>
        </w:rPr>
        <w:t xml:space="preserve">that nations with military land mine zones </w:t>
      </w:r>
      <w:r w:rsidRPr="006C0CEF">
        <w:rPr>
          <w:rFonts w:ascii="Cambria" w:eastAsia="Cambria" w:hAnsi="Cambria" w:cs="Cambria"/>
          <w:color w:val="000000" w:themeColor="text1"/>
        </w:rPr>
        <w:t>should</w:t>
      </w:r>
    </w:p>
    <w:p w14:paraId="0F7E8EFC" w14:textId="77777777" w:rsidR="00D74158" w:rsidRPr="006C0CEF" w:rsidRDefault="00D74158" w:rsidP="00C80AE3">
      <w:pPr>
        <w:pStyle w:val="ListParagraph"/>
        <w:numPr>
          <w:ilvl w:val="1"/>
          <w:numId w:val="14"/>
        </w:numPr>
        <w:spacing w:after="0" w:line="276" w:lineRule="auto"/>
        <w:ind w:left="1080"/>
        <w:rPr>
          <w:color w:val="000000" w:themeColor="text1"/>
        </w:rPr>
      </w:pPr>
      <w:r w:rsidRPr="006C0CEF">
        <w:rPr>
          <w:rFonts w:ascii="Cambria" w:eastAsia="Cambria" w:hAnsi="Cambria" w:cs="Cambria"/>
          <w:color w:val="000000" w:themeColor="text1"/>
        </w:rPr>
        <w:t>continue to ensure that citizens are aware of military land mine zones</w:t>
      </w:r>
    </w:p>
    <w:p w14:paraId="1E6212A0" w14:textId="50AA5644" w:rsidR="00D74158" w:rsidRPr="006C0CEF" w:rsidRDefault="00D74158" w:rsidP="00C80AE3">
      <w:pPr>
        <w:pStyle w:val="ListParagraph"/>
        <w:numPr>
          <w:ilvl w:val="1"/>
          <w:numId w:val="14"/>
        </w:numPr>
        <w:spacing w:after="0" w:line="276" w:lineRule="auto"/>
        <w:ind w:left="1080"/>
        <w:rPr>
          <w:color w:val="000000" w:themeColor="text1"/>
        </w:rPr>
      </w:pPr>
      <w:r w:rsidRPr="006C0CEF">
        <w:rPr>
          <w:rFonts w:ascii="Cambria" w:eastAsia="Cambria" w:hAnsi="Cambria" w:cs="Cambria"/>
          <w:color w:val="000000" w:themeColor="text1"/>
        </w:rPr>
        <w:t>implement further nation-specific strategies to protect civilians from land mines, including but not limited to</w:t>
      </w:r>
    </w:p>
    <w:p w14:paraId="33715712" w14:textId="2713AD5B" w:rsidR="00D74158" w:rsidRPr="006C0CEF" w:rsidRDefault="00D74158" w:rsidP="00C80AE3">
      <w:pPr>
        <w:pStyle w:val="ListParagraph"/>
        <w:numPr>
          <w:ilvl w:val="2"/>
          <w:numId w:val="14"/>
        </w:numPr>
        <w:spacing w:after="0" w:line="276" w:lineRule="auto"/>
        <w:ind w:left="1800"/>
        <w:rPr>
          <w:color w:val="000000" w:themeColor="text1"/>
        </w:rPr>
      </w:pPr>
      <w:r w:rsidRPr="006C0CEF">
        <w:rPr>
          <w:rFonts w:ascii="Cambria" w:eastAsia="Cambria" w:hAnsi="Cambria" w:cs="Cambria"/>
          <w:color w:val="000000" w:themeColor="text1"/>
        </w:rPr>
        <w:t>Discontinuing the use of anti-personnel land mines, and</w:t>
      </w:r>
    </w:p>
    <w:p w14:paraId="0AE93B42" w14:textId="7F9B19E0" w:rsidR="00855A4C" w:rsidRDefault="00D74158" w:rsidP="00C80AE3">
      <w:pPr>
        <w:pStyle w:val="ListParagraph"/>
        <w:numPr>
          <w:ilvl w:val="2"/>
          <w:numId w:val="14"/>
        </w:numPr>
        <w:spacing w:after="0"/>
        <w:ind w:left="1800"/>
        <w:rPr>
          <w:rFonts w:ascii="Cambria" w:eastAsia="Cambria" w:hAnsi="Cambria" w:cs="Cambria"/>
          <w:color w:val="000000" w:themeColor="text1"/>
        </w:rPr>
      </w:pPr>
      <w:r w:rsidRPr="006C0CEF">
        <w:rPr>
          <w:rFonts w:ascii="Cambria" w:eastAsia="Cambria" w:hAnsi="Cambria" w:cs="Cambria"/>
          <w:color w:val="000000" w:themeColor="text1"/>
        </w:rPr>
        <w:t>Using instead anti-vehicle land mines in military land mine zones;</w:t>
      </w:r>
    </w:p>
    <w:p w14:paraId="650EF8CB" w14:textId="77777777" w:rsidR="006C0CEF" w:rsidRPr="006C0CEF" w:rsidRDefault="006C0CEF" w:rsidP="00C80AE3">
      <w:pPr>
        <w:spacing w:after="0"/>
        <w:rPr>
          <w:rFonts w:ascii="Cambria" w:eastAsia="Cambria" w:hAnsi="Cambria" w:cs="Cambria"/>
          <w:color w:val="000000" w:themeColor="text1"/>
        </w:rPr>
      </w:pPr>
    </w:p>
    <w:p w14:paraId="11F89280" w14:textId="4A588544" w:rsidR="00855A4C" w:rsidRPr="006C0CEF" w:rsidRDefault="00D74158" w:rsidP="00C80AE3">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 xml:space="preserve">Cordially requests </w:t>
      </w:r>
      <w:r w:rsidRPr="006C0CEF">
        <w:rPr>
          <w:rFonts w:ascii="Cambria" w:eastAsia="Cambria" w:hAnsi="Cambria" w:cs="Cambria"/>
          <w:color w:val="000000" w:themeColor="text1"/>
        </w:rPr>
        <w:t>that</w:t>
      </w:r>
      <w:r w:rsidR="009B12B1" w:rsidRPr="006C0CEF">
        <w:rPr>
          <w:rFonts w:ascii="Cambria" w:eastAsia="Cambria" w:hAnsi="Cambria" w:cs="Cambria"/>
          <w:color w:val="000000" w:themeColor="text1"/>
        </w:rPr>
        <w:t xml:space="preserve"> </w:t>
      </w:r>
      <w:r w:rsidR="00855A4C" w:rsidRPr="006C0CEF">
        <w:rPr>
          <w:rFonts w:ascii="Cambria" w:eastAsia="Cambria" w:hAnsi="Cambria" w:cs="Cambria"/>
          <w:color w:val="000000" w:themeColor="text1"/>
        </w:rPr>
        <w:t xml:space="preserve">those Contracting States who have not yet signed </w:t>
      </w:r>
      <w:r w:rsidR="00FA73D2" w:rsidRPr="006C0CEF">
        <w:rPr>
          <w:rFonts w:ascii="Cambria" w:eastAsia="Cambria" w:hAnsi="Cambria" w:cs="Cambria"/>
          <w:color w:val="000000" w:themeColor="text1"/>
        </w:rPr>
        <w:t>the Ottawa Convention</w:t>
      </w:r>
      <w:r w:rsidR="00855A4C" w:rsidRPr="006C0CEF">
        <w:rPr>
          <w:rFonts w:ascii="Cambria" w:eastAsia="Cambria" w:hAnsi="Cambria" w:cs="Cambria"/>
          <w:color w:val="000000" w:themeColor="text1"/>
        </w:rPr>
        <w:t xml:space="preserve"> </w:t>
      </w:r>
      <w:r w:rsidRPr="006C0CEF">
        <w:rPr>
          <w:rFonts w:ascii="Cambria" w:eastAsia="Cambria" w:hAnsi="Cambria" w:cs="Cambria"/>
          <w:color w:val="000000" w:themeColor="text1"/>
        </w:rPr>
        <w:t>do so;</w:t>
      </w:r>
    </w:p>
    <w:p w14:paraId="4CB37431" w14:textId="77777777" w:rsidR="006C0CEF" w:rsidRPr="006C0CEF" w:rsidRDefault="006C0CEF" w:rsidP="006C0CEF">
      <w:pPr>
        <w:spacing w:after="0"/>
        <w:rPr>
          <w:color w:val="000000" w:themeColor="text1"/>
        </w:rPr>
      </w:pPr>
    </w:p>
    <w:p w14:paraId="0818E60F" w14:textId="77777777" w:rsidR="00855A4C" w:rsidRPr="006C0CEF" w:rsidRDefault="00855A4C" w:rsidP="00855A4C">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Recommends</w:t>
      </w:r>
      <w:r w:rsidRPr="006C0CEF">
        <w:rPr>
          <w:rFonts w:ascii="Cambria" w:eastAsia="Cambria" w:hAnsi="Cambria" w:cs="Cambria"/>
          <w:color w:val="000000" w:themeColor="text1"/>
        </w:rPr>
        <w:t xml:space="preserve"> that efforts be made by the international community to protect citizens from and inform citizens of land mines, including </w:t>
      </w:r>
    </w:p>
    <w:p w14:paraId="3E3E91B6" w14:textId="4AEF04EA" w:rsidR="00855A4C" w:rsidRPr="006C0CEF" w:rsidRDefault="0053630C" w:rsidP="00C80AE3">
      <w:pPr>
        <w:numPr>
          <w:ilvl w:val="1"/>
          <w:numId w:val="14"/>
        </w:numPr>
        <w:spacing w:after="0"/>
        <w:ind w:left="1080"/>
        <w:contextualSpacing/>
        <w:rPr>
          <w:rFonts w:ascii="Cambria" w:eastAsia="Cambria" w:hAnsi="Cambria" w:cs="Cambria"/>
          <w:color w:val="000000" w:themeColor="text1"/>
        </w:rPr>
      </w:pPr>
      <w:r w:rsidRPr="006C0CEF">
        <w:rPr>
          <w:rFonts w:ascii="Cambria" w:eastAsia="Cambria" w:hAnsi="Cambria" w:cs="Cambria"/>
          <w:color w:val="000000" w:themeColor="text1"/>
        </w:rPr>
        <w:t>D</w:t>
      </w:r>
      <w:r w:rsidR="00855A4C" w:rsidRPr="006C0CEF">
        <w:rPr>
          <w:rFonts w:ascii="Cambria" w:eastAsia="Cambria" w:hAnsi="Cambria" w:cs="Cambria"/>
          <w:color w:val="000000" w:themeColor="text1"/>
        </w:rPr>
        <w:t xml:space="preserve">edicating resources towards </w:t>
      </w:r>
      <w:r w:rsidR="000F7A66" w:rsidRPr="006C0CEF">
        <w:rPr>
          <w:rFonts w:ascii="Cambria" w:eastAsia="Cambria" w:hAnsi="Cambria" w:cs="Cambria"/>
          <w:color w:val="000000" w:themeColor="text1"/>
        </w:rPr>
        <w:t xml:space="preserve">and endorsing the </w:t>
      </w:r>
      <w:r w:rsidR="00855A4C" w:rsidRPr="006C0CEF">
        <w:rPr>
          <w:rFonts w:ascii="Cambria" w:eastAsia="Cambria" w:hAnsi="Cambria" w:cs="Cambria"/>
          <w:color w:val="000000" w:themeColor="text1"/>
        </w:rPr>
        <w:t xml:space="preserve">research and development </w:t>
      </w:r>
      <w:r w:rsidR="000F7A66" w:rsidRPr="006C0CEF">
        <w:rPr>
          <w:rFonts w:ascii="Cambria" w:eastAsia="Cambria" w:hAnsi="Cambria" w:cs="Cambria"/>
          <w:color w:val="000000" w:themeColor="text1"/>
        </w:rPr>
        <w:t xml:space="preserve">by NGOs </w:t>
      </w:r>
      <w:r w:rsidR="00855A4C" w:rsidRPr="006C0CEF">
        <w:rPr>
          <w:rFonts w:ascii="Cambria" w:eastAsia="Cambria" w:hAnsi="Cambria" w:cs="Cambria"/>
          <w:color w:val="000000" w:themeColor="text1"/>
        </w:rPr>
        <w:t>of widely and easily accessible software or resources, such as a smartphone app</w:t>
      </w:r>
      <w:r w:rsidR="00FA73D2" w:rsidRPr="006C0CEF">
        <w:rPr>
          <w:rFonts w:ascii="Cambria" w:eastAsia="Cambria" w:hAnsi="Cambria" w:cs="Cambria"/>
          <w:color w:val="000000" w:themeColor="text1"/>
        </w:rPr>
        <w:t xml:space="preserve"> accessible to civilians</w:t>
      </w:r>
      <w:r w:rsidR="00855A4C" w:rsidRPr="006C0CEF">
        <w:rPr>
          <w:rFonts w:ascii="Cambria" w:eastAsia="Cambria" w:hAnsi="Cambria" w:cs="Cambria"/>
          <w:color w:val="000000" w:themeColor="text1"/>
        </w:rPr>
        <w:t>, that would inform citizens of the locations of non-military land mines</w:t>
      </w:r>
    </w:p>
    <w:p w14:paraId="29866777" w14:textId="2C596541" w:rsidR="00855A4C" w:rsidRDefault="009B12B1" w:rsidP="00C80AE3">
      <w:pPr>
        <w:numPr>
          <w:ilvl w:val="1"/>
          <w:numId w:val="14"/>
        </w:numPr>
        <w:spacing w:after="0"/>
        <w:ind w:left="1080"/>
        <w:contextualSpacing/>
        <w:rPr>
          <w:rFonts w:ascii="Cambria" w:eastAsia="Cambria" w:hAnsi="Cambria" w:cs="Cambria"/>
          <w:color w:val="000000" w:themeColor="text1"/>
        </w:rPr>
      </w:pPr>
      <w:r w:rsidRPr="006C0CEF">
        <w:rPr>
          <w:rFonts w:ascii="Cambria" w:eastAsia="Cambria" w:hAnsi="Cambria" w:cs="Cambria"/>
          <w:color w:val="000000" w:themeColor="text1"/>
        </w:rPr>
        <w:t>W</w:t>
      </w:r>
      <w:r w:rsidR="00855A4C" w:rsidRPr="006C0CEF">
        <w:rPr>
          <w:rFonts w:ascii="Cambria" w:eastAsia="Cambria" w:hAnsi="Cambria" w:cs="Cambria"/>
          <w:color w:val="000000" w:themeColor="text1"/>
        </w:rPr>
        <w:t xml:space="preserve">orking alongside and supporting </w:t>
      </w:r>
      <w:r w:rsidR="00FA73D2" w:rsidRPr="006C0CEF">
        <w:rPr>
          <w:rFonts w:ascii="Cambria" w:eastAsia="Cambria" w:hAnsi="Cambria" w:cs="Cambria"/>
          <w:color w:val="000000" w:themeColor="text1"/>
        </w:rPr>
        <w:t xml:space="preserve">various UN bodies and </w:t>
      </w:r>
      <w:r w:rsidR="000F7A66" w:rsidRPr="006C0CEF">
        <w:rPr>
          <w:rFonts w:ascii="Cambria" w:eastAsia="Cambria" w:hAnsi="Cambria" w:cs="Cambria"/>
          <w:color w:val="000000" w:themeColor="text1"/>
        </w:rPr>
        <w:t xml:space="preserve">NGOs such as the </w:t>
      </w:r>
      <w:r w:rsidR="00855A4C" w:rsidRPr="006C0CEF">
        <w:rPr>
          <w:rFonts w:ascii="Cambria" w:eastAsia="Cambria" w:hAnsi="Cambria" w:cs="Cambria"/>
          <w:color w:val="000000" w:themeColor="text1"/>
        </w:rPr>
        <w:t xml:space="preserve">Mines Advisory </w:t>
      </w:r>
      <w:r w:rsidR="001F208A" w:rsidRPr="006C0CEF">
        <w:rPr>
          <w:rFonts w:ascii="Cambria" w:eastAsia="Cambria" w:hAnsi="Cambria" w:cs="Cambria"/>
          <w:color w:val="000000" w:themeColor="text1"/>
        </w:rPr>
        <w:t xml:space="preserve">Group </w:t>
      </w:r>
      <w:r w:rsidR="00855A4C" w:rsidRPr="006C0CEF">
        <w:rPr>
          <w:rFonts w:ascii="Cambria" w:eastAsia="Cambria" w:hAnsi="Cambria" w:cs="Cambria"/>
          <w:color w:val="000000" w:themeColor="text1"/>
        </w:rPr>
        <w:t>in efforts</w:t>
      </w:r>
      <w:r w:rsidR="00FA73D2" w:rsidRPr="006C0CEF">
        <w:rPr>
          <w:rFonts w:ascii="Cambria" w:eastAsia="Cambria" w:hAnsi="Cambria" w:cs="Cambria"/>
          <w:color w:val="000000" w:themeColor="text1"/>
        </w:rPr>
        <w:t>,</w:t>
      </w:r>
      <w:r w:rsidR="00855A4C" w:rsidRPr="006C0CEF">
        <w:rPr>
          <w:rFonts w:ascii="Cambria" w:eastAsia="Cambria" w:hAnsi="Cambria" w:cs="Cambria"/>
          <w:color w:val="000000" w:themeColor="text1"/>
        </w:rPr>
        <w:t xml:space="preserve"> </w:t>
      </w:r>
      <w:r w:rsidR="00FA73D2" w:rsidRPr="006C0CEF">
        <w:rPr>
          <w:rFonts w:ascii="Cambria" w:eastAsia="Cambria" w:hAnsi="Cambria" w:cs="Cambria"/>
          <w:color w:val="000000" w:themeColor="text1"/>
        </w:rPr>
        <w:t xml:space="preserve">such as MAG’s Risk Education programmes and response to emergency and conflict situations, </w:t>
      </w:r>
      <w:r w:rsidR="00855A4C" w:rsidRPr="006C0CEF">
        <w:rPr>
          <w:rFonts w:ascii="Cambria" w:eastAsia="Cambria" w:hAnsi="Cambria" w:cs="Cambria"/>
          <w:color w:val="000000" w:themeColor="text1"/>
        </w:rPr>
        <w:t>to educate and protect citizens, including children in public schools, who are still unable to access aforementioned resources and/or who are endangered by land mines in military zones;</w:t>
      </w:r>
    </w:p>
    <w:p w14:paraId="4BD4E1A0" w14:textId="77777777" w:rsidR="006C0CEF" w:rsidRPr="006C0CEF" w:rsidRDefault="006C0CEF" w:rsidP="006C0CEF">
      <w:pPr>
        <w:spacing w:after="0"/>
        <w:contextualSpacing/>
        <w:rPr>
          <w:rFonts w:ascii="Cambria" w:eastAsia="Cambria" w:hAnsi="Cambria" w:cs="Cambria"/>
          <w:color w:val="000000" w:themeColor="text1"/>
        </w:rPr>
      </w:pPr>
    </w:p>
    <w:p w14:paraId="243C15A7" w14:textId="23E8AC2B" w:rsidR="00855A4C" w:rsidRPr="006C0CEF" w:rsidRDefault="00855A4C" w:rsidP="00855A4C">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Requests</w:t>
      </w:r>
      <w:r w:rsidRPr="006C0CEF">
        <w:rPr>
          <w:rFonts w:ascii="Cambria" w:eastAsia="Cambria" w:hAnsi="Cambria" w:cs="Cambria"/>
          <w:color w:val="000000" w:themeColor="text1"/>
        </w:rPr>
        <w:t xml:space="preserve"> that the Contracting States allocate support </w:t>
      </w:r>
      <w:r w:rsidR="000F7A66" w:rsidRPr="006C0CEF">
        <w:rPr>
          <w:rFonts w:ascii="Cambria" w:eastAsia="Cambria" w:hAnsi="Cambria" w:cs="Cambria"/>
          <w:color w:val="000000" w:themeColor="text1"/>
        </w:rPr>
        <w:t xml:space="preserve">in the form of philanthropic donations and funding </w:t>
      </w:r>
      <w:r w:rsidRPr="006C0CEF">
        <w:rPr>
          <w:rFonts w:ascii="Cambria" w:eastAsia="Cambria" w:hAnsi="Cambria" w:cs="Cambria"/>
          <w:color w:val="000000" w:themeColor="text1"/>
        </w:rPr>
        <w:t>towards demining efforts in countries affected by unnecessary landmines, and work towards creating an international infrastructure for demining;</w:t>
      </w:r>
    </w:p>
    <w:p w14:paraId="312FD035" w14:textId="5FD81386" w:rsidR="00855A4C" w:rsidRPr="006C0CEF" w:rsidRDefault="00855A4C" w:rsidP="00855A4C">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lastRenderedPageBreak/>
        <w:t xml:space="preserve">Calls </w:t>
      </w:r>
      <w:r w:rsidR="001F208A" w:rsidRPr="006C0CEF">
        <w:rPr>
          <w:rFonts w:ascii="Cambria" w:eastAsia="Cambria" w:hAnsi="Cambria" w:cs="Cambria"/>
          <w:i/>
          <w:color w:val="000000" w:themeColor="text1"/>
        </w:rPr>
        <w:t>upon</w:t>
      </w:r>
      <w:r w:rsidR="001F208A" w:rsidRPr="006C0CEF">
        <w:rPr>
          <w:rFonts w:ascii="Cambria" w:eastAsia="Cambria" w:hAnsi="Cambria" w:cs="Cambria"/>
          <w:color w:val="000000" w:themeColor="text1"/>
        </w:rPr>
        <w:t xml:space="preserve"> the UNDP to form a branch based upon and partially advised by the Jordanian NCDR that </w:t>
      </w:r>
      <w:r w:rsidRPr="006C0CEF">
        <w:rPr>
          <w:rFonts w:ascii="Cambria" w:eastAsia="Cambria" w:hAnsi="Cambria" w:cs="Cambria"/>
          <w:color w:val="000000" w:themeColor="text1"/>
        </w:rPr>
        <w:t>may organize and further demining efforts worldwide, and for the United Nations to welcome further expertise of other countries;</w:t>
      </w:r>
    </w:p>
    <w:p w14:paraId="4A1B3185" w14:textId="77777777" w:rsidR="006C0CEF" w:rsidRPr="006C0CEF" w:rsidRDefault="006C0CEF" w:rsidP="006C0CEF">
      <w:pPr>
        <w:spacing w:after="0"/>
        <w:rPr>
          <w:color w:val="000000" w:themeColor="text1"/>
        </w:rPr>
      </w:pPr>
    </w:p>
    <w:p w14:paraId="125349C0" w14:textId="77777777" w:rsidR="00855A4C" w:rsidRPr="006C0CEF" w:rsidRDefault="00855A4C" w:rsidP="00855A4C">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Transmits</w:t>
      </w:r>
      <w:r w:rsidRPr="006C0CEF">
        <w:rPr>
          <w:rFonts w:ascii="Cambria" w:eastAsia="Cambria" w:hAnsi="Cambria" w:cs="Cambria"/>
          <w:color w:val="000000" w:themeColor="text1"/>
        </w:rPr>
        <w:t xml:space="preserve"> the gathering of funds for such efforts onto the UNDP, and </w:t>
      </w:r>
    </w:p>
    <w:p w14:paraId="20410755" w14:textId="77777777" w:rsidR="00855A4C" w:rsidRPr="006C0CEF" w:rsidRDefault="00855A4C" w:rsidP="00C80AE3">
      <w:pPr>
        <w:numPr>
          <w:ilvl w:val="1"/>
          <w:numId w:val="14"/>
        </w:numPr>
        <w:spacing w:after="0"/>
        <w:ind w:left="1080"/>
        <w:contextualSpacing/>
        <w:rPr>
          <w:rFonts w:ascii="Cambria" w:eastAsia="Cambria" w:hAnsi="Cambria" w:cs="Cambria"/>
          <w:color w:val="000000" w:themeColor="text1"/>
        </w:rPr>
      </w:pPr>
      <w:r w:rsidRPr="006C0CEF">
        <w:rPr>
          <w:rFonts w:ascii="Cambria" w:eastAsia="Cambria" w:hAnsi="Cambria" w:cs="Cambria"/>
          <w:color w:val="000000" w:themeColor="text1"/>
        </w:rPr>
        <w:t>deplores that those Contracting States who are able to do so will extend further funding to the UNDP and the NCDR to aid in these efforts, and</w:t>
      </w:r>
    </w:p>
    <w:p w14:paraId="79C30907" w14:textId="77777777" w:rsidR="00855A4C" w:rsidRPr="006C0CEF" w:rsidRDefault="00855A4C" w:rsidP="00C80AE3">
      <w:pPr>
        <w:numPr>
          <w:ilvl w:val="1"/>
          <w:numId w:val="14"/>
        </w:numPr>
        <w:spacing w:after="0"/>
        <w:ind w:left="1080"/>
        <w:contextualSpacing/>
        <w:rPr>
          <w:rFonts w:ascii="Cambria" w:eastAsia="Cambria" w:hAnsi="Cambria" w:cs="Cambria"/>
          <w:color w:val="000000" w:themeColor="text1"/>
        </w:rPr>
      </w:pPr>
      <w:r w:rsidRPr="006C0CEF">
        <w:rPr>
          <w:rFonts w:ascii="Cambria" w:eastAsia="Cambria" w:hAnsi="Cambria" w:cs="Cambria"/>
          <w:color w:val="000000" w:themeColor="text1"/>
        </w:rPr>
        <w:t>encourages the incorporation of microloans and NGOs in the financial and labor strategy of the UNDP and the NCDR, and</w:t>
      </w:r>
    </w:p>
    <w:p w14:paraId="5095937B" w14:textId="54E351AF" w:rsidR="00855A4C" w:rsidRDefault="00855A4C" w:rsidP="00C80AE3">
      <w:pPr>
        <w:numPr>
          <w:ilvl w:val="1"/>
          <w:numId w:val="14"/>
        </w:numPr>
        <w:spacing w:after="0" w:line="240" w:lineRule="auto"/>
        <w:ind w:left="1080"/>
        <w:contextualSpacing/>
        <w:rPr>
          <w:rFonts w:ascii="Cambria" w:eastAsia="Cambria" w:hAnsi="Cambria" w:cs="Cambria"/>
          <w:color w:val="000000" w:themeColor="text1"/>
        </w:rPr>
      </w:pPr>
      <w:r w:rsidRPr="006C0CEF">
        <w:rPr>
          <w:rFonts w:ascii="Cambria" w:eastAsia="Cambria" w:hAnsi="Cambria" w:cs="Cambria"/>
          <w:color w:val="000000" w:themeColor="text1"/>
        </w:rPr>
        <w:t>suggests that local farming enterprises and cooperatives make use of land cleared of landmines to produce revenues with which the microloans can be repaid;</w:t>
      </w:r>
    </w:p>
    <w:p w14:paraId="5D40F76C" w14:textId="77777777" w:rsidR="006C0CEF" w:rsidRPr="006C0CEF" w:rsidRDefault="006C0CEF" w:rsidP="006C0CEF">
      <w:pPr>
        <w:spacing w:after="0" w:line="240" w:lineRule="auto"/>
        <w:contextualSpacing/>
        <w:rPr>
          <w:rFonts w:ascii="Cambria" w:eastAsia="Cambria" w:hAnsi="Cambria" w:cs="Cambria"/>
          <w:color w:val="000000" w:themeColor="text1"/>
        </w:rPr>
      </w:pPr>
    </w:p>
    <w:p w14:paraId="7B9848AA" w14:textId="19BF346B" w:rsidR="00855A4C" w:rsidRPr="00C80AE3" w:rsidRDefault="00855A4C" w:rsidP="00070536">
      <w:pPr>
        <w:pStyle w:val="ListParagraph"/>
        <w:numPr>
          <w:ilvl w:val="0"/>
          <w:numId w:val="14"/>
        </w:numPr>
        <w:spacing w:after="0" w:line="276" w:lineRule="auto"/>
        <w:rPr>
          <w:color w:val="000000" w:themeColor="text1"/>
        </w:rPr>
      </w:pPr>
      <w:r w:rsidRPr="006C0CEF">
        <w:rPr>
          <w:rFonts w:ascii="Cambria" w:eastAsia="Cambria" w:hAnsi="Cambria" w:cs="Cambria"/>
          <w:i/>
          <w:color w:val="000000" w:themeColor="text1"/>
        </w:rPr>
        <w:t>Authorizes</w:t>
      </w:r>
      <w:r w:rsidRPr="006C0CEF">
        <w:rPr>
          <w:rFonts w:ascii="Cambria" w:eastAsia="Cambria" w:hAnsi="Cambria" w:cs="Cambria"/>
          <w:color w:val="000000" w:themeColor="text1"/>
        </w:rPr>
        <w:t xml:space="preserve"> the </w:t>
      </w:r>
      <w:r w:rsidR="001F208A" w:rsidRPr="006C0CEF">
        <w:rPr>
          <w:rFonts w:ascii="Cambria" w:eastAsia="Cambria" w:hAnsi="Cambria" w:cs="Cambria"/>
          <w:color w:val="000000" w:themeColor="text1"/>
        </w:rPr>
        <w:t xml:space="preserve">aforementioned UNDP branch organization </w:t>
      </w:r>
      <w:r w:rsidRPr="006C0CEF">
        <w:rPr>
          <w:rFonts w:ascii="Cambria" w:eastAsia="Cambria" w:hAnsi="Cambria" w:cs="Cambria"/>
          <w:color w:val="000000" w:themeColor="text1"/>
        </w:rPr>
        <w:t xml:space="preserve">and </w:t>
      </w:r>
      <w:r w:rsidR="001F208A" w:rsidRPr="006C0CEF">
        <w:rPr>
          <w:rFonts w:ascii="Cambria" w:eastAsia="Cambria" w:hAnsi="Cambria" w:cs="Cambria"/>
          <w:color w:val="000000" w:themeColor="text1"/>
        </w:rPr>
        <w:t xml:space="preserve">international NGOs such as the </w:t>
      </w:r>
      <w:r w:rsidRPr="006C0CEF">
        <w:rPr>
          <w:rFonts w:ascii="Cambria" w:eastAsia="Cambria" w:hAnsi="Cambria" w:cs="Cambria"/>
          <w:color w:val="000000" w:themeColor="text1"/>
        </w:rPr>
        <w:t xml:space="preserve">Mines Advisory </w:t>
      </w:r>
      <w:r w:rsidR="001F208A" w:rsidRPr="006C0CEF">
        <w:rPr>
          <w:rFonts w:ascii="Cambria" w:eastAsia="Cambria" w:hAnsi="Cambria" w:cs="Cambria"/>
          <w:color w:val="000000" w:themeColor="text1"/>
        </w:rPr>
        <w:t xml:space="preserve">Group </w:t>
      </w:r>
      <w:r w:rsidRPr="006C0CEF">
        <w:rPr>
          <w:rFonts w:ascii="Cambria" w:eastAsia="Cambria" w:hAnsi="Cambria" w:cs="Cambria"/>
          <w:color w:val="000000" w:themeColor="text1"/>
        </w:rPr>
        <w:t>to prioritize nations based on number of mine-related casualties and injuries</w:t>
      </w:r>
      <w:r w:rsidR="001F208A" w:rsidRPr="006C0CEF">
        <w:rPr>
          <w:rFonts w:ascii="Cambria" w:eastAsia="Cambria" w:hAnsi="Cambria" w:cs="Cambria"/>
          <w:color w:val="000000" w:themeColor="text1"/>
        </w:rPr>
        <w:t xml:space="preserve"> per capita per year</w:t>
      </w:r>
      <w:r w:rsidRPr="006C0CEF">
        <w:rPr>
          <w:rFonts w:ascii="Cambria" w:eastAsia="Cambria" w:hAnsi="Cambria" w:cs="Cambria"/>
          <w:color w:val="000000" w:themeColor="text1"/>
        </w:rPr>
        <w:t>, and then to focus more of their energy and resources on those countries that are more in need of aid.</w:t>
      </w:r>
      <w:bookmarkStart w:id="0" w:name="_GoBack"/>
      <w:bookmarkEnd w:id="0"/>
    </w:p>
    <w:sectPr w:rsidR="00855A4C" w:rsidRPr="00C80AE3" w:rsidSect="00237B3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8A00E" w14:textId="77777777" w:rsidR="00642A0E" w:rsidRDefault="00642A0E" w:rsidP="00070536">
      <w:pPr>
        <w:spacing w:after="0" w:line="240" w:lineRule="auto"/>
      </w:pPr>
      <w:r>
        <w:separator/>
      </w:r>
    </w:p>
  </w:endnote>
  <w:endnote w:type="continuationSeparator" w:id="0">
    <w:p w14:paraId="3F5FA59B" w14:textId="77777777" w:rsidR="00642A0E" w:rsidRDefault="00642A0E" w:rsidP="0007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Whitney-Light">
    <w:altName w:val="Times New Roman"/>
    <w:charset w:val="00"/>
    <w:family w:val="auto"/>
    <w:pitch w:val="variable"/>
    <w:sig w:usb0="800000A7" w:usb1="00000000" w:usb2="00000000" w:usb3="00000000" w:csb0="00000009"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E0EF8" w14:textId="77777777" w:rsidR="00642A0E" w:rsidRDefault="00642A0E" w:rsidP="00070536">
      <w:pPr>
        <w:spacing w:after="0" w:line="240" w:lineRule="auto"/>
      </w:pPr>
      <w:r>
        <w:separator/>
      </w:r>
    </w:p>
  </w:footnote>
  <w:footnote w:type="continuationSeparator" w:id="0">
    <w:p w14:paraId="6BDC2C76" w14:textId="77777777" w:rsidR="00642A0E" w:rsidRDefault="00642A0E" w:rsidP="000705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D3B"/>
    <w:multiLevelType w:val="hybridMultilevel"/>
    <w:tmpl w:val="FC32A5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166B6"/>
    <w:multiLevelType w:val="hybridMultilevel"/>
    <w:tmpl w:val="86F4D11E"/>
    <w:lvl w:ilvl="0" w:tplc="4E4C53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34C5"/>
    <w:multiLevelType w:val="hybridMultilevel"/>
    <w:tmpl w:val="AFE21C6E"/>
    <w:lvl w:ilvl="0" w:tplc="0BE804A6">
      <w:start w:val="1"/>
      <w:numFmt w:val="lowerLetter"/>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2381C0B"/>
    <w:multiLevelType w:val="hybridMultilevel"/>
    <w:tmpl w:val="321016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0F1B6B"/>
    <w:multiLevelType w:val="hybridMultilevel"/>
    <w:tmpl w:val="617AFCA4"/>
    <w:lvl w:ilvl="0" w:tplc="B700FC8E">
      <w:start w:val="2"/>
      <w:numFmt w:val="lowerRoman"/>
      <w:lvlText w:val="%1)"/>
      <w:lvlJc w:val="left"/>
      <w:pPr>
        <w:ind w:left="2880" w:hanging="720"/>
      </w:pPr>
      <w:rPr>
        <w:rFonts w:ascii="Cambria" w:eastAsia="Cambria" w:hAnsi="Cambria" w:cs="Cambr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F2879CB"/>
    <w:multiLevelType w:val="hybridMultilevel"/>
    <w:tmpl w:val="EBB8B6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5E7CEC"/>
    <w:multiLevelType w:val="hybridMultilevel"/>
    <w:tmpl w:val="6ED2DA86"/>
    <w:lvl w:ilvl="0" w:tplc="C950A7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73778"/>
    <w:multiLevelType w:val="hybridMultilevel"/>
    <w:tmpl w:val="A6A44BAC"/>
    <w:lvl w:ilvl="0" w:tplc="8AE05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0568F"/>
    <w:multiLevelType w:val="hybridMultilevel"/>
    <w:tmpl w:val="EBB8B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64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5E250D3"/>
    <w:multiLevelType w:val="hybridMultilevel"/>
    <w:tmpl w:val="2D54523E"/>
    <w:lvl w:ilvl="0" w:tplc="DED2C438">
      <w:start w:val="9"/>
      <w:numFmt w:val="lowerLetter"/>
      <w:lvlText w:val="%1)"/>
      <w:lvlJc w:val="left"/>
      <w:pPr>
        <w:ind w:left="2160" w:hanging="360"/>
      </w:pPr>
      <w:rPr>
        <w:rFonts w:ascii="Cambria" w:eastAsia="Cambria" w:hAnsi="Cambria" w:cs="Cambr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65F1ABD"/>
    <w:multiLevelType w:val="hybridMultilevel"/>
    <w:tmpl w:val="EBB8B6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340662"/>
    <w:multiLevelType w:val="hybridMultilevel"/>
    <w:tmpl w:val="81A41078"/>
    <w:lvl w:ilvl="0" w:tplc="3A16D87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660CE"/>
    <w:multiLevelType w:val="hybridMultilevel"/>
    <w:tmpl w:val="81A41078"/>
    <w:lvl w:ilvl="0" w:tplc="3A16D87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CE1C2B"/>
    <w:multiLevelType w:val="hybridMultilevel"/>
    <w:tmpl w:val="EBB8B60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522780"/>
    <w:multiLevelType w:val="hybridMultilevel"/>
    <w:tmpl w:val="321016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52626A"/>
    <w:multiLevelType w:val="hybridMultilevel"/>
    <w:tmpl w:val="5BCE53E2"/>
    <w:lvl w:ilvl="0" w:tplc="3E3CF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BA21D7"/>
    <w:multiLevelType w:val="hybridMultilevel"/>
    <w:tmpl w:val="A9744052"/>
    <w:lvl w:ilvl="0" w:tplc="92C04238">
      <w:start w:val="1"/>
      <w:numFmt w:val="lowerLetter"/>
      <w:lvlText w:val="%1)"/>
      <w:lvlJc w:val="left"/>
      <w:pPr>
        <w:ind w:left="1080" w:hanging="360"/>
      </w:pPr>
      <w:rPr>
        <w:rFonts w:ascii="Cambria" w:eastAsia="Cambria" w:hAnsi="Cambria" w:cs="Cambr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464DD3"/>
    <w:multiLevelType w:val="hybridMultilevel"/>
    <w:tmpl w:val="CF22C818"/>
    <w:lvl w:ilvl="0" w:tplc="41F81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3"/>
  </w:num>
  <w:num w:numId="4">
    <w:abstractNumId w:val="8"/>
  </w:num>
  <w:num w:numId="5">
    <w:abstractNumId w:val="11"/>
  </w:num>
  <w:num w:numId="6">
    <w:abstractNumId w:val="5"/>
  </w:num>
  <w:num w:numId="7">
    <w:abstractNumId w:val="14"/>
  </w:num>
  <w:num w:numId="8">
    <w:abstractNumId w:val="15"/>
  </w:num>
  <w:num w:numId="9">
    <w:abstractNumId w:val="3"/>
  </w:num>
  <w:num w:numId="10">
    <w:abstractNumId w:val="18"/>
  </w:num>
  <w:num w:numId="11">
    <w:abstractNumId w:val="6"/>
  </w:num>
  <w:num w:numId="12">
    <w:abstractNumId w:val="1"/>
  </w:num>
  <w:num w:numId="13">
    <w:abstractNumId w:val="0"/>
  </w:num>
  <w:num w:numId="14">
    <w:abstractNumId w:val="9"/>
  </w:num>
  <w:num w:numId="15">
    <w:abstractNumId w:val="16"/>
  </w:num>
  <w:num w:numId="16">
    <w:abstractNumId w:val="17"/>
  </w:num>
  <w:num w:numId="17">
    <w:abstractNumId w:val="10"/>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71"/>
    <w:rsid w:val="00070536"/>
    <w:rsid w:val="000F24BD"/>
    <w:rsid w:val="000F7A66"/>
    <w:rsid w:val="00124E96"/>
    <w:rsid w:val="001E4CD3"/>
    <w:rsid w:val="001E6C71"/>
    <w:rsid w:val="001F208A"/>
    <w:rsid w:val="001F7140"/>
    <w:rsid w:val="00214CBB"/>
    <w:rsid w:val="00220358"/>
    <w:rsid w:val="00237B3D"/>
    <w:rsid w:val="0027334F"/>
    <w:rsid w:val="00354B66"/>
    <w:rsid w:val="00355900"/>
    <w:rsid w:val="003A6E88"/>
    <w:rsid w:val="00405308"/>
    <w:rsid w:val="00417646"/>
    <w:rsid w:val="004468FE"/>
    <w:rsid w:val="004A73B3"/>
    <w:rsid w:val="0053630C"/>
    <w:rsid w:val="00642A0E"/>
    <w:rsid w:val="00646C56"/>
    <w:rsid w:val="00687A47"/>
    <w:rsid w:val="006C0CEF"/>
    <w:rsid w:val="00713121"/>
    <w:rsid w:val="00855A4C"/>
    <w:rsid w:val="009B12B1"/>
    <w:rsid w:val="00A02DFB"/>
    <w:rsid w:val="00B1719C"/>
    <w:rsid w:val="00B31D50"/>
    <w:rsid w:val="00BB6FEB"/>
    <w:rsid w:val="00BC293B"/>
    <w:rsid w:val="00BE0E11"/>
    <w:rsid w:val="00C80AE3"/>
    <w:rsid w:val="00D74158"/>
    <w:rsid w:val="00DA6FE0"/>
    <w:rsid w:val="00DE15C1"/>
    <w:rsid w:val="00E32A11"/>
    <w:rsid w:val="00F01C3A"/>
    <w:rsid w:val="00F40AB1"/>
    <w:rsid w:val="00F42E56"/>
    <w:rsid w:val="00F87079"/>
    <w:rsid w:val="00FA7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05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536"/>
    <w:pPr>
      <w:spacing w:after="160" w:line="259" w:lineRule="auto"/>
      <w:ind w:left="720"/>
      <w:contextualSpacing/>
    </w:pPr>
    <w:rPr>
      <w:rFonts w:ascii="Whitney-Light" w:eastAsiaTheme="minorEastAsia" w:hAnsi="Whitney-Light"/>
      <w:lang w:val="en-CA" w:eastAsia="ja-JP"/>
    </w:rPr>
  </w:style>
  <w:style w:type="table" w:styleId="TableGrid">
    <w:name w:val="Table Grid"/>
    <w:basedOn w:val="TableNormal"/>
    <w:uiPriority w:val="59"/>
    <w:rsid w:val="00070536"/>
    <w:pPr>
      <w:spacing w:after="0" w:line="240" w:lineRule="auto"/>
    </w:pPr>
    <w:rPr>
      <w:rFonts w:eastAsiaTheme="minorEastAsia"/>
      <w:sz w:val="24"/>
      <w:szCs w:val="24"/>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70536"/>
    <w:pPr>
      <w:spacing w:after="0" w:line="240" w:lineRule="auto"/>
    </w:pPr>
    <w:rPr>
      <w:rFonts w:eastAsiaTheme="minorEastAsia"/>
      <w:sz w:val="24"/>
      <w:szCs w:val="24"/>
      <w:lang w:eastAsia="ja-JP"/>
    </w:rPr>
  </w:style>
  <w:style w:type="character" w:customStyle="1" w:styleId="FootnoteTextChar">
    <w:name w:val="Footnote Text Char"/>
    <w:basedOn w:val="DefaultParagraphFont"/>
    <w:link w:val="FootnoteText"/>
    <w:uiPriority w:val="99"/>
    <w:rsid w:val="00070536"/>
    <w:rPr>
      <w:rFonts w:eastAsiaTheme="minorEastAsia"/>
      <w:sz w:val="24"/>
      <w:szCs w:val="24"/>
      <w:lang w:eastAsia="ja-JP"/>
    </w:rPr>
  </w:style>
  <w:style w:type="character" w:styleId="FootnoteReference">
    <w:name w:val="footnote reference"/>
    <w:basedOn w:val="DefaultParagraphFont"/>
    <w:uiPriority w:val="99"/>
    <w:unhideWhenUsed/>
    <w:rsid w:val="00070536"/>
    <w:rPr>
      <w:vertAlign w:val="superscript"/>
    </w:rPr>
  </w:style>
  <w:style w:type="paragraph" w:styleId="BalloonText">
    <w:name w:val="Balloon Text"/>
    <w:basedOn w:val="Normal"/>
    <w:link w:val="BalloonTextChar"/>
    <w:uiPriority w:val="99"/>
    <w:semiHidden/>
    <w:unhideWhenUsed/>
    <w:rsid w:val="0007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536"/>
    <w:rPr>
      <w:rFonts w:ascii="Tahoma" w:hAnsi="Tahoma" w:cs="Tahoma"/>
      <w:sz w:val="16"/>
      <w:szCs w:val="16"/>
    </w:rPr>
  </w:style>
  <w:style w:type="character" w:styleId="LineNumber">
    <w:name w:val="line number"/>
    <w:basedOn w:val="DefaultParagraphFont"/>
    <w:uiPriority w:val="99"/>
    <w:semiHidden/>
    <w:unhideWhenUsed/>
    <w:rsid w:val="00237B3D"/>
  </w:style>
  <w:style w:type="character" w:styleId="CommentReference">
    <w:name w:val="annotation reference"/>
    <w:basedOn w:val="DefaultParagraphFont"/>
    <w:uiPriority w:val="99"/>
    <w:semiHidden/>
    <w:unhideWhenUsed/>
    <w:rsid w:val="003A6E88"/>
    <w:rPr>
      <w:sz w:val="16"/>
      <w:szCs w:val="16"/>
    </w:rPr>
  </w:style>
  <w:style w:type="paragraph" w:styleId="CommentText">
    <w:name w:val="annotation text"/>
    <w:basedOn w:val="Normal"/>
    <w:link w:val="CommentTextChar"/>
    <w:uiPriority w:val="99"/>
    <w:semiHidden/>
    <w:unhideWhenUsed/>
    <w:rsid w:val="003A6E88"/>
    <w:pPr>
      <w:spacing w:line="240" w:lineRule="auto"/>
    </w:pPr>
    <w:rPr>
      <w:sz w:val="20"/>
      <w:szCs w:val="20"/>
    </w:rPr>
  </w:style>
  <w:style w:type="character" w:customStyle="1" w:styleId="CommentTextChar">
    <w:name w:val="Comment Text Char"/>
    <w:basedOn w:val="DefaultParagraphFont"/>
    <w:link w:val="CommentText"/>
    <w:uiPriority w:val="99"/>
    <w:semiHidden/>
    <w:rsid w:val="003A6E88"/>
    <w:rPr>
      <w:sz w:val="20"/>
      <w:szCs w:val="20"/>
    </w:rPr>
  </w:style>
  <w:style w:type="paragraph" w:styleId="CommentSubject">
    <w:name w:val="annotation subject"/>
    <w:basedOn w:val="CommentText"/>
    <w:next w:val="CommentText"/>
    <w:link w:val="CommentSubjectChar"/>
    <w:uiPriority w:val="99"/>
    <w:semiHidden/>
    <w:unhideWhenUsed/>
    <w:rsid w:val="003A6E88"/>
    <w:rPr>
      <w:b/>
      <w:bCs/>
    </w:rPr>
  </w:style>
  <w:style w:type="character" w:customStyle="1" w:styleId="CommentSubjectChar">
    <w:name w:val="Comment Subject Char"/>
    <w:basedOn w:val="CommentTextChar"/>
    <w:link w:val="CommentSubject"/>
    <w:uiPriority w:val="99"/>
    <w:semiHidden/>
    <w:rsid w:val="003A6E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51296-E802-C74F-BF7D-236ED808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876</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Stephen Rimbakusumo</cp:lastModifiedBy>
  <cp:revision>3</cp:revision>
  <cp:lastPrinted>2016-03-04T18:09:00Z</cp:lastPrinted>
  <dcterms:created xsi:type="dcterms:W3CDTF">2016-03-06T21:18:00Z</dcterms:created>
  <dcterms:modified xsi:type="dcterms:W3CDTF">2016-03-06T21:26:00Z</dcterms:modified>
</cp:coreProperties>
</file>