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Example Buyer Ltd. — IT Access Policy</w:t>
      </w:r>
    </w:p>
    <w:p>
      <w:r>
        <w:t>Version: 1.2</w:t>
      </w:r>
    </w:p>
    <w:p>
      <w:r>
        <w:t>Effective Date: 2025-11-01</w:t>
      </w:r>
    </w:p>
    <w:p>
      <w:pPr>
        <w:pStyle w:val="Heading2"/>
      </w:pPr>
      <w:r>
        <w:t>1. Purpose</w:t>
      </w:r>
    </w:p>
    <w:p>
      <w:r>
        <w:t>This document describes acceptable use and access controls for internal systems.</w:t>
      </w:r>
    </w:p>
    <w:p>
      <w:pPr>
        <w:pStyle w:val="Heading2"/>
      </w:pPr>
      <w:r>
        <w:t>2. Key Rules</w:t>
      </w:r>
    </w:p>
    <w:p>
      <w:r>
        <w:t>• Passwords must be at least 12 characters and rotated every 90 days.</w:t>
      </w:r>
    </w:p>
    <w:p>
      <w:r>
        <w:t>• Multi-factor authentication (MFA) is required for administrator accounts.</w:t>
      </w:r>
    </w:p>
    <w:p>
      <w:r>
        <w:t>• Data classified as 'Confidential' must be encrypted at rest and in transit.</w:t>
      </w:r>
    </w:p>
    <w:p>
      <w:pPr>
        <w:pStyle w:val="Heading2"/>
      </w:pPr>
      <w:r>
        <w:t>3. Support</w:t>
      </w:r>
    </w:p>
    <w:p>
      <w:r>
        <w:t>For access requests, email it-support@examplebuyer.test.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