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AD07E" w14:textId="7EB45E36" w:rsidR="00D473E9" w:rsidRPr="00D473E9" w:rsidRDefault="00D473E9" w:rsidP="00D473E9">
      <w:pPr>
        <w:rPr>
          <w:b/>
          <w:bCs/>
        </w:rPr>
      </w:pPr>
      <w:r w:rsidRPr="00D473E9">
        <w:rPr>
          <w:b/>
          <w:bCs/>
        </w:rPr>
        <w:t>Parte 1: Analizando la consistencia de ventas</w:t>
      </w:r>
    </w:p>
    <w:p w14:paraId="364D55E1" w14:textId="77777777" w:rsidR="00D473E9" w:rsidRPr="00D473E9" w:rsidRDefault="00D473E9" w:rsidP="00D473E9">
      <w:pPr>
        <w:numPr>
          <w:ilvl w:val="0"/>
          <w:numId w:val="3"/>
        </w:numPr>
      </w:pPr>
      <w:r w:rsidRPr="00D473E9">
        <w:t>Métricas calculadas:</w:t>
      </w:r>
    </w:p>
    <w:p w14:paraId="4FE465FD" w14:textId="77777777" w:rsidR="00D473E9" w:rsidRPr="00D473E9" w:rsidRDefault="00D473E9" w:rsidP="00D473E9">
      <w:pPr>
        <w:numPr>
          <w:ilvl w:val="1"/>
          <w:numId w:val="3"/>
        </w:numPr>
      </w:pPr>
      <w:r w:rsidRPr="00D473E9">
        <w:t>Sucursal Norte: Media = 500 | Rango = 20 | Desviación Estándar ≈ 7.91</w:t>
      </w:r>
    </w:p>
    <w:p w14:paraId="08297F2B" w14:textId="77777777" w:rsidR="00D473E9" w:rsidRPr="00D473E9" w:rsidRDefault="00D473E9" w:rsidP="00D473E9">
      <w:pPr>
        <w:numPr>
          <w:ilvl w:val="1"/>
          <w:numId w:val="3"/>
        </w:numPr>
      </w:pPr>
      <w:r w:rsidRPr="00D473E9">
        <w:t>Sucursal Sur: Media = 500 | Rango = 1150 | Desviación Estándar ≈ 518.41</w:t>
      </w:r>
    </w:p>
    <w:p w14:paraId="3B004972" w14:textId="77777777" w:rsidR="00D473E9" w:rsidRPr="00D473E9" w:rsidRDefault="00D473E9" w:rsidP="00D473E9">
      <w:pPr>
        <w:numPr>
          <w:ilvl w:val="0"/>
          <w:numId w:val="3"/>
        </w:numPr>
      </w:pPr>
      <w:r w:rsidRPr="00D473E9">
        <w:t>Conclusión: Preferiría gestionar la Sucursal Norte porque presenta una alta estabilidad operativa y previsibilidad en sus ingresos (desvío de apenas 7.91 USD). La Sucursal Sur, a pesar de tener el mismo promedio, posee una dispersión extrema (desvío de 518.41 USD), lo que dificulta la planificación de inventario y personal debido a su alta variabilidad de ingresos diarios.</w:t>
      </w:r>
    </w:p>
    <w:p w14:paraId="150E766E" w14:textId="77777777" w:rsidR="00D473E9" w:rsidRPr="00D473E9" w:rsidRDefault="00D473E9" w:rsidP="00D473E9">
      <w:pPr>
        <w:rPr>
          <w:b/>
          <w:bCs/>
        </w:rPr>
      </w:pPr>
      <w:r w:rsidRPr="00D473E9">
        <w:rPr>
          <w:b/>
          <w:bCs/>
        </w:rPr>
        <w:t xml:space="preserve">Parte 2: Validación estadística de </w:t>
      </w:r>
      <w:proofErr w:type="spellStart"/>
      <w:r w:rsidRPr="00D473E9">
        <w:rPr>
          <w:b/>
          <w:bCs/>
        </w:rPr>
        <w:t>RetailPro</w:t>
      </w:r>
      <w:proofErr w:type="spellEnd"/>
    </w:p>
    <w:p w14:paraId="66E20F88" w14:textId="77777777" w:rsidR="00D473E9" w:rsidRPr="00D473E9" w:rsidRDefault="00D473E9" w:rsidP="00D473E9">
      <w:pPr>
        <w:numPr>
          <w:ilvl w:val="0"/>
          <w:numId w:val="4"/>
        </w:numPr>
      </w:pPr>
      <w:r w:rsidRPr="00D473E9">
        <w:t>a) Ticket promedio real vs. representativo:</w:t>
      </w:r>
    </w:p>
    <w:p w14:paraId="097ACFBE" w14:textId="77777777" w:rsidR="00D473E9" w:rsidRPr="00D473E9" w:rsidRDefault="00D473E9" w:rsidP="00D473E9">
      <w:pPr>
        <w:numPr>
          <w:ilvl w:val="1"/>
          <w:numId w:val="4"/>
        </w:numPr>
      </w:pPr>
      <w:r w:rsidRPr="00D473E9">
        <w:t>Media: 1643.33 USD | Mediana: 1350.00 USD</w:t>
      </w:r>
    </w:p>
    <w:p w14:paraId="47805EC0" w14:textId="77777777" w:rsidR="00D473E9" w:rsidRPr="00D473E9" w:rsidRDefault="00D473E9" w:rsidP="00D473E9">
      <w:pPr>
        <w:numPr>
          <w:ilvl w:val="1"/>
          <w:numId w:val="4"/>
        </w:numPr>
      </w:pPr>
      <w:r w:rsidRPr="00D473E9">
        <w:t xml:space="preserve">Análisis: La media es un 21.7% mayor que la mediana, lo que denota un leve sesgo a la derecha. Sin embargo, al no haber valores extremos absolutos, el KPI de Ticket Promedio en el </w:t>
      </w:r>
      <w:proofErr w:type="spellStart"/>
      <w:r w:rsidRPr="00D473E9">
        <w:t>dashboard</w:t>
      </w:r>
      <w:proofErr w:type="spellEnd"/>
      <w:r w:rsidRPr="00D473E9">
        <w:t xml:space="preserve"> sigue siendo aceptable, aunque la mediana representa de forma más fiel la compra del cliente intermedio o típico del negocio.</w:t>
      </w:r>
    </w:p>
    <w:p w14:paraId="22BFC478" w14:textId="77777777" w:rsidR="00D473E9" w:rsidRPr="00D473E9" w:rsidRDefault="00D473E9" w:rsidP="00D473E9">
      <w:pPr>
        <w:numPr>
          <w:ilvl w:val="0"/>
          <w:numId w:val="4"/>
        </w:numPr>
      </w:pPr>
      <w:r w:rsidRPr="00D473E9">
        <w:t xml:space="preserve">b) Detección de </w:t>
      </w:r>
      <w:proofErr w:type="spellStart"/>
      <w:r w:rsidRPr="00D473E9">
        <w:t>outliers</w:t>
      </w:r>
      <w:proofErr w:type="spellEnd"/>
      <w:r w:rsidRPr="00D473E9">
        <w:t xml:space="preserve"> con IQR:</w:t>
      </w:r>
    </w:p>
    <w:p w14:paraId="31E0E578" w14:textId="77777777" w:rsidR="00D473E9" w:rsidRPr="00D473E9" w:rsidRDefault="00D473E9" w:rsidP="00D473E9">
      <w:pPr>
        <w:numPr>
          <w:ilvl w:val="1"/>
          <w:numId w:val="4"/>
        </w:numPr>
      </w:pPr>
      <w:r w:rsidRPr="00D473E9">
        <w:t>Límites: Q1 = 900, Q3 = 2175, IQR = 1275. Límite Superior = 4087.5 USD.</w:t>
      </w:r>
    </w:p>
    <w:p w14:paraId="1BCFF713" w14:textId="6C118791" w:rsidR="00D473E9" w:rsidRPr="00D473E9" w:rsidRDefault="00D473E9" w:rsidP="00D473E9">
      <w:pPr>
        <w:numPr>
          <w:ilvl w:val="1"/>
          <w:numId w:val="4"/>
        </w:numPr>
      </w:pPr>
      <w:r w:rsidRPr="00D473E9">
        <w:t xml:space="preserve">Hallazgo: </w:t>
      </w:r>
      <w:r w:rsidRPr="0083532C">
        <w:t xml:space="preserve">No </w:t>
      </w:r>
      <w:proofErr w:type="spellStart"/>
      <w:r w:rsidRPr="0083532C">
        <w:t>se</w:t>
      </w:r>
      <w:r w:rsidRPr="00D473E9">
        <w:t>e</w:t>
      </w:r>
      <w:proofErr w:type="spellEnd"/>
      <w:r w:rsidRPr="00D473E9">
        <w:t xml:space="preserve"> detectaron</w:t>
      </w:r>
      <w:r w:rsidRPr="0083532C">
        <w:t xml:space="preserve"> </w:t>
      </w:r>
      <w:r w:rsidRPr="00D473E9">
        <w:t xml:space="preserve">registros como </w:t>
      </w:r>
      <w:proofErr w:type="spellStart"/>
      <w:r w:rsidRPr="00D473E9">
        <w:t>outliers</w:t>
      </w:r>
      <w:proofErr w:type="spellEnd"/>
      <w:r w:rsidRPr="00D473E9">
        <w:t xml:space="preserve">. </w:t>
      </w:r>
      <w:r w:rsidRPr="0083532C">
        <w:t>D</w:t>
      </w:r>
      <w:r w:rsidRPr="00D473E9">
        <w:t xml:space="preserve">emuestra una excelente consistencia en los datos reales de </w:t>
      </w:r>
      <w:proofErr w:type="spellStart"/>
      <w:r w:rsidRPr="00D473E9">
        <w:t>RetailPro</w:t>
      </w:r>
      <w:proofErr w:type="spellEnd"/>
      <w:r w:rsidRPr="00D473E9">
        <w:t xml:space="preserve">. </w:t>
      </w:r>
    </w:p>
    <w:p w14:paraId="14465C83" w14:textId="77777777" w:rsidR="00D473E9" w:rsidRPr="00D473E9" w:rsidRDefault="00D473E9" w:rsidP="00D473E9">
      <w:pPr>
        <w:numPr>
          <w:ilvl w:val="0"/>
          <w:numId w:val="4"/>
        </w:numPr>
      </w:pPr>
      <w:r w:rsidRPr="00D473E9">
        <w:t xml:space="preserve">c) Conexión con el </w:t>
      </w:r>
      <w:proofErr w:type="spellStart"/>
      <w:r w:rsidRPr="00D473E9">
        <w:t>dashboard</w:t>
      </w:r>
      <w:proofErr w:type="spellEnd"/>
      <w:r w:rsidRPr="00D473E9">
        <w:t>:</w:t>
      </w:r>
    </w:p>
    <w:p w14:paraId="6A57C170" w14:textId="77777777" w:rsidR="00D473E9" w:rsidRPr="00D473E9" w:rsidRDefault="00D473E9" w:rsidP="00D473E9">
      <w:pPr>
        <w:numPr>
          <w:ilvl w:val="1"/>
          <w:numId w:val="4"/>
        </w:numPr>
      </w:pPr>
      <w:r w:rsidRPr="00D473E9">
        <w:t xml:space="preserve">Dado que no existen valores atípicos que inflen de forma artificial los reportes, la planificación del </w:t>
      </w:r>
      <w:proofErr w:type="spellStart"/>
      <w:r w:rsidRPr="00D473E9">
        <w:t>dashboard</w:t>
      </w:r>
      <w:proofErr w:type="spellEnd"/>
      <w:r w:rsidRPr="00D473E9">
        <w:t xml:space="preserve"> planteada en el boceto de M7 permanece estadísticamente segura. Como recomendación técnica complementaria, se sugiere añadir una tarjeta secundaria con la Mediana (1350.00) junto al Ticket Promedio para dar una lectura completa de la tendencia central sin sesgos.</w:t>
      </w:r>
    </w:p>
    <w:p w14:paraId="3AD5FDFE" w14:textId="77777777" w:rsidR="00BC41B0" w:rsidRDefault="00BC41B0"/>
    <w:sectPr w:rsidR="00BC41B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3182"/>
    <w:multiLevelType w:val="multilevel"/>
    <w:tmpl w:val="E45E7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934FB7"/>
    <w:multiLevelType w:val="multilevel"/>
    <w:tmpl w:val="B2645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7161BF"/>
    <w:multiLevelType w:val="multilevel"/>
    <w:tmpl w:val="6826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CC40F7"/>
    <w:multiLevelType w:val="multilevel"/>
    <w:tmpl w:val="E50C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944817">
    <w:abstractNumId w:val="3"/>
  </w:num>
  <w:num w:numId="2" w16cid:durableId="951285966">
    <w:abstractNumId w:val="2"/>
  </w:num>
  <w:num w:numId="3" w16cid:durableId="468977617">
    <w:abstractNumId w:val="1"/>
  </w:num>
  <w:num w:numId="4" w16cid:durableId="147747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3E9"/>
    <w:rsid w:val="00217DE8"/>
    <w:rsid w:val="00256FCD"/>
    <w:rsid w:val="00261C05"/>
    <w:rsid w:val="005757C8"/>
    <w:rsid w:val="005A2C8E"/>
    <w:rsid w:val="007D2237"/>
    <w:rsid w:val="0083532C"/>
    <w:rsid w:val="009C0A6F"/>
    <w:rsid w:val="009C39F3"/>
    <w:rsid w:val="00A17D91"/>
    <w:rsid w:val="00BC41B0"/>
    <w:rsid w:val="00D473E9"/>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B55DB"/>
  <w15:chartTrackingRefBased/>
  <w15:docId w15:val="{9B6253E9-B4E5-46B6-A08E-7E7CBE22A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473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473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473E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473E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473E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473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73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73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73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473E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473E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473E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473E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473E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473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73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73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73E9"/>
    <w:rPr>
      <w:rFonts w:eastAsiaTheme="majorEastAsia" w:cstheme="majorBidi"/>
      <w:color w:val="272727" w:themeColor="text1" w:themeTint="D8"/>
    </w:rPr>
  </w:style>
  <w:style w:type="paragraph" w:styleId="Ttulo">
    <w:name w:val="Title"/>
    <w:basedOn w:val="Normal"/>
    <w:next w:val="Normal"/>
    <w:link w:val="TtuloCar"/>
    <w:uiPriority w:val="10"/>
    <w:qFormat/>
    <w:rsid w:val="00D47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73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473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473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73E9"/>
    <w:pPr>
      <w:spacing w:before="160"/>
      <w:jc w:val="center"/>
    </w:pPr>
    <w:rPr>
      <w:i/>
      <w:iCs/>
      <w:color w:val="404040" w:themeColor="text1" w:themeTint="BF"/>
    </w:rPr>
  </w:style>
  <w:style w:type="character" w:customStyle="1" w:styleId="CitaCar">
    <w:name w:val="Cita Car"/>
    <w:basedOn w:val="Fuentedeprrafopredeter"/>
    <w:link w:val="Cita"/>
    <w:uiPriority w:val="29"/>
    <w:rsid w:val="00D473E9"/>
    <w:rPr>
      <w:i/>
      <w:iCs/>
      <w:color w:val="404040" w:themeColor="text1" w:themeTint="BF"/>
    </w:rPr>
  </w:style>
  <w:style w:type="paragraph" w:styleId="Prrafodelista">
    <w:name w:val="List Paragraph"/>
    <w:basedOn w:val="Normal"/>
    <w:uiPriority w:val="34"/>
    <w:qFormat/>
    <w:rsid w:val="00D473E9"/>
    <w:pPr>
      <w:ind w:left="720"/>
      <w:contextualSpacing/>
    </w:pPr>
  </w:style>
  <w:style w:type="character" w:styleId="nfasisintenso">
    <w:name w:val="Intense Emphasis"/>
    <w:basedOn w:val="Fuentedeprrafopredeter"/>
    <w:uiPriority w:val="21"/>
    <w:qFormat/>
    <w:rsid w:val="00D473E9"/>
    <w:rPr>
      <w:i/>
      <w:iCs/>
      <w:color w:val="2F5496" w:themeColor="accent1" w:themeShade="BF"/>
    </w:rPr>
  </w:style>
  <w:style w:type="paragraph" w:styleId="Citadestacada">
    <w:name w:val="Intense Quote"/>
    <w:basedOn w:val="Normal"/>
    <w:next w:val="Normal"/>
    <w:link w:val="CitadestacadaCar"/>
    <w:uiPriority w:val="30"/>
    <w:qFormat/>
    <w:rsid w:val="00D473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473E9"/>
    <w:rPr>
      <w:i/>
      <w:iCs/>
      <w:color w:val="2F5496" w:themeColor="accent1" w:themeShade="BF"/>
    </w:rPr>
  </w:style>
  <w:style w:type="character" w:styleId="Referenciaintensa">
    <w:name w:val="Intense Reference"/>
    <w:basedOn w:val="Fuentedeprrafopredeter"/>
    <w:uiPriority w:val="32"/>
    <w:qFormat/>
    <w:rsid w:val="00D473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257</Words>
  <Characters>1414</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Dias</dc:creator>
  <cp:keywords/>
  <dc:description/>
  <cp:lastModifiedBy>Gustavo Dias</cp:lastModifiedBy>
  <cp:revision>2</cp:revision>
  <dcterms:created xsi:type="dcterms:W3CDTF">2026-09-22T00:10:00Z</dcterms:created>
  <dcterms:modified xsi:type="dcterms:W3CDTF">2026-09-22T00:37:00Z</dcterms:modified>
</cp:coreProperties>
</file>