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000000" w:space="1" w:sz="48" w:val="single"/>
          <w:bottom w:color="000000" w:space="1" w:sz="4" w:val="single"/>
        </w:pBd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5788978</wp:posOffset>
                </wp:positionH>
                <wp:positionV relativeFrom="paragraph">
                  <wp:posOffset>-256856</wp:posOffset>
                </wp:positionV>
                <wp:extent cx="1059815" cy="247015"/>
                <wp:effectExtent b="0" l="0" r="0" t="0"/>
                <wp:wrapNone/>
                <wp:docPr id="1" name=""/>
                <a:graphic>
                  <a:graphicData uri="http://schemas.microsoft.com/office/word/2010/wordprocessingShape">
                    <wps:wsp>
                      <wps:cNvSpPr/>
                      <wps:cNvPr id="2" name="Shape 2"/>
                      <wps:spPr>
                        <a:xfrm>
                          <a:off x="4820855" y="3661255"/>
                          <a:ext cx="1050290" cy="237490"/>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t xml:space="preserve">001 | Página</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5788978</wp:posOffset>
                </wp:positionH>
                <wp:positionV relativeFrom="paragraph">
                  <wp:posOffset>-256856</wp:posOffset>
                </wp:positionV>
                <wp:extent cx="1059815" cy="247015"/>
                <wp:effectExtent b="0" l="0" r="0" t="0"/>
                <wp:wrapNone/>
                <wp:docPr id="1"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1059815" cy="247015"/>
                        </a:xfrm>
                        <a:prstGeom prst="rect"/>
                        <a:ln/>
                      </pic:spPr>
                    </pic:pic>
                  </a:graphicData>
                </a:graphic>
              </wp:anchor>
            </w:drawing>
          </mc:Fallback>
        </mc:AlternateConten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284" w:firstLine="0"/>
        <w:jc w:val="both"/>
        <w:rPr>
          <w:rFonts w:ascii="Arial" w:cs="Arial" w:eastAsia="Arial" w:hAnsi="Arial"/>
          <w:b w:val="1"/>
          <w:bCs w:val="1"/>
          <w:i w:val="0"/>
          <w:iCs w:val="0"/>
          <w:smallCaps w:val="1"/>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4" w:right="284" w:firstLine="0"/>
        <w:jc w:val="center"/>
        <w:rPr>
          <w:rFonts w:ascii="Arial" w:cs="Arial" w:eastAsia="Arial" w:hAnsi="Arial"/>
          <w:b w:val="1"/>
          <w:bCs w:val="1"/>
          <w:i w:val="0"/>
          <w:iCs w:val="0"/>
          <w:smallCaps w:val="1"/>
          <w:strike w:val="0"/>
          <w:color w:val="000000"/>
          <w:sz w:val="28"/>
          <w:szCs w:val="28"/>
          <w:u w:val="none"/>
          <w:shd w:fill="auto" w:val="clear"/>
          <w:vertAlign w:val="baseline"/>
        </w:rPr>
      </w:pPr>
      <w:r w:rsidDel="00000000" w:rsidR="00000000" w:rsidRPr="00000000">
        <w:rPr>
          <w:rFonts w:ascii="Arial" w:cs="Arial" w:eastAsia="Arial" w:hAnsi="Arial"/>
          <w:b w:val="1"/>
          <w:bCs w:val="1"/>
          <w:smallCaps w:val="1"/>
          <w:sz w:val="28"/>
          <w:szCs w:val="28"/>
          <w:rtl w:val="0"/>
        </w:rPr>
        <w:t xml:space="preserve">Desenvolvimento de um Sistema Interativo para Apoio à Reabilitação Motora da Mão</w:t>
      </w:r>
      <w:r w:rsidDel="00000000" w:rsidR="00000000" w:rsidRPr="00000000">
        <w:rPr>
          <w:rtl w:val="0"/>
        </w:rPr>
      </w:r>
    </w:p>
    <w:p w:rsidR="00000000" w:rsidDel="00000000" w:rsidP="00000000" w:rsidRDefault="00000000" w:rsidRPr="00000000" w14:paraId="00000004">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Ana Clara Gomes da Silva</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superscript"/>
          <w:rtl w:val="0"/>
        </w:rPr>
        <w:t xml:space="preserve">1</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Matheus Henrique de Melo Araujo</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superscript"/>
          <w:rtl w:val="0"/>
        </w:rPr>
        <w:t xml:space="preserve">1</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Paulo Henrique Rosado Fernandes</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superscript"/>
          <w:rtl w:val="0"/>
        </w:rPr>
        <w:t xml:space="preserve">1</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Sophia de Araújo Galindo Pinto</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superscript"/>
          <w:rtl w:val="0"/>
        </w:rPr>
        <w:t xml:space="preserve">1</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Izabella Nunes de Vasconcelos</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superscript"/>
          <w:rtl w:val="0"/>
        </w:rPr>
        <w:t xml:space="preserve">1</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Jymmy Paul Souza Barreto</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superscript"/>
          <w:rtl w:val="0"/>
        </w:rPr>
        <w:t xml:space="preserve">1</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acgs@cesar.school, mhma@cesar.school, phrf@cesar.school, sagp@cesar.school</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superscript"/>
          <w:rtl w:val="0"/>
        </w:rPr>
        <w:t xml:space="preserve">1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CESAR SCHOOL</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Recife - PE</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Categoria: ARTIGO SUPERIOR / TECNOLOGIAS ASSISTIVAS</w:t>
      </w:r>
    </w:p>
    <w:p w:rsidR="00000000" w:rsidDel="00000000" w:rsidP="00000000" w:rsidRDefault="00000000" w:rsidRPr="00000000" w14:paraId="0000000B">
      <w:pPr>
        <w:pBdr>
          <w:top w:color="000000" w:space="1" w:sz="48" w:val="single"/>
          <w:bottom w:color="000000" w:space="1" w:sz="4" w:val="single"/>
        </w:pBdr>
        <w:rPr/>
      </w:pPr>
      <w:r w:rsidDel="00000000" w:rsidR="00000000" w:rsidRPr="00000000">
        <w:rPr>
          <w:rtl w:val="0"/>
        </w:rPr>
      </w:r>
    </w:p>
    <w:p w:rsidR="00000000" w:rsidDel="00000000" w:rsidP="00000000" w:rsidRDefault="00000000" w:rsidRPr="00000000" w14:paraId="0000000C">
      <w:pPr>
        <w:rPr/>
        <w:sectPr>
          <w:headerReference r:id="rId7" w:type="default"/>
          <w:footerReference r:id="rId8" w:type="default"/>
          <w:footerReference r:id="rId9" w:type="even"/>
          <w:pgSz w:h="16838" w:w="11906" w:orient="portrait"/>
          <w:pgMar w:bottom="760" w:top="737" w:left="567" w:right="567" w:header="567" w:footer="567"/>
          <w:pgNumType w:start="1"/>
        </w:sect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Resumo: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Este trabalho apresenta o Hand-Rehab, um protótipo de sistema IoT voltado ao apoio de atividades de reabilitação das mãos por meio de um jogo de ritmo integrado a hardware embarcado. A proposta utiliza uma ESP32, quatro botões físicos e um sensor de pressão MPS20N0040D acoplado a um módulo HX710B em sistema fechado de ar, permitindo registrar eventos motores digitais e variações de pressão durante sessões de uso. A arquitetura foi organizada em dois fluxos: um fluxo de tempo real, no qual os eventos da ESP32 são encaminhados por MQTT ao Node-RED e ao frontend, e um fluxo de persistência, no qual dados são agrupados e enviados ao backend FastAPI para armazenamento em Postgres. A interface web permite configurar usuário, mão utilizada e modo de jogo, além de apresentar métricas de desempenho após as sessões. A validação end-to-end confirmou o funcionamento integrado entre firmware, broker MQTT, Node-RED, backend, banco de dados e frontend. Nos registros avaliados, foram persistidas quatro sessões de botões, com 112 eventos e 23 lotes, e duas sessões válidas de pressão, com 258 leituras e 54 lotes. Os resultados indicam que o protótipo é capaz de coletar, transmitir e persistir dados relevantes para acompanhamento longitudinal, embora ainda não constitua instrumento clínico validado nem substitua a prescrição de profissionais de saúde.</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Palavras Chaves: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Reabilitação da mão; Tecnologias Assistivas; Internet das Coisas; ESP32; Sensor de pressão; Jogo sério.</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0"/>
          <w:szCs w:val="20"/>
          <w:u w:val="none"/>
          <w:shd w:fill="auto" w:val="clear"/>
          <w:vertAlign w:val="baseline"/>
          <w:rtl w:val="0"/>
        </w:rPr>
        <w:t xml:space="preserve">Abstract:</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This paper presents Hand-Rehab, an IoT prototype designed to support hand rehabilitation activities through a rhythm game integrated with embedded hardware. The proposed system uses an ESP32, four physical buttons, and an MPS20N0040D pressure sensor coupled to an HX710B module in a closed air system, allowing the registration of digital motor events and pressure variations during use sessions. The architecture was organized into two flows: a real-time flow, in which ESP32 events are forwarded through MQTT to Node-RED and the frontend, and a persistence flow, in which data are grouped and sent to a FastAPI backend for storage in PostgreSQL. The web interface allows user, hand, and game mode configuration, and displays performance metrics after sessions. End-to-end validation confirmed the integrated operation among firmware, MQTT broker, Node-RED, backend, database, and frontend. In the evaluated records, four button sessions were persisted, with 112 events and 23 batches, and two valid pressure sessions, with 258 readings and 54 batches. The results indicate that the prototype can collect, transmit, and persist data relevant to longitudinal monitoring, although it is not yet a clinically validated instrument and does not replace healthcare professional prescription.</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0"/>
          <w:szCs w:val="20"/>
          <w:u w:val="none"/>
          <w:shd w:fill="auto" w:val="clear"/>
          <w:vertAlign w:val="baseline"/>
          <w:rtl w:val="0"/>
        </w:rPr>
        <w:t xml:space="preserve">Keywords:</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Hand rehabilitation; Assistive Technologies; Internet of Things; ESP32; Pressure sensor; Serious game.</w:t>
      </w:r>
      <w:r w:rsidDel="00000000" w:rsidR="00000000" w:rsidRPr="00000000">
        <w:rPr>
          <w:rtl w:val="0"/>
        </w:rPr>
      </w:r>
    </w:p>
    <w:p w:rsidR="00000000" w:rsidDel="00000000" w:rsidP="00000000" w:rsidRDefault="00000000" w:rsidRPr="00000000" w14:paraId="00000011">
      <w:pPr>
        <w:pStyle w:val="Heading1"/>
        <w:numPr>
          <w:ilvl w:val="0"/>
          <w:numId w:val="1"/>
        </w:numPr>
        <w:ind w:left="432" w:hanging="432"/>
        <w:rPr/>
      </w:pPr>
      <w:r w:rsidDel="00000000" w:rsidR="00000000" w:rsidRPr="00000000">
        <w:rPr>
          <w:rtl w:val="0"/>
        </w:rPr>
        <w:t xml:space="preserve">Introdução</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mão humana exerce papel central nas atividades de vida diária, pois ações como segurar objetos, alimentar-se, vestir-se, higienizar-se e manipular ferramentas dependem de coordenação fina, força de preensão, sensibilidade e controle motor. Li et al. (2024) destacam que a disfunção de preensão compromete a independência funcional e a qualidade de vida, especialmente quando limita o uso do membro superior em tarefas cotidianas. Bergeron e Kajganic (2024) também apontam que testes de força de preensão e pinça são empregados em reabilitação, ergonomia, medicina esportiva e saúde ocupacional para acompanhar função manual.</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Intervenções de reabilitação da mão precisam conciliar repetição, engajamento, feedback e segurança. Em contextos pós-cirúrgicos, Peters, Jha e Ross (2021) mostram que a reabilitação após reparo de tendões flexores envolve diferentes regimes de mobilização e exercícios, mas a evidência disponível ainda é limitada e deve ser interpretada com cautela. Em fraturas de metacarpos não relacionadas ao polegar, Hakami et al. (2026) identificaram melhora de função da mão, força de preensão e amplitude de movimento em programas estruturados de reabilitação, com destaque para estratégias de mobilização precoce e gamificação como recursos associados à adesão.</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Nesse cenário, tecnologias assistivas baseadas em sensores e jogos sérios podem apoiar a prática de exercícios prescritos, tornar a atividade mais motivadora e registrar dados para acompanhamento longitudinal. O Hand-Rehab foi desenvolvido com essa finalidade: criar um protótipo embarcado e conectado que captura eventos de botões e pressão, entrega estímulos em tempo real ao jogo e persiste dados históricos para consulta posterior. O sistema não tem como objetivo diagnosticar, prescrever tratamento ou validar clinicamente uma intervenção, mas oferecer uma base técnica para coleta, feedback e análise de desempenho.</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Este artigo encontra-se organizado da seguinte forma: a Seção 2 apresenta a fundamentação sobre reabilitação da mão, sensores de pressão, feedback e gamificação; a Seção 3 descreve o trabalho proposto; a Seção 4 apresenta materiais e métodos; a Seção 5 discute os resultados obtidos; e a Seção 6 apresenta as conclusões e trabalhos futuros.</w:t>
      </w:r>
    </w:p>
    <w:p w:rsidR="00000000" w:rsidDel="00000000" w:rsidP="00000000" w:rsidRDefault="00000000" w:rsidRPr="00000000" w14:paraId="00000016">
      <w:pPr>
        <w:pStyle w:val="Heading1"/>
        <w:numPr>
          <w:ilvl w:val="0"/>
          <w:numId w:val="1"/>
        </w:numPr>
        <w:ind w:left="432" w:hanging="432"/>
        <w:rPr/>
      </w:pPr>
      <w:r w:rsidDel="00000000" w:rsidR="00000000" w:rsidRPr="00000000">
        <w:rPr>
          <w:rtl w:val="0"/>
        </w:rPr>
        <w:t xml:space="preserve">Fundamentação</w:t>
      </w:r>
    </w:p>
    <w:p w:rsidR="00000000" w:rsidDel="00000000" w:rsidP="00000000" w:rsidRDefault="00000000" w:rsidRPr="00000000" w14:paraId="00000017">
      <w:pPr>
        <w:pStyle w:val="Heading2"/>
        <w:numPr>
          <w:ilvl w:val="1"/>
          <w:numId w:val="1"/>
        </w:numPr>
        <w:ind w:left="576" w:hanging="576"/>
        <w:rPr/>
      </w:pPr>
      <w:r w:rsidDel="00000000" w:rsidR="00000000" w:rsidRPr="00000000">
        <w:rPr>
          <w:rtl w:val="0"/>
        </w:rPr>
        <w:t xml:space="preserve">Reabilitação da mão e acompanhamento funcional</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reabilitação da mão pode ocorrer em diferentes contextos clínicos, incluindo lesões tendíneas, fraturas, sequelas neurológicas e perda de força. A revisão Cochrane de Peters, Jha e Ross (2021) avaliou intervenções após cirurgia de tendões flexores da mão e evidencia que os protocolos de exercício, mobilização e uso de dispositivos variam bastante entre estudos. A revisão também ressalta que desfechos como função autorrelatada, amplitude ativa dos dedos, força e eventos adversos são importantes para avaliar a evolução, reforçando a necessidade de cuidado ao propor qualquer atividade para pacientes em recuperação.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Em fraturas dos metacarpos II a V, Hakami et al. (2026) observaram que programas de reabilitação podem melhorar função da mão, força de preensão e amplitude de movimento. Embora esse contexto não seja idêntico a todos os possíveis usuários do Hand-Rehab, o estudo sustenta a escolha de métricas como desempenho motor, adesão, evolução por sessão e força/pressão como indicadores úteis para acompanhamento. Os autores também discutem estratégias gamificadas, que podem contribuir para engajamento em exercícios repetitivos.</w:t>
      </w:r>
    </w:p>
    <w:p w:rsidR="00000000" w:rsidDel="00000000" w:rsidP="00000000" w:rsidRDefault="00000000" w:rsidRPr="00000000" w14:paraId="0000001A">
      <w:pPr>
        <w:pStyle w:val="Heading2"/>
        <w:numPr>
          <w:ilvl w:val="1"/>
          <w:numId w:val="1"/>
        </w:numPr>
        <w:ind w:left="576" w:hanging="576"/>
        <w:rPr/>
      </w:pPr>
      <w:r w:rsidDel="00000000" w:rsidR="00000000" w:rsidRPr="00000000">
        <w:rPr>
          <w:rtl w:val="0"/>
        </w:rPr>
        <w:t xml:space="preserve">Sensores de pressão, feedback e tarefas orientadas a objetivo</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Bergeron e Kajganic (2024) discutem a importância de instrumentos sensíveis para avaliar preensão e pinça, especialmente em indivíduos com baixa força manual. O estudo apresenta uma solução de medição de pressão com câmara flexível e reforça que dispositivos capazes de detectar variações pequenas podem ampliar a avaliação de pessoas com limitações severas. Essa fundamentação justifica o uso de um sistema fechado de ar com sensor de pressão no Hand-Rehab, desde que seus dados sejam tratados como medidas técnicas relativas enquanto não houver calibração clínica contra instrumento validado.</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Além da medição, o feedback em tempo real é um elemento relevante. Li et al. (2024) avaliaram treinamento orientado a tarefas com robô de reabilitação da mão com feedback de força e observaram ganhos em desempenho da mão após quatro semanas em pacientes pós-AVC. O Hand-Rehab não possui assistência robótica nem pretende reproduzir a intervenção clínica desse estudo, mas utiliza conceitos compatíveis: repetição de tarefas, estímulos objetivos, resposta imediata ao usuário e registro de métricas como acerto, erro, tempo de reação e pressão.</w:t>
      </w:r>
    </w:p>
    <w:p w:rsidR="00000000" w:rsidDel="00000000" w:rsidP="00000000" w:rsidRDefault="00000000" w:rsidRPr="00000000" w14:paraId="0000001D">
      <w:pPr>
        <w:pStyle w:val="Heading1"/>
        <w:numPr>
          <w:ilvl w:val="0"/>
          <w:numId w:val="1"/>
        </w:numPr>
        <w:ind w:left="432" w:hanging="432"/>
        <w:rPr/>
      </w:pPr>
      <w:r w:rsidDel="00000000" w:rsidR="00000000" w:rsidRPr="00000000">
        <w:rPr>
          <w:rtl w:val="0"/>
        </w:rPr>
        <w:t xml:space="preserve">O trabalho proposto</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 Hand-Rehab é um protótipo de tecnologia assistiva para apoio a exercícios de reabilitação da mão por meio de jogo de ritmo. O sistema possui dois modos principais. No modo de botões, quatro botões físicos conectados à ESP32 representam faixas do jogo, permitindo registrar precisão por dedo ou faixa, acertos, erros, estímulos perdidos, tempo de reação, combo e pontuação. No modo de pressão, o usuário interage com um sistema fechado de ar conectado ao sensor MPS20N0040D e ao módulo HX710B, permitindo registrar variações de pressão associadas a tentativas de preensão.</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arquitetura foi dividida em quatro camadas. A primeira é o firmware embarcado na ESP32, desenvolvido com PlatformIO, Arduino Framework e FreeRTOS, responsável por ler botões e pressão, controlar sessão ativa, publicar eventos individuais e preparar lotes para persistência. A segunda é a camada de integração com Node-RED e broker Aedes, responsável por receber mensagens MQTT, normalizar payloads, encaminhar eventos em tempo real ao frontend por WebSocket e enviar lotes ao backend por HTTP. A terceira é o backend FastAPI, que valida os dados, controla usuários e sessões e persiste registros no Postgres. A quarta é o frontend React, que apresenta a interface do jogo, configuração de sessão e visualização inicial de métricas.</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 diferencial do trabalho está na separação entre o fluxo de tempo real e o fluxo histórico. Os eventos usados no jogo seguem um caminho curto, sem passar pelo banco de dados, priorizando resposta imediata. Em paralelo, os mesmos eventos são agrupados e enviados para persistência histórica, permitindo que futuras telas de acompanhamento consultem dados de sessões passadas.</w:t>
      </w:r>
    </w:p>
    <w:p w:rsidR="00000000" w:rsidDel="00000000" w:rsidP="00000000" w:rsidRDefault="00000000" w:rsidRPr="00000000" w14:paraId="00000021">
      <w:pPr>
        <w:pStyle w:val="Heading1"/>
        <w:numPr>
          <w:ilvl w:val="0"/>
          <w:numId w:val="1"/>
        </w:numPr>
        <w:ind w:left="432" w:hanging="432"/>
        <w:rPr/>
      </w:pPr>
      <w:r w:rsidDel="00000000" w:rsidR="00000000" w:rsidRPr="00000000">
        <w:rPr>
          <w:rtl w:val="0"/>
        </w:rPr>
        <w:t xml:space="preserve">Materiais e métodos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 protótipo físico foi composto por uma placa ESP32, quatro botões físicos e um sensor de pressão MPS20N0040D acoplado ao módulo HX710B em um sistema fechado de ar. Os botões foram conectados a entradas digitais da ESP32 e configurados com interrupções e tratamento de debounce. O sensor de pressão foi lido pelo firmware por meio de rotina de aquisição do conversor HX710B, com registro do valor bruto e conversão relativa para kPa a partir de parâmetros de calibração do firmware.</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 firmware foi estruturado em tarefas FreeRTOS. Uma tarefa trata conectividade Wi-Fi e MQTT; outra processa eventos de botões; uma terceira realiza leituras periódicas de pressão; e tarefas adicionais publicam eventos em tempo real e lotes de persistência. A ESP32 inicia em estado ocioso e passa a publicar dados de jogo somente após receber comando de início de sessão. Ao finalizar a sessão, os dados restantes são enviados para persistência.</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infraestrutura foi executada com Postgres, backend FastAPI, Node-RED com Aedes e frontend React. A comunicação ESP32-Node-RED ocorreu por MQTT. O Node-RED encaminhou eventos de tempo real por WebSocket ao frontend e enviou lotes de botões e pressão ao backend por requisições HTTP. O backend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persistiu usuários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dispositivos, sessões, eventos de botões, leituras de pressão, lotes e métricas de gameplay.</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validação foi realizada de forma end-to-end, considerando o caminho completo entre acionamento físico, comunicação sem fio, integração MQTT, interface web, backend e banco de dados. Para os resultados de botões e gameplay, foram considerados apenas registros persistidos na base de validação extraída para a entrega. Para o módulo de pressão, foram incluídas duas sessões locais autorizadas posteriormente, por serem as únicas com leituras de pressão persistidas. Os testes tiveram caráter técnico e não envolveram avaliação clínica de pacientes.</w:t>
      </w:r>
    </w:p>
    <w:p w:rsidR="00000000" w:rsidDel="00000000" w:rsidP="00000000" w:rsidRDefault="00000000" w:rsidRPr="00000000" w14:paraId="00000026">
      <w:pPr>
        <w:pStyle w:val="Heading1"/>
        <w:numPr>
          <w:ilvl w:val="0"/>
          <w:numId w:val="1"/>
        </w:numPr>
        <w:ind w:left="432" w:hanging="432"/>
        <w:rPr/>
      </w:pPr>
      <w:r w:rsidDel="00000000" w:rsidR="00000000" w:rsidRPr="00000000">
        <w:rPr>
          <w:rtl w:val="0"/>
        </w:rPr>
        <w:t xml:space="preserve">Resultados e discussão</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validação end-to-end confirmou que o protótipo foi capaz de criar sessões, receber comandos, publicar eventos pela ESP32, encaminhar dados pelo Node-RED, persistir registros no backend e disponibilizar métricas no frontend. No modo de botões, foram registradas quatro sessões finalizadas, todas com mão direita, totalizando 989 segundos de uso. Essas sessões geraram 23 lotes de botões e 112 eventos persistidos, sendo 56 eventos de pressionamento e 56 de liberação. A distribuição por botão foi de 42 eventos no botão 1, 26 no botão 2, 24 no botão 3 e 20 no botão 4.</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Tabela 1 - Resultados técnicos do modo de botões.</w:t>
      </w:r>
    </w:p>
    <w:tbl>
      <w:tblPr>
        <w:tblStyle w:val="Table1"/>
        <w:tblW w:w="5019.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00"/>
        <w:gridCol w:w="2619"/>
        <w:tblGridChange w:id="0">
          <w:tblGrid>
            <w:gridCol w:w="2400"/>
            <w:gridCol w:w="2619"/>
          </w:tblGrid>
        </w:tblGridChange>
      </w:tblGrid>
      <w:tr>
        <w:trPr>
          <w:cantSplit w:val="0"/>
          <w:tblHeader w:val="0"/>
        </w:trPr>
        <w:tc>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Indicador do modo de botões</w:t>
            </w:r>
          </w:p>
        </w:tc>
        <w:tc>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 registrado</w:t>
            </w:r>
          </w:p>
        </w:tc>
      </w:tr>
      <w:tr>
        <w:trPr>
          <w:cantSplit w:val="0"/>
          <w:tblHeader w:val="0"/>
        </w:trPr>
        <w:tc>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Sessões finalizadas</w:t>
            </w:r>
          </w:p>
        </w:tc>
        <w:tc>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r>
      <w:tr>
        <w:trPr>
          <w:cantSplit w:val="0"/>
          <w:tblHeader w:val="0"/>
        </w:trPr>
        <w:tc>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Duração total</w:t>
            </w:r>
          </w:p>
        </w:tc>
        <w:tc>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989 s</w:t>
            </w:r>
          </w:p>
        </w:tc>
      </w:tr>
      <w:tr>
        <w:trPr>
          <w:cantSplit w:val="0"/>
          <w:tblHeader w:val="0"/>
        </w:trPr>
        <w:tc>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Lotes persistidos</w:t>
            </w:r>
          </w:p>
        </w:tc>
        <w:tc>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w:t>
            </w:r>
          </w:p>
        </w:tc>
      </w:tr>
      <w:tr>
        <w:trPr>
          <w:cantSplit w:val="0"/>
          <w:tblHeader w:val="0"/>
        </w:trPr>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de botões</w:t>
            </w:r>
          </w:p>
        </w:tc>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112, sendo 56 pressionamentos e 56 liberações</w:t>
            </w:r>
          </w:p>
        </w:tc>
      </w:tr>
      <w:tr>
        <w:trPr>
          <w:cantSplit w:val="0"/>
          <w:tblHeader w:val="0"/>
        </w:trPr>
        <w:tc>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Perdas registradas nos lotes</w:t>
            </w:r>
          </w:p>
        </w:tc>
        <w:tc>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bl>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 métricas de gameplay indicaram 2.646 estímulos gerados, 10 acertos, 46 erros e 2.596 estímulos perdidos, com pontuação total de 1.000 pontos e melhor pontuação individual de 520 pontos. O tempo médio de reação nas três sessões com respostas válidas foi de 123,83 ms, com melhor reação de 16 ms e pior reação de 227 ms. Esses valores não devem ser interpretados como evolução terapêutica, pois a validação teve objetivo técnico e as sessões foram executadas em contexto exploratório. Ainda assim, os dados demonstram que o sistema já registra indicadores suficientes para análises futuras de precisão, tempo de resposta e adesão.</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Tabela 2 - Métricas de desempenho registradas no jogo.</w:t>
      </w:r>
    </w:p>
    <w:tbl>
      <w:tblPr>
        <w:tblStyle w:val="Table2"/>
        <w:tblW w:w="5019.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00"/>
        <w:gridCol w:w="2619"/>
        <w:tblGridChange w:id="0">
          <w:tblGrid>
            <w:gridCol w:w="2400"/>
            <w:gridCol w:w="2619"/>
          </w:tblGrid>
        </w:tblGridChange>
      </w:tblGrid>
      <w:tr>
        <w:trPr>
          <w:cantSplit w:val="0"/>
          <w:tblHeader w:val="0"/>
        </w:trPr>
        <w:tc>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Indicador de gameplay</w:t>
            </w:r>
          </w:p>
        </w:tc>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 registrado</w:t>
            </w:r>
          </w:p>
        </w:tc>
      </w:tr>
      <w:tr>
        <w:trPr>
          <w:cantSplit w:val="0"/>
          <w:tblHeader w:val="0"/>
        </w:trPr>
        <w:tc>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Estímulos gerados</w:t>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2.646</w:t>
            </w:r>
          </w:p>
        </w:tc>
      </w:tr>
      <w:tr>
        <w:trPr>
          <w:cantSplit w:val="0"/>
          <w:tblHeader w:val="0"/>
        </w:trPr>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Acertos, erros e estímulos perdidos</w:t>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 acertos, 46 erros e 2.596 estímulos perdidos</w:t>
            </w:r>
          </w:p>
        </w:tc>
      </w:tr>
      <w:tr>
        <w:trPr>
          <w:cantSplit w:val="0"/>
          <w:tblHeader w:val="0"/>
        </w:trPr>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Pontuação total e melhor pontuação</w:t>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 pontos no total; melhor sessão com 520 pontos</w:t>
            </w:r>
          </w:p>
        </w:tc>
      </w:tr>
      <w:tr>
        <w:trPr>
          <w:cantSplit w:val="0"/>
          <w:tblHeader w:val="0"/>
        </w:trPr>
        <w:tc>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Tempo de reação</w:t>
            </w:r>
          </w:p>
        </w:tc>
        <w:tc>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Média de 123,83 ms; melhor 16 ms; pior 227 ms</w:t>
            </w:r>
          </w:p>
        </w:tc>
      </w:tr>
    </w:tbl>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modo de pressão, duas sessões locais válidas apresentaram dados persistidos. Juntas, elas totalizaram 269 segundos de uso, 54 lotes de pressão e 258 leituras persistidas. As sequências foram contínuas nas duas sessões, indo de 1 a 206 na primeira e de 1 a 52 na segunda, sem perdas registradas. Esse resultado confirma a aquisição, transmissão e persistência do sinal de pressão em sessão real do sistema.</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 leituras de pressão apresentaram 14 valores saturados, correspondentes a aproximadamente 5,4% do total. Removendo esses extremos de saturação, permaneceram 244 leituras, com mediana de -0,678 kPa, média de 41,776 kPa e faixa entre -22,044 kPa e 769,761 kPa. Esses valores mostram variação mensurável do sistema fechado de ar, mas também indicam necessidade de calibração mecânica e eletrônica antes de qualquer uso como medida clínica de força de preensão. O tempo médio de inserção registrado nos metadados dos lotes de pressão foi de 3,07 microssegundos, com máximo de 11 microssegundos; o tempo médio de publicação MQTT não nulo foi de 3.802,23 microssegundos, com máximo de 5.931 microssegundos.</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Tabela 3 - Resultados técnicos do modo de pressão.</w:t>
      </w:r>
    </w:p>
    <w:tbl>
      <w:tblPr>
        <w:tblStyle w:val="Table3"/>
        <w:tblW w:w="5019.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00"/>
        <w:gridCol w:w="2619"/>
        <w:tblGridChange w:id="0">
          <w:tblGrid>
            <w:gridCol w:w="2400"/>
            <w:gridCol w:w="2619"/>
          </w:tblGrid>
        </w:tblGridChange>
      </w:tblGrid>
      <w:tr>
        <w:trPr>
          <w:cantSplit w:val="0"/>
          <w:tblHeader w:val="0"/>
        </w:trPr>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Indicador do modo de pressão</w:t>
            </w:r>
          </w:p>
        </w:tc>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 registrado</w:t>
            </w:r>
          </w:p>
        </w:tc>
      </w:tr>
      <w:tr>
        <w:trPr>
          <w:cantSplit w:val="0"/>
          <w:tblHeader w:val="0"/>
        </w:trPr>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Sessões com leituras persistidas</w:t>
            </w:r>
          </w:p>
        </w:tc>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r>
      <w:tr>
        <w:trPr>
          <w:cantSplit w:val="0"/>
          <w:tblHeader w:val="0"/>
        </w:trPr>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Duração total</w:t>
            </w:r>
          </w:p>
        </w:tc>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269 s</w:t>
            </w:r>
          </w:p>
        </w:tc>
      </w:tr>
      <w:tr>
        <w:trPr>
          <w:cantSplit w:val="0"/>
          <w:tblHeader w:val="0"/>
        </w:trPr>
        <w:tc>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Lotes e leituras</w:t>
            </w:r>
          </w:p>
        </w:tc>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 lotes e 258 leituras</w:t>
            </w:r>
          </w:p>
        </w:tc>
      </w:tr>
      <w:tr>
        <w:trPr>
          <w:cantSplit w:val="0"/>
          <w:tblHeader w:val="0"/>
        </w:trPr>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Sequência das leituras</w:t>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Contínua nas duas sessões, sem perdas registradas</w:t>
            </w:r>
          </w:p>
        </w:tc>
      </w:tr>
      <w:tr>
        <w:trPr>
          <w:cantSplit w:val="0"/>
          <w:tblHeader w:val="0"/>
        </w:trPr>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Leituras saturadas</w:t>
            </w:r>
          </w:p>
        </w:tc>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 leituras, aproximadamente 5,4% do total</w:t>
            </w:r>
          </w:p>
        </w:tc>
      </w:tr>
      <w:tr>
        <w:trPr>
          <w:cantSplit w:val="0"/>
          <w:tblHeader w:val="0"/>
        </w:trPr>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Faixa sem saturação</w:t>
            </w:r>
          </w:p>
        </w:tc>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-22,044 kPa a 769,761 kPa</w:t>
            </w:r>
          </w:p>
        </w:tc>
      </w:tr>
    </w:tbl>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Os resultados obtidos estão alinhados com a fundamentação do projeto. A persistência de eventos e métricas por sessão cria base para acompanhamento longitudinal, compatível com a importância de desfechos funcionais discutida por Peters, Jha e Ross (2021) e Hakami et al. (2026). O uso do sensor de pressão se relaciona à necessidade de instrumentos sensíveis para registrar variações de preensão discutida por Bergeron e Kajganic (2024). Já o jogo de ritmo com feedback imediato dialoga com a lógica de tarefas orientadas a objetivo e resposta sensório-motora apresentada por Li et al. (2024).</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Como limitação, os dados de pressão ainda não devem ser considerados força de preensão clínica. A presença de saturações indica que a montagem física e os parâmetros de calibração precisam ser refinados. Além disso, os resultados de gameplay foram coletados em validação técnica, sem protocolo terapêutico controlado, sem amostra clínica e sem comparação antes/depois. Portanto, o Hand-Rehab deve ser entendido nesta etapa como protótipo funcional de coleta, jogo e persistência de dados, não como intervenção clínica validada.</w:t>
      </w:r>
    </w:p>
    <w:p w:rsidR="00000000" w:rsidDel="00000000" w:rsidP="00000000" w:rsidRDefault="00000000" w:rsidRPr="00000000" w14:paraId="00000057">
      <w:pPr>
        <w:pStyle w:val="Heading1"/>
        <w:numPr>
          <w:ilvl w:val="0"/>
          <w:numId w:val="1"/>
        </w:numPr>
        <w:ind w:left="432" w:hanging="432"/>
        <w:rPr/>
      </w:pPr>
      <w:r w:rsidDel="00000000" w:rsidR="00000000" w:rsidRPr="00000000">
        <w:rPr>
          <w:rtl w:val="0"/>
        </w:rPr>
        <w:t xml:space="preserve">Conclusões</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 Hand-Rehab demonstrou viabilidade técnica como sistema IoT de apoio a exercícios de reabilitação da mão. A solução integrou ESP32, botões, sensor de pressão, MQTT, Node-RED, backend FastAPI, Postgres e frontend React em um fluxo end-to-end. Os registros obtidos mostram que o sistema é capaz de capturar eventos físicos, enviar inputs em tempo real ao jogo e persistir dados históricos por sessão.</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 modo de botões registrou sessões completas, lotes, eventos de pressionamento/liberação e métricas de gameplay. O modo de pressão registrou duas sessões com leituras persistidas, sequência contínua e ausência de perdas, validando tecnicamente a aquisição e transmissão do sinal. A presença de saturações no sensor, entretanto, reforça que a próxima etapa deve priorizar calibração, melhoria da interface mecânica de preensão e comparação com instrumentos de referência.</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Como trabalhos futuros, recomenda-se adaptar o sistema fechado de ar para uma interface ergonômica semelhante a uma bola de preensão, calibrar o sensor contra equipamento validado, ampliar os modos de jogo, incluir protocolos configuráveis por profissional de saúde e realizar estudo com aprovação ética quando houver participação de usuários reais em contexto terapêutico. Com esses avanços, o Hand-Rehab poderá evoluir de um protótipo técnico para uma ferramenta de apoio ao acompanhamento de exercícios sob orientação profissional.</w:t>
      </w:r>
    </w:p>
    <w:p w:rsidR="00000000" w:rsidDel="00000000" w:rsidP="00000000" w:rsidRDefault="00000000" w:rsidRPr="00000000" w14:paraId="0000005B">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Arial" w:cs="Arial" w:eastAsia="Arial" w:hAnsi="Arial"/>
          <w:b w:val="1"/>
          <w:bCs w:val="1"/>
          <w:i w:val="0"/>
          <w:iCs w:val="0"/>
          <w:smallCaps w:val="1"/>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Referências Bibliográficas</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567" w:right="0" w:hanging="56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BERGERON, Vance; KAJGANIC, Petar. Pressure sensors for evaluating hand grasp and pinch. Sensors, v. 24, n. 17, 5768, 2024. DOI: 10.3390/s24175768.</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567" w:right="0" w:hanging="56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HAKAMI, Alaa Hamed et al. Effectiveness of hand rehabilitation programs for non-thumb metacarpal fractures: a systematic review and meta-analysis. Clinica Terapeutica, v. 177, n. 1, p. 174-181, 2026. DOI: 10.7417/CT.2026.1991.</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567" w:right="0" w:hanging="56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 Yinghua et al. Effect of task-oriented training assisted by force feedback hand rehabilitation robot on finger grasping function in stroke patients with hemiplegia: a randomised controlled trial. Journal of NeuroEngineering and Rehabilitation, v. 21, art. 77, 2024. DOI: 10.1186/s12984-024-01372-3.</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240" w:lineRule="auto"/>
        <w:ind w:left="567" w:right="0" w:hanging="567"/>
        <w:jc w:val="both"/>
        <w:rPr>
          <w:b w:val="1"/>
          <w:bCs w:val="1"/>
          <w:i w:val="1"/>
          <w:iCs w:val="1"/>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PETERS, Susan E.; JHA, Bhavana; ROSS, Mark. Rehabilitation following surgery for flexor tendon injuries of the hand. Cochrane Database of Systematic Reviews, n. 1, art. CD012479, 2021. DOI: 10.1002/14651858.CD012479.pub2.</w:t>
      </w: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ffffff" w:val="clear"/>
        <w:spacing w:after="60" w:before="120" w:line="23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sectPr>
      <w:headerReference r:id="rId10" w:type="even"/>
      <w:type w:val="continuous"/>
      <w:pgSz w:h="16838" w:w="11906" w:orient="portrait"/>
      <w:pgMar w:bottom="760" w:top="737" w:left="567" w:right="567" w:header="567" w:footer="567"/>
      <w:cols w:equalWidth="0" w:num="2">
        <w:col w:space="567" w:w="5102.499999999999"/>
        <w:col w:space="0" w:w="5102.499999999999"/>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-360044</wp:posOffset>
          </wp:positionH>
          <wp:positionV relativeFrom="paragraph">
            <wp:posOffset>-337184</wp:posOffset>
          </wp:positionV>
          <wp:extent cx="7562850" cy="866775"/>
          <wp:effectExtent b="0" l="0" r="0" t="0"/>
          <wp:wrapNone/>
          <wp:docPr id="2"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7562850" cy="866775"/>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-350519</wp:posOffset>
          </wp:positionH>
          <wp:positionV relativeFrom="paragraph">
            <wp:posOffset>-327659</wp:posOffset>
          </wp:positionV>
          <wp:extent cx="7562850" cy="866775"/>
          <wp:effectExtent b="0" l="0" r="0" t="0"/>
          <wp:wrapNone/>
          <wp:docPr id="5"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7562850" cy="866775"/>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1">
    <w:pPr>
      <w:ind w:left="144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         Anais da Mostra Nacional de Robótica - MNR 2026</w:t>
    </w:r>
    <w:r w:rsidDel="00000000" w:rsidR="00000000" w:rsidRPr="00000000">
      <w:drawing>
        <wp:anchor allowOverlap="1" behindDoc="0" distB="0" distT="0" distL="114300" distR="114300" hidden="0" layoutInCell="1" locked="0" relativeHeight="0" simplePos="0">
          <wp:simplePos x="0" y="0"/>
          <wp:positionH relativeFrom="column">
            <wp:posOffset>240029</wp:posOffset>
          </wp:positionH>
          <wp:positionV relativeFrom="paragraph">
            <wp:posOffset>-76834</wp:posOffset>
          </wp:positionV>
          <wp:extent cx="838200" cy="306705"/>
          <wp:effectExtent b="0" l="0" r="0" t="0"/>
          <wp:wrapNone/>
          <wp:docPr id="4"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838200" cy="306705"/>
                  </a:xfrm>
                  <a:prstGeom prst="rect"/>
                  <a:ln/>
                </pic:spPr>
              </pic:pic>
            </a:graphicData>
          </a:graphic>
        </wp:anchor>
      </w:drawing>
    </w:r>
  </w:p>
  <w:p w:rsidR="00000000" w:rsidDel="00000000" w:rsidP="00000000" w:rsidRDefault="00000000" w:rsidRPr="00000000" w14:paraId="00000062">
    <w:pPr>
      <w:pBdr>
        <w:bottom w:color="000000" w:space="1" w:sz="4" w:val="single"/>
      </w:pBdr>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                                         Ensino Médio, Técnico, Superior, Pós-graduação e Pesquisa</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3">
    <w:pPr>
      <w:ind w:left="144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         Anais da Mostra Nacional de Robótica - MNR 2026</w:t>
    </w:r>
    <w:r w:rsidDel="00000000" w:rsidR="00000000" w:rsidRPr="00000000">
      <w:drawing>
        <wp:anchor allowOverlap="1" behindDoc="0" distB="0" distT="0" distL="114300" distR="114300" hidden="0" layoutInCell="1" locked="0" relativeHeight="0" simplePos="0">
          <wp:simplePos x="0" y="0"/>
          <wp:positionH relativeFrom="column">
            <wp:posOffset>228600</wp:posOffset>
          </wp:positionH>
          <wp:positionV relativeFrom="paragraph">
            <wp:posOffset>-74294</wp:posOffset>
          </wp:positionV>
          <wp:extent cx="838200" cy="306705"/>
          <wp:effectExtent b="0" l="0" r="0" t="0"/>
          <wp:wrapNone/>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838200" cy="306705"/>
                  </a:xfrm>
                  <a:prstGeom prst="rect"/>
                  <a:ln/>
                </pic:spPr>
              </pic:pic>
            </a:graphicData>
          </a:graphic>
        </wp:anchor>
      </w:drawing>
    </w:r>
  </w:p>
  <w:p w:rsidR="00000000" w:rsidDel="00000000" w:rsidP="00000000" w:rsidRDefault="00000000" w:rsidRPr="00000000" w14:paraId="00000064">
    <w:pPr>
      <w:pBdr>
        <w:bottom w:color="000000" w:space="1" w:sz="4" w:val="single"/>
      </w:pBdr>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                                         Ensino Médio, Técnico, Superior, Pós-graduação e Pesquisa</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pt_BR"/>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432" w:right="0" w:hanging="432"/>
      <w:jc w:val="left"/>
    </w:pPr>
    <w:rPr>
      <w:rFonts w:ascii="Arial" w:cs="Arial" w:eastAsia="Arial" w:hAnsi="Arial"/>
      <w:b w:val="1"/>
      <w:bCs w:val="1"/>
      <w:i w:val="0"/>
      <w:iCs w:val="0"/>
      <w:smallCaps w:val="1"/>
      <w:strike w:val="0"/>
      <w:color w:val="000000"/>
      <w:sz w:val="24"/>
      <w:szCs w:val="24"/>
      <w:u w:val="none"/>
      <w:shd w:fill="auto" w:val="clear"/>
      <w:vertAlign w:val="baseline"/>
    </w:rPr>
  </w:style>
  <w:style w:type="paragraph" w:styleId="Heading2">
    <w:name w:val="heading 2"/>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576" w:right="0" w:hanging="576"/>
      <w:jc w:val="left"/>
    </w:pPr>
    <w:rPr>
      <w:rFonts w:ascii="Arial" w:cs="Arial" w:eastAsia="Arial" w:hAnsi="Arial"/>
      <w:b w:val="1"/>
      <w:bCs w:val="1"/>
      <w:i w:val="0"/>
      <w:iCs w:val="0"/>
      <w:smallCaps w:val="0"/>
      <w:strike w:val="0"/>
      <w:color w:val="000000"/>
      <w:sz w:val="24"/>
      <w:szCs w:val="24"/>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720" w:right="0" w:hanging="720"/>
      <w:jc w:val="left"/>
    </w:pPr>
    <w:rPr>
      <w:rFonts w:ascii="Arial" w:cs="Arial" w:eastAsia="Arial" w:hAnsi="Arial"/>
      <w:b w:val="1"/>
      <w:bCs w:val="1"/>
      <w:i w:val="0"/>
      <w:iCs w:val="0"/>
      <w:smallCaps w:val="0"/>
      <w:strike w:val="0"/>
      <w:color w:val="000000"/>
      <w:sz w:val="20"/>
      <w:szCs w:val="20"/>
      <w:u w:val="none"/>
      <w:shd w:fill="auto" w:val="clear"/>
      <w:vertAlign w:val="baseline"/>
    </w:rPr>
  </w:style>
  <w:style w:type="paragraph" w:styleId="Heading4">
    <w:name w:val="heading 4"/>
    <w:basedOn w:val="Normal"/>
    <w:next w:val="Normal"/>
    <w:pPr>
      <w:keepNext w:val="1"/>
      <w:spacing w:before="240" w:lineRule="auto"/>
      <w:ind w:left="864" w:hanging="864"/>
    </w:pPr>
    <w:rPr>
      <w:rFonts w:ascii="Arial" w:cs="Arial" w:eastAsia="Arial" w:hAnsi="Arial"/>
      <w:b w:val="1"/>
      <w:bCs w:val="1"/>
      <w:sz w:val="24"/>
      <w:szCs w:val="24"/>
    </w:rPr>
  </w:style>
  <w:style w:type="paragraph" w:styleId="Heading5">
    <w:name w:val="heading 5"/>
    <w:basedOn w:val="Normal"/>
    <w:next w:val="Normal"/>
    <w:pPr>
      <w:spacing w:before="240" w:lineRule="auto"/>
      <w:ind w:left="1008" w:hanging="1008"/>
    </w:pPr>
    <w:rPr>
      <w:sz w:val="22"/>
      <w:szCs w:val="22"/>
    </w:rPr>
  </w:style>
  <w:style w:type="paragraph" w:styleId="Heading6">
    <w:name w:val="heading 6"/>
    <w:basedOn w:val="Normal"/>
    <w:next w:val="Normal"/>
    <w:pPr>
      <w:spacing w:before="240" w:lineRule="auto"/>
      <w:ind w:left="1152" w:hanging="1152"/>
    </w:pPr>
    <w:rPr>
      <w:i w:val="1"/>
      <w:iCs w:val="1"/>
      <w:sz w:val="22"/>
      <w:szCs w:val="22"/>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eader" Target="head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header" Target="header1.xml"/><Relationship Id="rId8"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