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1" w:sz="48" w:val="single"/>
          <w:bottom w:color="000000" w:space="1" w:sz="4" w:val="single"/>
        </w:pBd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5784216</wp:posOffset>
                </wp:positionH>
                <wp:positionV relativeFrom="paragraph">
                  <wp:posOffset>-261617</wp:posOffset>
                </wp:positionV>
                <wp:extent cx="1069340" cy="256540"/>
                <wp:effectExtent b="0" l="0" r="0" t="0"/>
                <wp:wrapNone/>
                <wp:docPr id="1" name=""/>
                <a:graphic>
                  <a:graphicData uri="http://schemas.microsoft.com/office/word/2010/wordprocessingShape">
                    <wps:wsp>
                      <wps:cNvSpPr/>
                      <wps:cNvPr id="2" name="Shape 2"/>
                      <wps:spPr>
                        <a:xfrm>
                          <a:off x="4820855" y="3661255"/>
                          <a:ext cx="1050290" cy="23749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001 | Página</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5784216</wp:posOffset>
                </wp:positionH>
                <wp:positionV relativeFrom="paragraph">
                  <wp:posOffset>-261617</wp:posOffset>
                </wp:positionV>
                <wp:extent cx="1069340" cy="25654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69340" cy="256540"/>
                        </a:xfrm>
                        <a:prstGeom prst="rect"/>
                        <a:ln/>
                      </pic:spPr>
                    </pic:pic>
                  </a:graphicData>
                </a:graphic>
              </wp:anchor>
            </w:drawing>
          </mc:Fallback>
        </mc:AlternateContent>
      </w:r>
    </w:p>
    <w:p w:rsidR="00000000" w:rsidDel="00000000" w:rsidP="00000000" w:rsidRDefault="00000000" w:rsidRPr="00000000" w14:paraId="00000002">
      <w:pPr>
        <w:pBdr>
          <w:top w:space="0" w:sz="0" w:val="nil"/>
          <w:left w:space="0" w:sz="0" w:val="nil"/>
          <w:bottom w:space="0" w:sz="0" w:val="nil"/>
          <w:right w:space="0" w:sz="0" w:val="nil"/>
          <w:between w:space="0" w:sz="0" w:val="nil"/>
        </w:pBdr>
        <w:ind w:right="284"/>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ind w:left="284" w:right="284" w:firstLine="0"/>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sz w:val="28"/>
          <w:szCs w:val="28"/>
          <w:rtl w:val="0"/>
        </w:rPr>
        <w:t xml:space="preserve">Desenvolvimento de um Sistema Interativo para Apoio à Reabilitação Motora da Mão</w:t>
      </w:r>
      <w:r w:rsidDel="00000000" w:rsidR="00000000" w:rsidRPr="00000000">
        <w:rPr>
          <w:rtl w:val="0"/>
        </w:rPr>
      </w:r>
    </w:p>
    <w:p w:rsidR="00000000" w:rsidDel="00000000" w:rsidP="00000000" w:rsidRDefault="00000000" w:rsidRPr="00000000" w14:paraId="00000004">
      <w:pPr>
        <w:keepLines w:val="1"/>
        <w:pBdr>
          <w:top w:space="0" w:sz="0" w:val="nil"/>
          <w:left w:space="0" w:sz="0" w:val="nil"/>
          <w:bottom w:space="0" w:sz="0" w:val="nil"/>
          <w:right w:space="0" w:sz="0" w:val="nil"/>
          <w:between w:space="0" w:sz="0" w:val="nil"/>
        </w:pBdr>
        <w:spacing w:after="60" w:before="120" w:lineRule="auto"/>
        <w:jc w:val="center"/>
        <w:rPr>
          <w:b w:val="1"/>
          <w:bCs w:val="1"/>
          <w:color w:val="000000"/>
          <w:sz w:val="24"/>
          <w:szCs w:val="24"/>
        </w:rPr>
      </w:pPr>
      <w:r w:rsidDel="00000000" w:rsidR="00000000" w:rsidRPr="00000000">
        <w:rPr>
          <w:b w:val="1"/>
          <w:bCs w:val="1"/>
          <w:color w:val="000000"/>
          <w:sz w:val="24"/>
          <w:szCs w:val="24"/>
          <w:rtl w:val="0"/>
        </w:rPr>
        <w:t xml:space="preserve">Ana Clara Gomes da Silva</w:t>
      </w:r>
      <w:r w:rsidDel="00000000" w:rsidR="00000000" w:rsidRPr="00000000">
        <w:rPr>
          <w:b w:val="1"/>
          <w:bCs w:val="1"/>
          <w:color w:val="000000"/>
          <w:sz w:val="24"/>
          <w:szCs w:val="24"/>
          <w:vertAlign w:val="superscript"/>
          <w:rtl w:val="0"/>
        </w:rPr>
        <w:t xml:space="preserve">1</w:t>
      </w:r>
      <w:r w:rsidDel="00000000" w:rsidR="00000000" w:rsidRPr="00000000">
        <w:rPr>
          <w:b w:val="1"/>
          <w:bCs w:val="1"/>
          <w:color w:val="000000"/>
          <w:sz w:val="24"/>
          <w:szCs w:val="24"/>
          <w:rtl w:val="0"/>
        </w:rPr>
        <w:t xml:space="preserve">, Matheus Henrique de Melo Araujo</w:t>
      </w:r>
      <w:r w:rsidDel="00000000" w:rsidR="00000000" w:rsidRPr="00000000">
        <w:rPr>
          <w:b w:val="1"/>
          <w:bCs w:val="1"/>
          <w:color w:val="000000"/>
          <w:sz w:val="24"/>
          <w:szCs w:val="24"/>
          <w:vertAlign w:val="superscript"/>
          <w:rtl w:val="0"/>
        </w:rPr>
        <w:t xml:space="preserve">1</w:t>
      </w:r>
      <w:r w:rsidDel="00000000" w:rsidR="00000000" w:rsidRPr="00000000">
        <w:rPr>
          <w:b w:val="1"/>
          <w:bCs w:val="1"/>
          <w:color w:val="000000"/>
          <w:sz w:val="24"/>
          <w:szCs w:val="24"/>
          <w:rtl w:val="0"/>
        </w:rPr>
        <w:t xml:space="preserve">, Paulo Henrique Rosado Fernandes</w:t>
      </w:r>
      <w:r w:rsidDel="00000000" w:rsidR="00000000" w:rsidRPr="00000000">
        <w:rPr>
          <w:b w:val="1"/>
          <w:bCs w:val="1"/>
          <w:color w:val="000000"/>
          <w:sz w:val="24"/>
          <w:szCs w:val="24"/>
          <w:vertAlign w:val="superscript"/>
          <w:rtl w:val="0"/>
        </w:rPr>
        <w:t xml:space="preserve">1</w:t>
      </w:r>
      <w:r w:rsidDel="00000000" w:rsidR="00000000" w:rsidRPr="00000000">
        <w:rPr>
          <w:b w:val="1"/>
          <w:bCs w:val="1"/>
          <w:color w:val="000000"/>
          <w:sz w:val="24"/>
          <w:szCs w:val="24"/>
          <w:rtl w:val="0"/>
        </w:rPr>
        <w:t xml:space="preserve">, Sophia de Araújo Galindo Pinto</w:t>
      </w:r>
      <w:r w:rsidDel="00000000" w:rsidR="00000000" w:rsidRPr="00000000">
        <w:rPr>
          <w:b w:val="1"/>
          <w:bCs w:val="1"/>
          <w:color w:val="000000"/>
          <w:sz w:val="24"/>
          <w:szCs w:val="24"/>
          <w:vertAlign w:val="superscript"/>
          <w:rtl w:val="0"/>
        </w:rPr>
        <w:t xml:space="preserve">1</w:t>
      </w:r>
      <w:r w:rsidDel="00000000" w:rsidR="00000000" w:rsidRPr="00000000">
        <w:rPr>
          <w:b w:val="1"/>
          <w:bCs w:val="1"/>
          <w:color w:val="000000"/>
          <w:sz w:val="24"/>
          <w:szCs w:val="24"/>
          <w:rtl w:val="0"/>
        </w:rPr>
        <w:t xml:space="preserve">, Izabella Nunes de Vasconcelos</w:t>
      </w:r>
      <w:r w:rsidDel="00000000" w:rsidR="00000000" w:rsidRPr="00000000">
        <w:rPr>
          <w:b w:val="1"/>
          <w:bCs w:val="1"/>
          <w:color w:val="000000"/>
          <w:sz w:val="24"/>
          <w:szCs w:val="24"/>
          <w:vertAlign w:val="superscript"/>
          <w:rtl w:val="0"/>
        </w:rPr>
        <w:t xml:space="preserve">1</w:t>
      </w:r>
      <w:r w:rsidDel="00000000" w:rsidR="00000000" w:rsidRPr="00000000">
        <w:rPr>
          <w:b w:val="1"/>
          <w:bCs w:val="1"/>
          <w:color w:val="000000"/>
          <w:sz w:val="24"/>
          <w:szCs w:val="24"/>
          <w:rtl w:val="0"/>
        </w:rPr>
        <w:t xml:space="preserve">, Jymmy Paul Souza Barreto</w:t>
      </w:r>
      <w:r w:rsidDel="00000000" w:rsidR="00000000" w:rsidRPr="00000000">
        <w:rPr>
          <w:b w:val="1"/>
          <w:bCs w:val="1"/>
          <w:color w:val="000000"/>
          <w:sz w:val="24"/>
          <w:szCs w:val="24"/>
          <w:vertAlign w:val="superscript"/>
          <w:rtl w:val="0"/>
        </w:rPr>
        <w:t xml:space="preserve">1</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acgs@cesar.school, mhma@cesar.school, phrf@cesar.school, sagp@cesar.school, inv@cesar.school, jpsb@cesar.school</w:t>
      </w:r>
    </w:p>
    <w:p w:rsidR="00000000" w:rsidDel="00000000" w:rsidP="00000000" w:rsidRDefault="00000000" w:rsidRPr="00000000" w14:paraId="00000006">
      <w:pPr>
        <w:pBdr>
          <w:top w:space="0" w:sz="0" w:val="nil"/>
          <w:left w:space="0" w:sz="0" w:val="nil"/>
          <w:bottom w:space="0" w:sz="0" w:val="nil"/>
          <w:right w:space="0" w:sz="0" w:val="nil"/>
          <w:between w:space="0" w:sz="0" w:val="nil"/>
        </w:pBdr>
        <w:jc w:val="center"/>
        <w:rPr>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vertAlign w:val="superscript"/>
          <w:rtl w:val="0"/>
        </w:rPr>
        <w:t xml:space="preserve">1 </w:t>
      </w:r>
      <w:r w:rsidDel="00000000" w:rsidR="00000000" w:rsidRPr="00000000">
        <w:rPr>
          <w:color w:val="000000"/>
          <w:rtl w:val="0"/>
        </w:rPr>
        <w:t xml:space="preserve">CESAR SCHOOL</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Recife - PE</w:t>
      </w:r>
    </w:p>
    <w:p w:rsidR="00000000" w:rsidDel="00000000" w:rsidP="00000000" w:rsidRDefault="00000000" w:rsidRPr="00000000" w14:paraId="00000009">
      <w:pPr>
        <w:pBdr>
          <w:top w:space="0" w:sz="0" w:val="nil"/>
          <w:left w:space="0" w:sz="0" w:val="nil"/>
          <w:bottom w:space="0" w:sz="0" w:val="nil"/>
          <w:right w:space="0" w:sz="0" w:val="nil"/>
          <w:between w:space="0" w:sz="0" w:val="nil"/>
        </w:pBdr>
        <w:jc w:val="center"/>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tl w:val="0"/>
        </w:rPr>
        <w:t xml:space="preserve">Categoria: ARTIGO SUPERIOR / TECNOLOGIAS ASSISTIVAS</w:t>
      </w:r>
    </w:p>
    <w:p w:rsidR="00000000" w:rsidDel="00000000" w:rsidP="00000000" w:rsidRDefault="00000000" w:rsidRPr="00000000" w14:paraId="0000000B">
      <w:pPr>
        <w:pBdr>
          <w:top w:color="000000" w:space="1" w:sz="48" w:val="single"/>
          <w:bottom w:color="000000" w:space="1" w:sz="4" w:val="single"/>
        </w:pBdr>
        <w:rPr/>
        <w:sectPr>
          <w:headerReference r:id="rId7" w:type="default"/>
          <w:footerReference r:id="rId8" w:type="default"/>
          <w:footerReference r:id="rId9" w:type="even"/>
          <w:pgSz w:h="16838" w:w="11906" w:orient="portrait"/>
          <w:pgMar w:bottom="760" w:top="737" w:left="567" w:right="567" w:header="567" w:footer="567"/>
          <w:pgNumType w:start="1"/>
        </w:sect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b w:val="1"/>
          <w:bCs w:val="1"/>
          <w:color w:val="000000"/>
          <w:rtl w:val="0"/>
        </w:rPr>
        <w:t xml:space="preserve">Resumo: </w:t>
      </w:r>
      <w:r w:rsidDel="00000000" w:rsidR="00000000" w:rsidRPr="00000000">
        <w:rPr>
          <w:color w:val="000000"/>
          <w:rtl w:val="0"/>
        </w:rPr>
        <w:t xml:space="preserve">Este trabalho apresenta o Hand-Rehab, um protótipo de sistema IoT voltado ao apoio de atividades de reabilitação das mãos por meio de um jogo de ritmo integrado a hardware embarcado. A proposta utiliza uma </w:t>
      </w:r>
      <w:r w:rsidDel="00000000" w:rsidR="00000000" w:rsidRPr="00000000">
        <w:rPr>
          <w:color w:val="000000"/>
          <w:rtl w:val="0"/>
        </w:rPr>
        <w:t xml:space="preserve">ESP32</w:t>
      </w:r>
      <w:r w:rsidDel="00000000" w:rsidR="00000000" w:rsidRPr="00000000">
        <w:rPr>
          <w:color w:val="000000"/>
          <w:rtl w:val="0"/>
        </w:rPr>
        <w:t xml:space="preserve">, quatro botões físicos e um sensor de pressão MPS20N0040D acoplado a um módulo HX710B em sistema fechado de ar, permitindo registrar eventos motores digitais e variações de pressão durante sessões de uso. A arquitetura foi organizada em dois fluxos: um fluxo de tempo real, no qual os eventos da </w:t>
      </w:r>
      <w:r w:rsidDel="00000000" w:rsidR="00000000" w:rsidRPr="00000000">
        <w:rPr>
          <w:color w:val="000000"/>
          <w:rtl w:val="0"/>
        </w:rPr>
        <w:t xml:space="preserve">ESP32</w:t>
      </w:r>
      <w:r w:rsidDel="00000000" w:rsidR="00000000" w:rsidRPr="00000000">
        <w:rPr>
          <w:color w:val="000000"/>
          <w:rtl w:val="0"/>
        </w:rPr>
        <w:t xml:space="preserve"> são encaminhados por MQTT ao Node-RED e ao frontend, e um fluxo de persistência, no qual dados são agrupados e enviados ao backend FastAPI para armazenamento em Postgres. A interface web permite configurar usuário, mão utilizada e modo de jogo, além de apresentar métricas de desempenho após as sessões. A validação end-to-end confirmou o funcionamento integrado entre firmware, broker MQTT, Node-RED, backend, banco de dados e frontend. Nos registros avaliados, foram persistidas quatro sessões de botões, com 112 eventos e 23 lotes, e duas sessões válidas de pressão, com 258 leituras e 54 lotes. Os resultados indicam que o protótipo é capaz de coletar, transmitir e persistir dados relevantes para acompanhamento longitudinal, embora ainda não constitua instrumento clínico validado nem substitua a prescrição de profissionais de saúde.</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b w:val="1"/>
          <w:bCs w:val="1"/>
          <w:color w:val="000000"/>
          <w:rtl w:val="0"/>
        </w:rPr>
        <w:t xml:space="preserve">Palavras Chaves:</w:t>
      </w:r>
      <w:r w:rsidDel="00000000" w:rsidR="00000000" w:rsidRPr="00000000">
        <w:rPr>
          <w:color w:val="000000"/>
          <w:rtl w:val="0"/>
        </w:rPr>
        <w:t xml:space="preserve"> Reabilitação da mão; Tecnologias Assistivas; Internet das Coisas; </w:t>
      </w:r>
      <w:r w:rsidDel="00000000" w:rsidR="00000000" w:rsidRPr="00000000">
        <w:rPr>
          <w:color w:val="000000"/>
          <w:rtl w:val="0"/>
        </w:rPr>
        <w:t xml:space="preserve">ESP32</w:t>
      </w:r>
      <w:r w:rsidDel="00000000" w:rsidR="00000000" w:rsidRPr="00000000">
        <w:rPr>
          <w:color w:val="000000"/>
          <w:rtl w:val="0"/>
        </w:rPr>
        <w:t xml:space="preserve">; Sensor de pressão; Jogo sério.</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b w:val="1"/>
          <w:bCs w:val="1"/>
          <w:i w:val="1"/>
          <w:iCs w:val="1"/>
          <w:color w:val="000000"/>
          <w:rtl w:val="0"/>
        </w:rPr>
        <w:t xml:space="preserve">Abstract:</w:t>
      </w:r>
      <w:r w:rsidDel="00000000" w:rsidR="00000000" w:rsidRPr="00000000">
        <w:rPr>
          <w:i w:val="1"/>
          <w:iCs w:val="1"/>
          <w:color w:val="000000"/>
          <w:rtl w:val="0"/>
        </w:rPr>
        <w:t xml:space="preserve"> This paper presents Hand-Rehab, an IoT prototype designed to support hand rehabilitation activities through a rhythm game integrated with embedded hardware. The proposed system uses an ESP32, four physical buttons, and an MPS20N0040D pressure sensor coupled to an HX710B module in a closed air system, allowing the registration of digital motor events and pressure variations during use sessions. The architecture was organized into two flows: a real-time flow, in which ESP32 events are forwarded through MQTT to Node-RED and the frontend, and a persistence flow, in which data are grouped and sent to a FastAPI backend for storage in PostgreSQL. The web interface allows user, hand, and game mode configuration, and displays performance metrics after sessions. End-to-end validation confirmed the integrated operation among firmware, MQTT broker, Node-RED, backend, database, and frontend. In the evaluated records, four button sessions were persisted, with 112 events and 23 batches, and two valid pressure sessions, with 258 readings and 54 batches. The results indicate that the prototype can collect, transmit, and persist data relevant to longitudinal monitoring, although it is not yet a clinically validated instrument and does not replace healthcare professional prescription.</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b w:val="1"/>
          <w:bCs w:val="1"/>
          <w:i w:val="1"/>
          <w:iCs w:val="1"/>
          <w:color w:val="000000"/>
          <w:rtl w:val="0"/>
        </w:rPr>
        <w:t xml:space="preserve">Keywords:</w:t>
      </w:r>
      <w:r w:rsidDel="00000000" w:rsidR="00000000" w:rsidRPr="00000000">
        <w:rPr>
          <w:i w:val="1"/>
          <w:iCs w:val="1"/>
          <w:color w:val="000000"/>
          <w:rtl w:val="0"/>
        </w:rPr>
        <w:t xml:space="preserve"> Hand rehabilitation; Assistive Technologies; Internet of Things; ESP32; Pressure sensor; Serious game.</w:t>
      </w:r>
      <w:r w:rsidDel="00000000" w:rsidR="00000000" w:rsidRPr="00000000">
        <w:rPr>
          <w:rtl w:val="0"/>
        </w:rPr>
      </w:r>
    </w:p>
    <w:p w:rsidR="00000000" w:rsidDel="00000000" w:rsidP="00000000" w:rsidRDefault="00000000" w:rsidRPr="00000000" w14:paraId="00000010">
      <w:pPr>
        <w:pStyle w:val="Heading1"/>
        <w:numPr>
          <w:ilvl w:val="0"/>
          <w:numId w:val="1"/>
        </w:numPr>
        <w:ind w:left="432" w:hanging="432"/>
        <w:rPr/>
      </w:pPr>
      <w:r w:rsidDel="00000000" w:rsidR="00000000" w:rsidRPr="00000000">
        <w:rPr>
          <w:rtl w:val="0"/>
        </w:rPr>
        <w:t xml:space="preserve">Introdução</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 mão humana exerce papel central nas atividades de vida diária, pois ações como segurar objetos, alimentar-se, vestir-se, higienizar-se e manipular ferramentas dependem de coordenação fina, força de preensão, sensibilidade e controle motor. Li et al. (2024) destacam que a disfunção de preensão compromete a independência funcional e a qualidade de vida, especialmente quando limita o uso do membro superior em tarefas cotidianas. Bergeron e Kajganic (2024) também apontam que testes de força de preensão e pinça são empregados em reabilitação, ergonomia, medicina esportiva e saúde ocupacional para acompanhar função manual.</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Intervenções de reabilitação da mão precisam conciliar repetição, engajamento, feedback e segurança. Em contextos pós-cirúrgicos, Peters, Jha e Ross (2021) mostram que a reabilitação após reparo de tendões flexores envolve diferentes regimes de mobilização e exercícios, mas a evidência disponível ainda é limitada e deve ser interpretada com cautela. Em fraturas de metacarpos não relacionadas ao polegar, Hakami et al. (2026) identificaram melhora de função da mão, força de preensão e amplitude de movimento em programas estruturados de reabilitação, com destaque para estratégias de mobilização precoce e gamificação como recursos associados à adesão.</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Nesse cenário, tecnologias assistivas baseadas em sensores e jogos sérios podem apoiar a prática de exercícios prescritos, tornar a atividade mais motivadora e registrar dados para acompanhamento longitudinal. O Hand-Rehab foi desenvolvido com essa finalidade: criar um protótipo embarcado e conectado que captura eventos de botões e pressão, entrega estímulos em tempo real ao jogo e persiste dados históricos para consulta posterior. O sistema não tem como objetivo diagnosticar, prescrever tratamento ou validar clinicamente uma intervenção, mas oferecer uma base técnica para coleta, feedback e análise de desempenho.</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Este artigo encontra-se organizado da seguinte forma: a Seção 2 apresenta a fundamentação sobre reabilitação da mão, sensores de pressão, feedback e gamificação; a Seção 3 descreve o trabalho proposto; a Seção 4 apresenta materiais e métodos; a Seção 5 discute os resultados obtidos; e a Seção 6 apresenta as conclusões e trabalhos futuros.</w:t>
      </w:r>
    </w:p>
    <w:p w:rsidR="00000000" w:rsidDel="00000000" w:rsidP="00000000" w:rsidRDefault="00000000" w:rsidRPr="00000000" w14:paraId="00000015">
      <w:pPr>
        <w:pStyle w:val="Heading1"/>
        <w:numPr>
          <w:ilvl w:val="0"/>
          <w:numId w:val="1"/>
        </w:numPr>
        <w:ind w:left="432" w:hanging="432"/>
        <w:rPr/>
      </w:pPr>
      <w:r w:rsidDel="00000000" w:rsidR="00000000" w:rsidRPr="00000000">
        <w:rPr>
          <w:rtl w:val="0"/>
        </w:rPr>
        <w:t xml:space="preserve">Fundamentação</w:t>
      </w:r>
    </w:p>
    <w:p w:rsidR="00000000" w:rsidDel="00000000" w:rsidP="00000000" w:rsidRDefault="00000000" w:rsidRPr="00000000" w14:paraId="00000016">
      <w:pPr>
        <w:pStyle w:val="Heading2"/>
        <w:numPr>
          <w:ilvl w:val="1"/>
          <w:numId w:val="1"/>
        </w:numPr>
        <w:ind w:left="576" w:hanging="576"/>
        <w:rPr/>
      </w:pPr>
      <w:r w:rsidDel="00000000" w:rsidR="00000000" w:rsidRPr="00000000">
        <w:rPr>
          <w:rtl w:val="0"/>
        </w:rPr>
        <w:t xml:space="preserve">Reabilitação da mão e acompanhamento funcional</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 reabilitação da mão pode ocorrer em diferentes contextos clínicos, incluindo lesões tendíneas, fraturas, sequelas neurológicas e perda de força. A revisão Cochrane de Peters, Jha e Ross (2021) avaliou intervenções após cirurgia de tendões flexores da mão e evidencia que os protocolos de exercício, mobilização e uso de dispositivos variam bastante entre estudos. A revisão também ressalta que desfechos como função autorrelatada, amplitude ativa dos dedos, força e eventos adversos são importantes para avaliar a evolução, reforçando a necessidade de cuidado ao propor qualquer atividade para pacientes em recuperação.</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Em fraturas dos metacarpos II a V, Hakami et al. (2026) observaram que programas de reabilitação podem melhorar função da mão, força de preensão e amplitude de movimento. Embora esse contexto não seja idêntico a todos os possíveis usuários do Hand-Rehab, o estudo sustenta a escolha de métricas como desempenho motor, adesão, evolução por sessão e força/pressão como indicadores úteis para acompanhamento. Os autores também discutem estratégias gamificadas, que podem contribuir para engajamento em exercícios repetitivos.</w:t>
      </w:r>
    </w:p>
    <w:p w:rsidR="00000000" w:rsidDel="00000000" w:rsidP="00000000" w:rsidRDefault="00000000" w:rsidRPr="00000000" w14:paraId="00000019">
      <w:pPr>
        <w:pStyle w:val="Heading2"/>
        <w:numPr>
          <w:ilvl w:val="1"/>
          <w:numId w:val="1"/>
        </w:numPr>
        <w:ind w:left="576" w:hanging="576"/>
        <w:rPr/>
      </w:pPr>
      <w:bookmarkStart w:colFirst="0" w:colLast="0" w:name="_p6xjnadls3w4" w:id="0"/>
      <w:bookmarkEnd w:id="0"/>
      <w:r w:rsidDel="00000000" w:rsidR="00000000" w:rsidRPr="00000000">
        <w:rPr>
          <w:rtl w:val="0"/>
        </w:rPr>
        <w:t xml:space="preserve">Sensores de pressão, feedback e tarefas orientadas a objetivo</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Bergeron e Kajganic (2024) discutem a importância de instrumentos sensíveis para avaliar preensão e pinça, especialmente em indivíduos com baixa força manual. O estudo apresenta uma solução de medição de pressão com câmara flexível e reforça que dispositivos capazes de detectar variações pequenas podem ampliar a avaliação de pessoas com limitações severas. Essa fundamentação justifica o uso de um sistema fechado de ar com sensor de pressão no Hand-Rehab, desde que seus dados sejam tratados como medidas técnicas relativas enquanto não houver calibração clínica contra instrumento validado.</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Além da medição, o feedback em tempo real é um elemento relevante. Li et al. (2024) avaliaram treinamento orientado a tarefas com robô de reabilitação da mão com feedback de força e observaram ganhos em desempenho da mão após quatro semanas em pacientes pós-AVC. O Hand-Rehab não possui assistência robótica nem pretende reproduzir a intervenção clínica desse estudo, mas utiliza conceitos compatíveis: repetição de tarefas, estímulos objetivos, resposta imediata ao usuário e registro de métricas como acerto, erro, tempo de reação e pressão.</w:t>
      </w:r>
    </w:p>
    <w:p w:rsidR="00000000" w:rsidDel="00000000" w:rsidP="00000000" w:rsidRDefault="00000000" w:rsidRPr="00000000" w14:paraId="0000001C">
      <w:pPr>
        <w:pStyle w:val="Heading1"/>
        <w:numPr>
          <w:ilvl w:val="0"/>
          <w:numId w:val="1"/>
        </w:numPr>
        <w:ind w:left="432" w:hanging="432"/>
        <w:rPr/>
      </w:pPr>
      <w:r w:rsidDel="00000000" w:rsidR="00000000" w:rsidRPr="00000000">
        <w:rPr>
          <w:rtl w:val="0"/>
        </w:rPr>
        <w:t xml:space="preserve">O trabalho proposto</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Hand-Rehab é um protótipo de tecnologia assistiva para apoio a exercícios de reabilitação da mão por meio de jogo de ritmo. O sistema possui dois modos principais. No modo de botões, quatro botões físicos conectados à </w:t>
      </w:r>
      <w:r w:rsidDel="00000000" w:rsidR="00000000" w:rsidRPr="00000000">
        <w:rPr>
          <w:color w:val="000000"/>
          <w:rtl w:val="0"/>
        </w:rPr>
        <w:t xml:space="preserve">ESP32</w:t>
      </w:r>
      <w:r w:rsidDel="00000000" w:rsidR="00000000" w:rsidRPr="00000000">
        <w:rPr>
          <w:color w:val="000000"/>
          <w:rtl w:val="0"/>
        </w:rPr>
        <w:t xml:space="preserve"> representam faixas do jogo, permitindo registrar precisão por dedo ou faixa, acertos, erros, estímulos perdidos, tempo de reação, combo e pontuação. No modo de pressão, o usuário interage com um sistema fechado de ar conectado ao sensor MPS20N0040D e ao módulo HX710B, permitindo registrar variações de pressão associadas a tentativas de preensão.</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 arquitetura foi dividida em quatro camadas. A primeira é o firmware embarcado na ESP32, desenvolvido com PlatformIO, Arduino Framework e FreeRTOS, responsável por ler botões e pressão, controlar sessão ativa, publicar eventos individuais e preparar lotes para persistência. A segunda é a camada de integração com Node-RED e broker Aedes, responsável por receber mensagens MQTT, normalizar payloads, encaminhar eventos em tempo real ao frontend por WebSocket e enviar lotes ao backend por HTTP. A terceira é o backend FastAPI, que valida os dados, controla usuários e sessões e persiste registros no Postgres. A quarta é o frontend React, que apresenta a interface do jogo, configuração de sessão e visualização inicial de métricas.</w:t>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diferencial do trabalho está na separação entre o fluxo de tempo real e o fluxo histórico. Os eventos usados no jogo seguem um caminho curto, sem passar pelo banco de dados, priorizando resposta imediata. Em paralelo, os mesmos eventos são agrupados e enviados para persistência histórica, permitindo que futuras telas de acompanhamento consultem dados de sessões passadas.</w:t>
      </w:r>
    </w:p>
    <w:p w:rsidR="00000000" w:rsidDel="00000000" w:rsidP="00000000" w:rsidRDefault="00000000" w:rsidRPr="00000000" w14:paraId="00000020">
      <w:pPr>
        <w:pStyle w:val="Heading1"/>
        <w:numPr>
          <w:ilvl w:val="0"/>
          <w:numId w:val="1"/>
        </w:numPr>
        <w:ind w:left="432" w:hanging="432"/>
        <w:rPr/>
      </w:pPr>
      <w:r w:rsidDel="00000000" w:rsidR="00000000" w:rsidRPr="00000000">
        <w:rPr>
          <w:rtl w:val="0"/>
        </w:rPr>
        <w:t xml:space="preserve">Materiais e métodos</w:t>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protótipo físico foi composto por uma placa </w:t>
      </w:r>
      <w:r w:rsidDel="00000000" w:rsidR="00000000" w:rsidRPr="00000000">
        <w:rPr>
          <w:color w:val="000000"/>
          <w:rtl w:val="0"/>
        </w:rPr>
        <w:t xml:space="preserve">ESP32</w:t>
      </w:r>
      <w:r w:rsidDel="00000000" w:rsidR="00000000" w:rsidRPr="00000000">
        <w:rPr>
          <w:color w:val="000000"/>
          <w:rtl w:val="0"/>
        </w:rPr>
        <w:t xml:space="preserve">, quatro botões físicos e um sensor de pressão MPS20N0040D acoplado ao módulo HX710B em um sistema fechado de ar. A Figura 1 ilustra a esquematização</w:t>
      </w:r>
      <w:r w:rsidDel="00000000" w:rsidR="00000000" w:rsidRPr="00000000">
        <w:rPr>
          <w:rtl w:val="0"/>
        </w:rPr>
        <w:t xml:space="preserve"> </w:t>
      </w:r>
      <w:r w:rsidDel="00000000" w:rsidR="00000000" w:rsidRPr="00000000">
        <w:rPr>
          <w:color w:val="000000"/>
          <w:rtl w:val="0"/>
        </w:rPr>
        <w:t xml:space="preserve">de ligações destes componentes principais para testes em protoboard.</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60" w:before="120" w:lineRule="auto"/>
        <w:jc w:val="center"/>
        <w:rPr>
          <w:b w:val="1"/>
          <w:bCs w:val="1"/>
        </w:rPr>
      </w:pPr>
      <w:r w:rsidDel="00000000" w:rsidR="00000000" w:rsidRPr="00000000">
        <w:rPr/>
        <w:drawing>
          <wp:inline distB="114300" distT="114300" distL="114300" distR="114300">
            <wp:extent cx="3238500" cy="19050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238500" cy="1905000"/>
                    </a:xfrm>
                    <a:prstGeom prst="rect"/>
                    <a:ln/>
                  </pic:spPr>
                </pic:pic>
              </a:graphicData>
            </a:graphic>
          </wp:inline>
        </w:drawing>
      </w:r>
      <w:r w:rsidDel="00000000" w:rsidR="00000000" w:rsidRPr="00000000">
        <w:rPr>
          <w:rtl w:val="0"/>
        </w:rPr>
        <w:br w:type="textWrapping"/>
      </w:r>
      <w:r w:rsidDel="00000000" w:rsidR="00000000" w:rsidRPr="00000000">
        <w:rPr>
          <w:b w:val="1"/>
          <w:bCs w:val="1"/>
          <w:rtl w:val="0"/>
        </w:rPr>
        <w:t xml:space="preserve">Figura 1 - Protótipo do circuito eletrônico do Hand-Rehab.</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Os botões foram conectados a entradas digitais da </w:t>
      </w:r>
      <w:r w:rsidDel="00000000" w:rsidR="00000000" w:rsidRPr="00000000">
        <w:rPr>
          <w:color w:val="000000"/>
          <w:rtl w:val="0"/>
        </w:rPr>
        <w:t xml:space="preserve">ESP32</w:t>
      </w:r>
      <w:r w:rsidDel="00000000" w:rsidR="00000000" w:rsidRPr="00000000">
        <w:rPr>
          <w:color w:val="000000"/>
          <w:rtl w:val="0"/>
        </w:rPr>
        <w:t xml:space="preserve"> e configurados com interrupções e tratamento de debounce. Para conferir durabilidade e viabilidade de uso pelos pacientes, os componentes físicos estão sendo</w:t>
      </w:r>
      <w:r w:rsidDel="00000000" w:rsidR="00000000" w:rsidRPr="00000000">
        <w:rPr>
          <w:rtl w:val="0"/>
        </w:rPr>
        <w:t xml:space="preserve"> </w:t>
      </w:r>
      <w:r w:rsidDel="00000000" w:rsidR="00000000" w:rsidRPr="00000000">
        <w:rPr>
          <w:color w:val="000000"/>
          <w:rtl w:val="0"/>
        </w:rPr>
        <w:t xml:space="preserve">dispostos em um invólucro (Figura 2) projetado para manter os botões mecanicamente estáveis e isolar as fiações</w:t>
      </w:r>
      <w:r w:rsidDel="00000000" w:rsidR="00000000" w:rsidRPr="00000000">
        <w:rPr>
          <w:rtl w:val="0"/>
        </w:rPr>
        <w:t xml:space="preserve"> </w:t>
      </w:r>
      <w:r w:rsidDel="00000000" w:rsidR="00000000" w:rsidRPr="00000000">
        <w:rPr>
          <w:color w:val="000000"/>
          <w:rtl w:val="0"/>
        </w:rPr>
        <w:t xml:space="preserve">da placa durante o jogo.</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60" w:before="120" w:lineRule="auto"/>
        <w:jc w:val="center"/>
        <w:rPr/>
      </w:pPr>
      <w:r w:rsidDel="00000000" w:rsidR="00000000" w:rsidRPr="00000000">
        <w:rPr/>
        <w:drawing>
          <wp:inline distB="114300" distT="114300" distL="114300" distR="114300">
            <wp:extent cx="1001331" cy="1335107"/>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1001331" cy="1335107"/>
                    </a:xfrm>
                    <a:prstGeom prst="rect"/>
                    <a:ln/>
                  </pic:spPr>
                </pic:pic>
              </a:graphicData>
            </a:graphic>
          </wp:inline>
        </w:drawing>
      </w:r>
      <w:r w:rsidDel="00000000" w:rsidR="00000000" w:rsidRPr="00000000">
        <w:rPr>
          <w:rtl w:val="0"/>
        </w:rPr>
        <w:br w:type="textWrapping"/>
      </w:r>
      <w:r w:rsidDel="00000000" w:rsidR="00000000" w:rsidRPr="00000000">
        <w:rPr>
          <w:b w:val="1"/>
          <w:bCs w:val="1"/>
          <w:rtl w:val="0"/>
        </w:rPr>
        <w:t xml:space="preserve">Figura 2 - Estrutura física da caixa desenvolvida para acomodar os botões e a placa.</w:t>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sensor de pressão foi lido pelo firmware por meio de rotina de aquisição do conversor HX710B, com registro do valor bruto e conversão relativa para kPa a partir de parâmetros de calibração do firmware.</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firmware foi estruturado em tarefas FreeRTOS. Uma tarefa trata conectividade Wi-Fi e MQTT; outra processa eventos de botões; uma terceira realiza leituras periódicas de pressão; e tarefas adicionais publicam eventos em tempo real e lotes de persistência. A </w:t>
      </w:r>
      <w:r w:rsidDel="00000000" w:rsidR="00000000" w:rsidRPr="00000000">
        <w:rPr>
          <w:color w:val="000000"/>
          <w:rtl w:val="0"/>
        </w:rPr>
        <w:t xml:space="preserve">ESP32</w:t>
      </w:r>
      <w:r w:rsidDel="00000000" w:rsidR="00000000" w:rsidRPr="00000000">
        <w:rPr>
          <w:color w:val="000000"/>
          <w:rtl w:val="0"/>
        </w:rPr>
        <w:t xml:space="preserve"> inicia em estado ocioso e passa a publicar dados de jogo somente após receber comando de início de sessão. Ao finalizar a sessão, os dados restantes são enviados para persistência.</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 infraestrutura foi executada com Postgres, backend FastAPI, Node-RED com Aedes e frontend React. A comunicação </w:t>
      </w:r>
      <w:r w:rsidDel="00000000" w:rsidR="00000000" w:rsidRPr="00000000">
        <w:rPr>
          <w:color w:val="000000"/>
          <w:rtl w:val="0"/>
        </w:rPr>
        <w:t xml:space="preserve">ESP32</w:t>
      </w:r>
      <w:r w:rsidDel="00000000" w:rsidR="00000000" w:rsidRPr="00000000">
        <w:rPr>
          <w:color w:val="000000"/>
          <w:rtl w:val="0"/>
        </w:rPr>
        <w:t xml:space="preserve">-Node-RED ocorreu por MQTT. O Node-RED encaminhou eventos de tempo real por WebSocket ao frontend e enviou lotes de botões e pressão ao backend por requisições HTTP. O backend persistiu usuários, dispositivos, sessões, eventos de botões, leituras de pressão, lotes e métricas de gameplay.</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 validação foi realizada de forma end-to-end, considerando o caminho completo entre acionamento físico, comunicação sem fio, integração MQTT, interface web, backend e banco de dados. Para os resultados de botões e gameplay, foram considerados apenas registros persistidos na base de validação extraída para a entrega. Para o módulo de pressão, foram incluídas duas sessões locais autorizadas posteriormente, por serem as únicas com leituras de pressão persistidas. Os testes tiveram caráter técnico e não envolveram avaliação clínica de pacientes.</w:t>
      </w:r>
    </w:p>
    <w:p w:rsidR="00000000" w:rsidDel="00000000" w:rsidP="00000000" w:rsidRDefault="00000000" w:rsidRPr="00000000" w14:paraId="00000029">
      <w:pPr>
        <w:pStyle w:val="Heading1"/>
        <w:numPr>
          <w:ilvl w:val="0"/>
          <w:numId w:val="1"/>
        </w:numPr>
        <w:ind w:left="432" w:hanging="432"/>
        <w:rPr/>
      </w:pPr>
      <w:r w:rsidDel="00000000" w:rsidR="00000000" w:rsidRPr="00000000">
        <w:rPr>
          <w:rtl w:val="0"/>
        </w:rPr>
        <w:t xml:space="preserve">Resultados e discussão</w:t>
      </w:r>
    </w:p>
    <w:p w:rsidR="00000000" w:rsidDel="00000000" w:rsidP="00000000" w:rsidRDefault="00000000" w:rsidRPr="00000000" w14:paraId="0000002A">
      <w:pPr>
        <w:spacing w:after="60" w:before="120" w:lineRule="auto"/>
        <w:rPr/>
      </w:pPr>
      <w:r w:rsidDel="00000000" w:rsidR="00000000" w:rsidRPr="00000000">
        <w:rPr>
          <w:rtl w:val="0"/>
        </w:rPr>
        <w:t xml:space="preserve">A validação end-to-end confirmou que o protótipo foi capaz de criar sessões, receber comandos, publicar eventos pela </w:t>
      </w:r>
      <w:r w:rsidDel="00000000" w:rsidR="00000000" w:rsidRPr="00000000">
        <w:rPr>
          <w:rtl w:val="0"/>
        </w:rPr>
        <w:t xml:space="preserve">ESP32</w:t>
      </w:r>
      <w:r w:rsidDel="00000000" w:rsidR="00000000" w:rsidRPr="00000000">
        <w:rPr>
          <w:rtl w:val="0"/>
        </w:rPr>
        <w:t xml:space="preserve">, encaminhar dados pelo Node-RED, persistir registros no backend e disponibilizar métricas no frontend (Figura 3). O frontend provou-se eficaz na visualização consolidada de indicadores de acertos, erros, reações médias e curvas de evolução.</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60" w:before="120" w:lineRule="auto"/>
        <w:jc w:val="center"/>
        <w:rPr>
          <w:b w:val="1"/>
          <w:bCs w:val="1"/>
        </w:rPr>
      </w:pPr>
      <w:r w:rsidDel="00000000" w:rsidR="00000000" w:rsidRPr="00000000">
        <w:rPr/>
        <w:drawing>
          <wp:inline distB="114300" distT="114300" distL="114300" distR="114300">
            <wp:extent cx="3238500" cy="1473200"/>
            <wp:effectExtent b="0" l="0" r="0" t="0"/>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238500" cy="1473200"/>
                    </a:xfrm>
                    <a:prstGeom prst="rect"/>
                    <a:ln/>
                  </pic:spPr>
                </pic:pic>
              </a:graphicData>
            </a:graphic>
          </wp:inline>
        </w:drawing>
      </w:r>
      <w:r w:rsidDel="00000000" w:rsidR="00000000" w:rsidRPr="00000000">
        <w:rPr>
          <w:rtl w:val="0"/>
        </w:rPr>
        <w:br w:type="textWrapping"/>
      </w:r>
      <w:r w:rsidDel="00000000" w:rsidR="00000000" w:rsidRPr="00000000">
        <w:rPr>
          <w:b w:val="1"/>
          <w:bCs w:val="1"/>
          <w:rtl w:val="0"/>
        </w:rPr>
        <w:t xml:space="preserve">Figura 3 - Dashboard da aplicação exibindo as métricas consolidadas após a execução das sessões.</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No modo de botões, foram registradas quatro sessões finalizadas, todas com mão direita, totalizando 989 segundos de uso. Essas sessões geraram 23 lotes de botões e 112 eventos persistidos, sendo 56 eventos de </w:t>
      </w:r>
      <w:r w:rsidDel="00000000" w:rsidR="00000000" w:rsidRPr="00000000">
        <w:rPr>
          <w:color w:val="000000"/>
          <w:rtl w:val="0"/>
        </w:rPr>
        <w:t xml:space="preserve">pressionamento</w:t>
      </w:r>
      <w:r w:rsidDel="00000000" w:rsidR="00000000" w:rsidRPr="00000000">
        <w:rPr>
          <w:color w:val="000000"/>
          <w:rtl w:val="0"/>
        </w:rPr>
        <w:t xml:space="preserve"> e 56 de liberação. A distribuição por botão foi de 42 eventos no botão 1, 26 no botão 2, 24 no botão 3 e 20 no botão 4.</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before="120" w:lineRule="auto"/>
        <w:jc w:val="center"/>
        <w:rPr>
          <w:b w:val="1"/>
          <w:bCs w:val="1"/>
          <w:color w:val="000000"/>
        </w:rPr>
      </w:pPr>
      <w:r w:rsidDel="00000000" w:rsidR="00000000" w:rsidRPr="00000000">
        <w:rPr>
          <w:b w:val="1"/>
          <w:bCs w:val="1"/>
          <w:color w:val="000000"/>
          <w:rtl w:val="0"/>
        </w:rPr>
        <w:t xml:space="preserve">Tabela 1 - Resultados técnicos do modo de botões.</w:t>
      </w:r>
    </w:p>
    <w:tbl>
      <w:tblPr>
        <w:tblStyle w:val="Table1"/>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Indicador do modo de botões</w:t>
            </w:r>
          </w:p>
        </w:tc>
        <w:tc>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Resultado registrado</w:t>
            </w:r>
          </w:p>
        </w:tc>
      </w:tr>
      <w:tr>
        <w:trPr>
          <w:cantSplit w:val="0"/>
          <w:tblHeader w:val="0"/>
        </w:trPr>
        <w:tc>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Sessões finalizadas</w:t>
            </w:r>
          </w:p>
        </w:tc>
        <w:tc>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4</w:t>
            </w:r>
          </w:p>
        </w:tc>
      </w:tr>
      <w:tr>
        <w:trPr>
          <w:cantSplit w:val="0"/>
          <w:tblHeader w:val="0"/>
        </w:trPr>
        <w:tc>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Duração total</w:t>
            </w:r>
          </w:p>
        </w:tc>
        <w:tc>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989 s</w:t>
            </w:r>
          </w:p>
        </w:tc>
      </w:tr>
      <w:tr>
        <w:trPr>
          <w:cantSplit w:val="0"/>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Lotes persistidos</w:t>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23</w:t>
            </w:r>
          </w:p>
        </w:tc>
      </w:tr>
      <w:tr>
        <w:trPr>
          <w:cantSplit w:val="0"/>
          <w:tblHeader w:val="0"/>
        </w:trPr>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Eventos de botões</w:t>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112, sendo 56 pressionamentos e 56 liberações</w:t>
            </w:r>
          </w:p>
        </w:tc>
      </w:tr>
      <w:tr>
        <w:trPr>
          <w:cantSplit w:val="0"/>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Perdas registradas nos lotes</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0</w:t>
            </w:r>
          </w:p>
        </w:tc>
      </w:tr>
    </w:tbl>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As métricas de gameplay indicaram 2.646 estímulos gerados, 10 acertos, 46 erros e 2.596 estímulos perdidos, com pontuação total de 1.000 pontos e melhor pontuação individual de 520 pontos. O tempo médio de reação nas três sessões com respostas válidas foi de 123,83 ms, com melhor reação de 16 ms e pior reação de 227 ms. Esses valores não devem ser interpretados como evolução terapêutica, pois a validação teve objetivo técnico e as sessões foram executadas em contexto exploratório. Ainda assim, os dados demonstram que o sistema já registra indicadores suficientes para análises futuras de precisão, tempo de resposta e adesão.</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before="120" w:lineRule="auto"/>
        <w:jc w:val="center"/>
        <w:rPr>
          <w:b w:val="1"/>
          <w:bCs w:val="1"/>
          <w:color w:val="000000"/>
        </w:rPr>
      </w:pPr>
      <w:r w:rsidDel="00000000" w:rsidR="00000000" w:rsidRPr="00000000">
        <w:rPr>
          <w:b w:val="1"/>
          <w:bCs w:val="1"/>
          <w:color w:val="000000"/>
          <w:rtl w:val="0"/>
        </w:rPr>
        <w:t xml:space="preserve">Tabela 2 - Métricas de desempenho registradas no jogo.</w:t>
      </w:r>
    </w:p>
    <w:tbl>
      <w:tblPr>
        <w:tblStyle w:val="Table2"/>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Indicador de gameplay</w:t>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Resultado registrado</w:t>
            </w:r>
          </w:p>
        </w:tc>
      </w:tr>
      <w:tr>
        <w:trPr>
          <w:cantSplit w:val="0"/>
          <w:tblHeader w:val="0"/>
        </w:trPr>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Estímulos gerados</w:t>
            </w:r>
          </w:p>
        </w:tc>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2.646</w:t>
            </w:r>
          </w:p>
        </w:tc>
      </w:tr>
      <w:tr>
        <w:trPr>
          <w:cantSplit w:val="0"/>
          <w:tblHeader w:val="0"/>
        </w:trPr>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Acertos, erros e estímulos perdidos</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10 acertos, 46 erros e 2.596 estímulos perdidos</w:t>
            </w:r>
          </w:p>
        </w:tc>
      </w:tr>
      <w:tr>
        <w:trPr>
          <w:cantSplit w:val="0"/>
          <w:tblHeader w:val="0"/>
        </w:trPr>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Pontuação total e melhor pontuação</w:t>
            </w:r>
          </w:p>
        </w:tc>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1.000 pontos no total; melhor sessão com 520 pontos</w:t>
            </w:r>
          </w:p>
        </w:tc>
      </w:tr>
      <w:tr>
        <w:trPr>
          <w:cantSplit w:val="0"/>
          <w:tblHeader w:val="0"/>
        </w:trPr>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Tempo de reação</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Média de 123,83 ms; melhor 16 ms; pior 227 ms</w:t>
            </w:r>
          </w:p>
        </w:tc>
      </w:tr>
    </w:tbl>
    <w:p w:rsidR="00000000" w:rsidDel="00000000" w:rsidP="00000000" w:rsidRDefault="00000000" w:rsidRPr="00000000" w14:paraId="00000047">
      <w:pPr>
        <w:spacing w:after="60" w:before="120" w:lineRule="auto"/>
        <w:rPr/>
      </w:pPr>
      <w:r w:rsidDel="00000000" w:rsidR="00000000" w:rsidRPr="00000000">
        <w:rPr>
          <w:rtl w:val="0"/>
        </w:rPr>
        <w:t xml:space="preserve">Comprovando o funcionamento da nova funcionalidade de integração descrita na Seção 3, a Figura 4 demonstra o recebimento automático do relatório no chat do Telegram assim que uma sessão é finalizada, expondo rapidamente métricas como pontuação, acertos, e tempo de reação.</w:t>
      </w:r>
    </w:p>
    <w:p w:rsidR="00000000" w:rsidDel="00000000" w:rsidP="00000000" w:rsidRDefault="00000000" w:rsidRPr="00000000" w14:paraId="00000048">
      <w:pPr>
        <w:spacing w:after="60" w:before="120" w:lineRule="auto"/>
        <w:jc w:val="center"/>
        <w:rPr>
          <w:b w:val="1"/>
          <w:bCs w:val="1"/>
        </w:rPr>
      </w:pPr>
      <w:r w:rsidDel="00000000" w:rsidR="00000000" w:rsidRPr="00000000">
        <w:rPr/>
        <w:drawing>
          <wp:inline distB="114300" distT="114300" distL="114300" distR="114300">
            <wp:extent cx="805444" cy="1745129"/>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805444" cy="1745129"/>
                    </a:xfrm>
                    <a:prstGeom prst="rect"/>
                    <a:ln/>
                  </pic:spPr>
                </pic:pic>
              </a:graphicData>
            </a:graphic>
          </wp:inline>
        </w:drawing>
      </w:r>
      <w:r w:rsidDel="00000000" w:rsidR="00000000" w:rsidRPr="00000000">
        <w:rPr>
          <w:rtl w:val="0"/>
        </w:rPr>
        <w:br w:type="textWrapping"/>
      </w:r>
      <w:r w:rsidDel="00000000" w:rsidR="00000000" w:rsidRPr="00000000">
        <w:rPr>
          <w:b w:val="1"/>
          <w:bCs w:val="1"/>
          <w:rtl w:val="0"/>
        </w:rPr>
        <w:t xml:space="preserve">Figura 4 - Relatório automático recebido via bot do Telegram confirmando o fim de sessão e reportando as métricas obtidas.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60" w:before="120" w:lineRule="auto"/>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No modo de pressão, duas sessões locais válidas apresentaram dados persistidos. Juntas, elas totalizaram 269 segundos de uso, 54 lotes de pressão e 258 leituras persistidas. As sequências foram contínuas nas duas sessões, indo de 1 a 206 na primeira e de 1 a 52 na segunda, sem perdas registradas. Esse resultado confirma a aquisição, transmissão e persistência do sinal de pressão em sessão real do sistema.</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As leituras de pressão apresentaram 14 valores saturados, correspondentes a aproximadamente 5,4% do total. Removendo esses extremos de saturação, permaneceram 244 leituras, com mediana de -0,678 kPa, média de 41,776 kPa e faixa entre -22,044 kPa e 769,761 kPa. Esses valores mostram variação mensurável do sistema fechado de ar, mas também indicam necessidade de calibração mecânica e eletrônica antes de qualquer uso como medida clínica de força de preensão. O tempo médio de inserção registrado nos metadados dos lotes de pressão foi de 3,07 microssegundos, com máximo de 11 microssegundos; o tempo médio de publicação MQTT não nulo foi de 3.802,23 microssegundos, com máximo de 5.931 microssegundos.</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20" w:before="120" w:lineRule="auto"/>
        <w:jc w:val="center"/>
        <w:rPr>
          <w:b w:val="1"/>
          <w:bCs w:val="1"/>
          <w:color w:val="000000"/>
        </w:rPr>
      </w:pPr>
      <w:r w:rsidDel="00000000" w:rsidR="00000000" w:rsidRPr="00000000">
        <w:rPr>
          <w:b w:val="1"/>
          <w:bCs w:val="1"/>
          <w:color w:val="000000"/>
          <w:rtl w:val="0"/>
        </w:rPr>
        <w:t xml:space="preserve">Tabela 3 - Resultados técnicos do modo de pressão.</w:t>
      </w:r>
    </w:p>
    <w:tbl>
      <w:tblPr>
        <w:tblStyle w:val="Table3"/>
        <w:tblW w:w="501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00"/>
        <w:gridCol w:w="2619"/>
        <w:tblGridChange w:id="0">
          <w:tblGrid>
            <w:gridCol w:w="2400"/>
            <w:gridCol w:w="2619"/>
          </w:tblGrid>
        </w:tblGridChange>
      </w:tblGrid>
      <w:tr>
        <w:trPr>
          <w:cantSplit w:val="0"/>
          <w:tblHeader w:val="0"/>
        </w:trPr>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Indicador do modo de pressão</w:t>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Resultado registrado</w:t>
            </w:r>
          </w:p>
        </w:tc>
      </w:tr>
      <w:tr>
        <w:trPr>
          <w:cantSplit w:val="0"/>
          <w:tblHeader w:val="0"/>
        </w:trPr>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Sessões com leituras persistidas</w:t>
            </w:r>
          </w:p>
        </w:tc>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2</w:t>
            </w:r>
          </w:p>
        </w:tc>
      </w:tr>
      <w:tr>
        <w:trPr>
          <w:cantSplit w:val="0"/>
          <w:tblHeader w:val="0"/>
        </w:trPr>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Duração total</w:t>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269 s</w:t>
            </w:r>
          </w:p>
        </w:tc>
      </w:tr>
      <w:tr>
        <w:trPr>
          <w:cantSplit w:val="0"/>
          <w:tblHeader w:val="0"/>
        </w:trPr>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Lotes e leituras</w:t>
            </w:r>
          </w:p>
        </w:tc>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54 lotes e 258 leituras</w:t>
            </w:r>
          </w:p>
        </w:tc>
      </w:tr>
      <w:tr>
        <w:trPr>
          <w:cantSplit w:val="0"/>
          <w:tblHeader w:val="0"/>
        </w:trPr>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Sequência das leituras</w:t>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Contínua nas duas sessões, sem perdas registradas</w:t>
            </w:r>
          </w:p>
        </w:tc>
      </w:tr>
      <w:tr>
        <w:trPr>
          <w:cantSplit w:val="0"/>
          <w:tblHeader w:val="0"/>
        </w:trPr>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Leituras saturadas</w:t>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14 leituras, aproximadamente 5,4% do total</w:t>
            </w:r>
          </w:p>
        </w:tc>
      </w:tr>
      <w:tr>
        <w:trPr>
          <w:cantSplit w:val="0"/>
          <w:tblHeader w:val="0"/>
        </w:trPr>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Faixa sem saturação</w:t>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-22,044 kPa a 769,761 kPa</w:t>
            </w:r>
          </w:p>
        </w:tc>
      </w:tr>
    </w:tbl>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Os resultados obtidos estão alinhados com a fundamentação do projeto. A persistência de eventos e métricas por sessão cria base para acompanhamento longitudinal, compatível com a importância de desfechos funcionais discutida por Peters, Jha e Ross (2021) e Hakami et al. (2026). O uso do sensor de pressão se relaciona à necessidade de instrumentos sensíveis para registrar variações de preensão discutida por Bergeron e Kajganic (2024). Já o jogo de ritmo com feedback imediato dialoga com a lógica de tarefas orientadas a objetivo e resposta sensório-motora apresentada por Li et al. (2024).</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Como limitação, os dados de pressão ainda não devem ser considerados força de preensão clínica. A presença de saturações indica que a montagem física e os parâmetros de calibração precisam ser refinados. Além disso, os resultados de gameplay foram coletados em validação técnica, sem protocolo terapêutico controlado, sem amostra clínica e sem comparação antes/depois. Portanto, o Hand-Rehab deve ser entendido nesta etapa como protótipo funcional de coleta, jogo e persistência de dados, não como intervenção clínica validada.</w:t>
      </w:r>
    </w:p>
    <w:p w:rsidR="00000000" w:rsidDel="00000000" w:rsidP="00000000" w:rsidRDefault="00000000" w:rsidRPr="00000000" w14:paraId="0000005E">
      <w:pPr>
        <w:pStyle w:val="Heading1"/>
        <w:numPr>
          <w:ilvl w:val="0"/>
          <w:numId w:val="1"/>
        </w:numPr>
        <w:ind w:left="432" w:hanging="432"/>
        <w:rPr/>
      </w:pPr>
      <w:r w:rsidDel="00000000" w:rsidR="00000000" w:rsidRPr="00000000">
        <w:rPr>
          <w:rtl w:val="0"/>
        </w:rPr>
        <w:t xml:space="preserve">Conclusões</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Hand-Rehab demonstrou viabilidade técnica como sistema IoT de apoio a exercícios de reabilitação da mão. A solução integrou ESP32, botões, sensor de pressão, MQTT, Node-RED, backend FastAPI, Postgres e frontend React em um fluxo end-to-end. Os registros obtidos mostram que o sistema é capaz de capturar eventos físicos, enviar inputs em tempo real ao jogo e persistir dados históricos por sessão.</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O modo de botões registrou sessões completas, lotes, eventos de pressionamento/liberação e métricas de gameplay. O modo de pressão registrou duas sessões com leituras persistidas, sequência contínua e ausência de perdas, validando tecnicamente a aquisição e transmissão do sinal. A presença de saturações no sensor, entretanto, reforça que a próxima etapa deve priorizar calibração, melhoria da interface mecânica de preensão e comparação com instrumentos de referência.</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60" w:before="120" w:lineRule="auto"/>
        <w:rPr>
          <w:color w:val="000000"/>
        </w:rPr>
      </w:pPr>
      <w:r w:rsidDel="00000000" w:rsidR="00000000" w:rsidRPr="00000000">
        <w:rPr>
          <w:color w:val="000000"/>
          <w:rtl w:val="0"/>
        </w:rPr>
        <w:t xml:space="preserve">Como trabalhos futuros, recomenda-se adaptar o sistema fechado de ar para uma interface ergonômica semelhante a uma bola de preensão, calibrar o sensor contra equipamento validado, ampliar os modos de jogo, incluir protocolos configuráveis por profissional de saúde e realizar estudo com aprovação ética quando houver participação de usuários reais em contexto terapêutico. Com esses avanços, o Hand-Rehab poderá evoluir de um protótipo técnico para uma ferramenta de apoio ao acompanhamento de exercícios sob orientação profissional.</w:t>
      </w:r>
    </w:p>
    <w:p w:rsidR="00000000" w:rsidDel="00000000" w:rsidP="00000000" w:rsidRDefault="00000000" w:rsidRPr="00000000" w14:paraId="00000062">
      <w:pPr>
        <w:keepNext w:val="1"/>
        <w:keepLines w:val="1"/>
        <w:widowControl w:val="0"/>
        <w:pBdr>
          <w:top w:space="0" w:sz="0" w:val="nil"/>
          <w:left w:space="0" w:sz="0" w:val="nil"/>
          <w:bottom w:space="0" w:sz="0" w:val="nil"/>
          <w:right w:space="0" w:sz="0" w:val="nil"/>
          <w:between w:space="0" w:sz="0" w:val="nil"/>
        </w:pBdr>
        <w:spacing w:before="240" w:lineRule="auto"/>
        <w:jc w:val="left"/>
        <w:rPr>
          <w:rFonts w:ascii="Arial" w:cs="Arial" w:eastAsia="Arial" w:hAnsi="Arial"/>
          <w:b w:val="1"/>
          <w:bCs w:val="1"/>
          <w:smallCaps w:val="1"/>
          <w:color w:val="000000"/>
          <w:sz w:val="24"/>
          <w:szCs w:val="24"/>
        </w:rPr>
      </w:pPr>
      <w:r w:rsidDel="00000000" w:rsidR="00000000" w:rsidRPr="00000000">
        <w:rPr>
          <w:rFonts w:ascii="Arial" w:cs="Arial" w:eastAsia="Arial" w:hAnsi="Arial"/>
          <w:b w:val="1"/>
          <w:bCs w:val="1"/>
          <w:smallCaps w:val="1"/>
          <w:color w:val="000000"/>
          <w:sz w:val="24"/>
          <w:szCs w:val="24"/>
          <w:rtl w:val="0"/>
        </w:rPr>
        <w:t xml:space="preserve">Referências Bibliográficas</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60" w:before="120" w:lineRule="auto"/>
        <w:ind w:left="567" w:hanging="567"/>
        <w:rPr>
          <w:color w:val="000000"/>
        </w:rPr>
      </w:pPr>
      <w:r w:rsidDel="00000000" w:rsidR="00000000" w:rsidRPr="00000000">
        <w:rPr>
          <w:color w:val="000000"/>
          <w:rtl w:val="0"/>
        </w:rPr>
        <w:t xml:space="preserve">BERGERON, Vance; KAJGANIC, Petar. Pressure sensors for evaluating hand grasp and pinch. Sensors, v. 24, n. 17, 5768, 2024. DOI: 10.3390/s24175768.</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60" w:before="120" w:lineRule="auto"/>
        <w:ind w:left="567" w:hanging="567"/>
        <w:rPr>
          <w:color w:val="000000"/>
        </w:rPr>
      </w:pPr>
      <w:r w:rsidDel="00000000" w:rsidR="00000000" w:rsidRPr="00000000">
        <w:rPr>
          <w:color w:val="000000"/>
          <w:rtl w:val="0"/>
        </w:rPr>
        <w:t xml:space="preserve">HAKAMI, Alaa Hamed et al. Effectiveness of hand rehabilitation programs for non-thumb metacarpal fractures: a systematic review and meta-analysis. Clinica Terapeutica, v. 177, n. 1, p. 174-181, 2026. DOI: 10.7417/CT.2026.1991.</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60" w:before="120" w:lineRule="auto"/>
        <w:ind w:left="567" w:hanging="567"/>
        <w:rPr>
          <w:color w:val="000000"/>
        </w:rPr>
      </w:pPr>
      <w:r w:rsidDel="00000000" w:rsidR="00000000" w:rsidRPr="00000000">
        <w:rPr>
          <w:color w:val="000000"/>
          <w:rtl w:val="0"/>
        </w:rPr>
        <w:t xml:space="preserve">LI, Yinghua et al. Effect of task-oriented training assisted by force feedback hand rehabilitation robot on finger grasping function in stroke patients with hemiplegia: a randomised controlled trial. Journal of NeuroEngineering and Rehabilitation, v. 21, art. 77, 2024. DOI: 10.1186/s12984-024-01372-3.</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60" w:before="120" w:lineRule="auto"/>
        <w:ind w:left="567" w:hanging="567"/>
        <w:rPr>
          <w:b w:val="1"/>
          <w:bCs w:val="1"/>
          <w:i w:val="1"/>
          <w:iCs w:val="1"/>
        </w:rPr>
      </w:pPr>
      <w:r w:rsidDel="00000000" w:rsidR="00000000" w:rsidRPr="00000000">
        <w:rPr>
          <w:color w:val="000000"/>
          <w:rtl w:val="0"/>
        </w:rPr>
        <w:t xml:space="preserve">PETERS, Susan E.; JHA, Bhavana; ROSS, Mark. Rehabilitation following surgery for flexor tendon injuries of the hand. Cochrane Database of Systematic Reviews, n. 1, art. CD012479, 2021. DOI: 10.1002/14651858.CD012479.pub2.</w:t>
      </w:r>
      <w:r w:rsidDel="00000000" w:rsidR="00000000" w:rsidRPr="00000000">
        <w:rPr>
          <w:rtl w:val="0"/>
        </w:rPr>
      </w:r>
    </w:p>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shd w:fill="ffffff" w:val="clear"/>
        <w:spacing w:after="60" w:before="120" w:line="230" w:lineRule="auto"/>
        <w:rPr>
          <w:color w:val="000000"/>
        </w:rPr>
      </w:pPr>
      <w:r w:rsidDel="00000000" w:rsidR="00000000" w:rsidRPr="00000000">
        <w:rPr>
          <w:rtl w:val="0"/>
        </w:rPr>
      </w:r>
    </w:p>
    <w:sectPr>
      <w:headerReference r:id="rId14" w:type="even"/>
      <w:type w:val="continuous"/>
      <w:pgSz w:h="16838" w:w="11906" w:orient="portrait"/>
      <w:pgMar w:bottom="760" w:top="737" w:left="567" w:right="567" w:header="567" w:footer="567"/>
      <w:cols w:equalWidth="0" w:num="2">
        <w:col w:space="567" w:w="5102.499999999999"/>
        <w:col w:space="0" w:w="5102.4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center" w:leader="none" w:pos="4153"/>
        <w:tab w:val="right" w:leader="none" w:pos="8306"/>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-360043</wp:posOffset>
          </wp:positionH>
          <wp:positionV relativeFrom="paragraph">
            <wp:posOffset>-337182</wp:posOffset>
          </wp:positionV>
          <wp:extent cx="7562850" cy="866775"/>
          <wp:effectExtent b="0" l="0" r="0" t="0"/>
          <wp:wrapNone/>
          <wp:docPr id="8"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562850" cy="86677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center" w:leader="none" w:pos="4153"/>
        <w:tab w:val="right" w:leader="none" w:pos="8306"/>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-350518</wp:posOffset>
          </wp:positionH>
          <wp:positionV relativeFrom="paragraph">
            <wp:posOffset>-327657</wp:posOffset>
          </wp:positionV>
          <wp:extent cx="7562850" cy="866775"/>
          <wp:effectExtent b="0" l="0" r="0" t="0"/>
          <wp:wrapNone/>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562850" cy="8667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ind w:left="144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Anais da Mostra Nacional de Robótica - MNR 2026</w:t>
    </w:r>
    <w:r w:rsidDel="00000000" w:rsidR="00000000" w:rsidRPr="00000000">
      <w:drawing>
        <wp:anchor allowOverlap="1" behindDoc="0" distB="0" distT="0" distL="114300" distR="114300" hidden="0" layoutInCell="1" locked="0" relativeHeight="0" simplePos="0">
          <wp:simplePos x="0" y="0"/>
          <wp:positionH relativeFrom="column">
            <wp:posOffset>240028</wp:posOffset>
          </wp:positionH>
          <wp:positionV relativeFrom="paragraph">
            <wp:posOffset>-76833</wp:posOffset>
          </wp:positionV>
          <wp:extent cx="838200" cy="306705"/>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38200" cy="306705"/>
                  </a:xfrm>
                  <a:prstGeom prst="rect"/>
                  <a:ln/>
                </pic:spPr>
              </pic:pic>
            </a:graphicData>
          </a:graphic>
        </wp:anchor>
      </w:drawing>
    </w:r>
  </w:p>
  <w:p w:rsidR="00000000" w:rsidDel="00000000" w:rsidP="00000000" w:rsidRDefault="00000000" w:rsidRPr="00000000" w14:paraId="00000069">
    <w:pPr>
      <w:pBdr>
        <w:bottom w:color="000000" w:space="1" w:sz="4" w:val="single"/>
      </w:pBdr>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Ensino Médio, Técnico, Superior, Pós-graduação e Pesquisa</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ind w:left="144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Anais da Mostra Nacional de Robótica - MNR 2026</w:t>
    </w:r>
    <w:r w:rsidDel="00000000" w:rsidR="00000000" w:rsidRPr="00000000">
      <w:drawing>
        <wp:anchor allowOverlap="1" behindDoc="0" distB="0" distT="0" distL="114300" distR="114300" hidden="0" layoutInCell="1" locked="0" relativeHeight="0" simplePos="0">
          <wp:simplePos x="0" y="0"/>
          <wp:positionH relativeFrom="column">
            <wp:posOffset>228600</wp:posOffset>
          </wp:positionH>
          <wp:positionV relativeFrom="paragraph">
            <wp:posOffset>-74293</wp:posOffset>
          </wp:positionV>
          <wp:extent cx="838200" cy="306705"/>
          <wp:effectExtent b="0" l="0" r="0" t="0"/>
          <wp:wrapNone/>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38200" cy="306705"/>
                  </a:xfrm>
                  <a:prstGeom prst="rect"/>
                  <a:ln/>
                </pic:spPr>
              </pic:pic>
            </a:graphicData>
          </a:graphic>
        </wp:anchor>
      </w:drawing>
    </w:r>
  </w:p>
  <w:p w:rsidR="00000000" w:rsidDel="00000000" w:rsidP="00000000" w:rsidRDefault="00000000" w:rsidRPr="00000000" w14:paraId="0000006B">
    <w:pPr>
      <w:pBdr>
        <w:bottom w:color="000000" w:space="1" w:sz="4" w:val="single"/>
      </w:pBdr>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                                         Ensino Médio, Técnico, Superior, Pós-graduação e Pesquisa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0"/>
      <w:pBdr>
        <w:top w:space="0" w:sz="0" w:val="nil"/>
        <w:left w:space="0" w:sz="0" w:val="nil"/>
        <w:bottom w:space="0" w:sz="0" w:val="nil"/>
        <w:right w:space="0" w:sz="0" w:val="nil"/>
        <w:between w:space="0" w:sz="0" w:val="nil"/>
      </w:pBdr>
      <w:spacing w:before="240" w:lineRule="auto"/>
      <w:ind w:left="432" w:hanging="432"/>
      <w:jc w:val="left"/>
    </w:pPr>
    <w:rPr>
      <w:rFonts w:ascii="Arial" w:cs="Arial" w:eastAsia="Arial" w:hAnsi="Arial"/>
      <w:b w:val="1"/>
      <w:bCs w:val="1"/>
      <w:smallCaps w:val="1"/>
      <w:color w:val="000000"/>
      <w:sz w:val="24"/>
      <w:szCs w:val="24"/>
    </w:rPr>
  </w:style>
  <w:style w:type="paragraph" w:styleId="Heading2">
    <w:name w:val="heading 2"/>
    <w:basedOn w:val="Normal"/>
    <w:next w:val="Normal"/>
    <w:pPr>
      <w:keepNext w:val="1"/>
      <w:keepLines w:val="1"/>
      <w:widowControl w:val="0"/>
      <w:pBdr>
        <w:top w:space="0" w:sz="0" w:val="nil"/>
        <w:left w:space="0" w:sz="0" w:val="nil"/>
        <w:bottom w:space="0" w:sz="0" w:val="nil"/>
        <w:right w:space="0" w:sz="0" w:val="nil"/>
        <w:between w:space="0" w:sz="0" w:val="nil"/>
      </w:pBdr>
      <w:spacing w:before="240" w:lineRule="auto"/>
      <w:ind w:left="576" w:hanging="576"/>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widowControl w:val="0"/>
      <w:pBdr>
        <w:top w:space="0" w:sz="0" w:val="nil"/>
        <w:left w:space="0" w:sz="0" w:val="nil"/>
        <w:bottom w:space="0" w:sz="0" w:val="nil"/>
        <w:right w:space="0" w:sz="0" w:val="nil"/>
        <w:between w:space="0" w:sz="0" w:val="nil"/>
      </w:pBdr>
      <w:spacing w:before="240" w:lineRule="auto"/>
      <w:ind w:left="720" w:hanging="720"/>
      <w:jc w:val="left"/>
    </w:pPr>
    <w:rPr>
      <w:rFonts w:ascii="Arial" w:cs="Arial" w:eastAsia="Arial" w:hAnsi="Arial"/>
      <w:b w:val="1"/>
      <w:bCs w:val="1"/>
      <w:color w:val="000000"/>
    </w:rPr>
  </w:style>
  <w:style w:type="paragraph" w:styleId="Heading4">
    <w:name w:val="heading 4"/>
    <w:basedOn w:val="Normal"/>
    <w:next w:val="Normal"/>
    <w:pPr>
      <w:keepNext w:val="1"/>
      <w:spacing w:before="240" w:lineRule="auto"/>
      <w:ind w:left="864" w:hanging="864"/>
    </w:pPr>
    <w:rPr>
      <w:rFonts w:ascii="Arial" w:cs="Arial" w:eastAsia="Arial" w:hAnsi="Arial"/>
      <w:b w:val="1"/>
      <w:bCs w:val="1"/>
      <w:sz w:val="24"/>
      <w:szCs w:val="24"/>
    </w:rPr>
  </w:style>
  <w:style w:type="paragraph" w:styleId="Heading5">
    <w:name w:val="heading 5"/>
    <w:basedOn w:val="Normal"/>
    <w:next w:val="Normal"/>
    <w:pPr>
      <w:spacing w:before="240" w:lineRule="auto"/>
      <w:ind w:left="1008" w:hanging="1008"/>
    </w:pPr>
    <w:rPr>
      <w:sz w:val="22"/>
      <w:szCs w:val="22"/>
    </w:rPr>
  </w:style>
  <w:style w:type="paragraph" w:styleId="Heading6">
    <w:name w:val="heading 6"/>
    <w:basedOn w:val="Normal"/>
    <w:next w:val="Normal"/>
    <w:pPr>
      <w:spacing w:before="240" w:lineRule="auto"/>
      <w:ind w:left="1152" w:hanging="1152"/>
    </w:pPr>
    <w:rPr>
      <w:i w:val="1"/>
      <w:iCs w:val="1"/>
      <w:sz w:val="22"/>
      <w:szCs w:val="22"/>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eader" Target="header1.xml"/><Relationship Id="rId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